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56"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8" w:lineRule="exact"/>
        <w:rPr>
          <w:sz w:val="24"/>
          <w:szCs w:val="24"/>
          <w:color w:val="auto"/>
        </w:rPr>
      </w:pPr>
    </w:p>
    <w:p>
      <w:pPr>
        <w:ind w:left="400" w:hanging="19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5" w:lineRule="exact"/>
        <w:rPr>
          <w:sz w:val="24"/>
          <w:szCs w:val="24"/>
          <w:color w:val="auto"/>
        </w:rPr>
      </w:pPr>
    </w:p>
    <w:p>
      <w:pPr>
        <w:ind w:left="400" w:hanging="194"/>
        <w:spacing w:after="0"/>
        <w:tabs>
          <w:tab w:leader="none" w:pos="400" w:val="left"/>
        </w:tabs>
        <w:numPr>
          <w:ilvl w:val="0"/>
          <w:numId w:val="2"/>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001-06714</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Graham Holdings Company</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 w:lineRule="exact"/>
        <w:rPr>
          <w:sz w:val="24"/>
          <w:szCs w:val="24"/>
          <w:color w:val="auto"/>
        </w:rPr>
      </w:pPr>
    </w:p>
    <w:tbl>
      <w:tblPr>
        <w:tblLayout w:type="fixed"/>
        <w:tblInd w:w="480" w:type="dxa"/>
        <w:tblCellMar>
          <w:top w:w="0" w:type="dxa"/>
          <w:left w:w="0" w:type="dxa"/>
          <w:bottom w:w="0" w:type="dxa"/>
          <w:right w:w="0" w:type="dxa"/>
        </w:tblCellMar>
      </w:tblPr>
      <w:tr>
        <w:trPr>
          <w:trHeight w:val="243"/>
        </w:trPr>
        <w:tc>
          <w:tcPr>
            <w:tcW w:w="5740" w:type="dxa"/>
            <w:vAlign w:val="bottom"/>
          </w:tcPr>
          <w:p>
            <w:pPr>
              <w:jc w:val="center"/>
              <w:ind w:right="1455"/>
              <w:spacing w:after="0"/>
              <w:rPr>
                <w:sz w:val="20"/>
                <w:szCs w:val="20"/>
                <w:color w:val="auto"/>
              </w:rPr>
            </w:pPr>
            <w:r>
              <w:rPr>
                <w:rFonts w:ascii="Arial" w:cs="Arial" w:eastAsia="Arial" w:hAnsi="Arial"/>
                <w:sz w:val="18"/>
                <w:szCs w:val="18"/>
                <w:color w:val="auto"/>
                <w:w w:val="99"/>
              </w:rPr>
              <w:t>Delaware</w:t>
            </w:r>
          </w:p>
        </w:tc>
        <w:tc>
          <w:tcPr>
            <w:tcW w:w="4040" w:type="dxa"/>
            <w:vAlign w:val="bottom"/>
          </w:tcPr>
          <w:p>
            <w:pPr>
              <w:jc w:val="right"/>
              <w:ind w:right="695"/>
              <w:spacing w:after="0"/>
              <w:rPr>
                <w:sz w:val="20"/>
                <w:szCs w:val="20"/>
                <w:color w:val="auto"/>
              </w:rPr>
            </w:pPr>
            <w:r>
              <w:rPr>
                <w:rFonts w:ascii="Arial" w:cs="Arial" w:eastAsia="Arial" w:hAnsi="Arial"/>
                <w:sz w:val="18"/>
                <w:szCs w:val="18"/>
                <w:color w:val="auto"/>
              </w:rPr>
              <w:t>53-0182885</w:t>
            </w:r>
          </w:p>
        </w:tc>
      </w:tr>
      <w:tr>
        <w:trPr>
          <w:trHeight w:val="223"/>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(State or other jurisdiction of incorporation or organization)</w:t>
            </w:r>
          </w:p>
        </w:tc>
        <w:tc>
          <w:tcPr>
            <w:tcW w:w="4040" w:type="dxa"/>
            <w:vAlign w:val="bottom"/>
          </w:tcPr>
          <w:p>
            <w:pPr>
              <w:jc w:val="center"/>
              <w:ind w:left="1455"/>
              <w:spacing w:after="0"/>
              <w:rPr>
                <w:sz w:val="20"/>
                <w:szCs w:val="20"/>
                <w:color w:val="auto"/>
              </w:rPr>
            </w:pPr>
            <w:r>
              <w:rPr>
                <w:rFonts w:ascii="Arial" w:cs="Arial" w:eastAsia="Arial" w:hAnsi="Arial"/>
                <w:sz w:val="16"/>
                <w:szCs w:val="16"/>
                <w:color w:val="auto"/>
              </w:rPr>
              <w:t>(I.R.S. Employer Identification No.)</w:t>
            </w:r>
          </w:p>
        </w:tc>
      </w:tr>
      <w:tr>
        <w:trPr>
          <w:trHeight w:val="344"/>
        </w:trPr>
        <w:tc>
          <w:tcPr>
            <w:tcW w:w="5740" w:type="dxa"/>
            <w:vAlign w:val="bottom"/>
          </w:tcPr>
          <w:p>
            <w:pPr>
              <w:jc w:val="center"/>
              <w:ind w:right="1475"/>
              <w:spacing w:after="0"/>
              <w:rPr>
                <w:sz w:val="20"/>
                <w:szCs w:val="20"/>
                <w:color w:val="auto"/>
              </w:rPr>
            </w:pPr>
            <w:r>
              <w:rPr>
                <w:rFonts w:ascii="Arial" w:cs="Arial" w:eastAsia="Arial" w:hAnsi="Arial"/>
                <w:sz w:val="18"/>
                <w:szCs w:val="18"/>
                <w:color w:val="auto"/>
              </w:rPr>
              <w:t>1300 North 17th Street, Arlington, Virginia</w:t>
            </w:r>
          </w:p>
        </w:tc>
        <w:tc>
          <w:tcPr>
            <w:tcW w:w="4040" w:type="dxa"/>
            <w:vAlign w:val="bottom"/>
          </w:tcPr>
          <w:p>
            <w:pPr>
              <w:jc w:val="right"/>
              <w:ind w:right="915"/>
              <w:spacing w:after="0"/>
              <w:rPr>
                <w:sz w:val="20"/>
                <w:szCs w:val="20"/>
                <w:color w:val="auto"/>
              </w:rPr>
            </w:pPr>
            <w:r>
              <w:rPr>
                <w:rFonts w:ascii="Arial" w:cs="Arial" w:eastAsia="Arial" w:hAnsi="Arial"/>
                <w:sz w:val="18"/>
                <w:szCs w:val="18"/>
                <w:color w:val="auto"/>
              </w:rPr>
              <w:t>22209</w:t>
            </w:r>
          </w:p>
        </w:tc>
      </w:tr>
      <w:tr>
        <w:trPr>
          <w:trHeight w:val="223"/>
        </w:trPr>
        <w:tc>
          <w:tcPr>
            <w:tcW w:w="5740" w:type="dxa"/>
            <w:vAlign w:val="bottom"/>
          </w:tcPr>
          <w:p>
            <w:pPr>
              <w:jc w:val="center"/>
              <w:ind w:right="1475"/>
              <w:spacing w:after="0"/>
              <w:rPr>
                <w:sz w:val="20"/>
                <w:szCs w:val="20"/>
                <w:color w:val="auto"/>
              </w:rPr>
            </w:pPr>
            <w:r>
              <w:rPr>
                <w:rFonts w:ascii="Arial" w:cs="Arial" w:eastAsia="Arial" w:hAnsi="Arial"/>
                <w:sz w:val="16"/>
                <w:szCs w:val="16"/>
                <w:color w:val="auto"/>
              </w:rPr>
              <w:t>(Address of principal executive offices)</w:t>
            </w:r>
          </w:p>
        </w:tc>
        <w:tc>
          <w:tcPr>
            <w:tcW w:w="4040" w:type="dxa"/>
            <w:vAlign w:val="bottom"/>
          </w:tcPr>
          <w:p>
            <w:pPr>
              <w:jc w:val="center"/>
              <w:ind w:left="1435"/>
              <w:spacing w:after="0"/>
              <w:rPr>
                <w:sz w:val="20"/>
                <w:szCs w:val="20"/>
                <w:color w:val="auto"/>
              </w:rPr>
            </w:pPr>
            <w:r>
              <w:rPr>
                <w:rFonts w:ascii="Arial" w:cs="Arial" w:eastAsia="Arial" w:hAnsi="Arial"/>
                <w:sz w:val="16"/>
                <w:szCs w:val="16"/>
                <w:color w:val="auto"/>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(703) 345-6300</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3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Title of each class</w:t>
            </w: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Trading Symbol(s)</w:t>
            </w: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178"/>
        </w:trPr>
        <w:tc>
          <w:tcPr>
            <w:tcW w:w="41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color w:val="auto"/>
                <w:w w:val="99"/>
              </w:rPr>
              <w:t>Class B Common Stock, par value</w:t>
            </w:r>
          </w:p>
        </w:tc>
        <w:tc>
          <w:tcPr>
            <w:tcW w:w="220" w:type="dxa"/>
            <w:vAlign w:val="bottom"/>
          </w:tcPr>
          <w:p>
            <w:pPr>
              <w:spacing w:after="0"/>
              <w:rPr>
                <w:sz w:val="15"/>
                <w:szCs w:val="15"/>
                <w:color w:val="auto"/>
              </w:rPr>
            </w:pPr>
          </w:p>
        </w:tc>
        <w:tc>
          <w:tcPr>
            <w:tcW w:w="19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color w:val="auto"/>
                <w:w w:val="99"/>
              </w:rPr>
              <w:t>GHC</w:t>
            </w:r>
          </w:p>
        </w:tc>
        <w:tc>
          <w:tcPr>
            <w:tcW w:w="240" w:type="dxa"/>
            <w:vAlign w:val="bottom"/>
          </w:tcPr>
          <w:p>
            <w:pPr>
              <w:spacing w:after="0"/>
              <w:rPr>
                <w:sz w:val="15"/>
                <w:szCs w:val="15"/>
                <w:color w:val="auto"/>
              </w:rPr>
            </w:pPr>
          </w:p>
        </w:tc>
        <w:tc>
          <w:tcPr>
            <w:tcW w:w="464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color w:val="auto"/>
                <w:w w:val="99"/>
              </w:rPr>
              <w:t>New York Stock Exchange</w:t>
            </w:r>
          </w:p>
        </w:tc>
      </w:tr>
      <w:tr>
        <w:trPr>
          <w:trHeight w:val="243"/>
        </w:trPr>
        <w:tc>
          <w:tcPr>
            <w:tcW w:w="4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$1.00 per share</w:t>
            </w:r>
          </w:p>
        </w:tc>
        <w:tc>
          <w:tcPr>
            <w:tcW w:w="1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tcPr>
          <w:p>
            <w:pPr>
              <w:spacing w:after="0"/>
              <w:rPr>
                <w:sz w:val="21"/>
                <w:szCs w:val="21"/>
                <w:color w:val="auto"/>
              </w:rPr>
            </w:pPr>
          </w:p>
        </w:tc>
      </w:tr>
    </w:tbl>
    <w:p>
      <w:pPr>
        <w:spacing w:after="0" w:line="30" w:lineRule="exact"/>
        <w:rPr>
          <w:sz w:val="24"/>
          <w:szCs w:val="24"/>
          <w:color w:val="auto"/>
        </w:rPr>
      </w:pPr>
    </w:p>
    <w:p>
      <w:pPr>
        <w:ind w:right="740"/>
        <w:spacing w:after="0" w:line="28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60"/>
        <w:spacing w:after="0" w:line="21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right="260"/>
        <w:spacing w:after="0" w:line="21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 w:lineRule="exact"/>
        <w:rPr>
          <w:sz w:val="24"/>
          <w:szCs w:val="24"/>
          <w:color w:val="auto"/>
        </w:rPr>
      </w:pPr>
    </w:p>
    <w:p>
      <w:pPr>
        <w:ind w:right="20"/>
        <w:spacing w:after="0" w:line="23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60" w:type="dxa"/>
        <w:tblCellMar>
          <w:top w:w="0" w:type="dxa"/>
          <w:left w:w="0" w:type="dxa"/>
          <w:bottom w:w="0" w:type="dxa"/>
          <w:right w:w="0" w:type="dxa"/>
        </w:tblCellMar>
      </w:tblPr>
      <w:tr>
        <w:trPr>
          <w:trHeight w:val="183"/>
        </w:trPr>
        <w:tc>
          <w:tcPr>
            <w:tcW w:w="2300" w:type="dxa"/>
            <w:vAlign w:val="bottom"/>
            <w:vMerge w:val="restart"/>
          </w:tcPr>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tc>
        <w:tc>
          <w:tcPr>
            <w:tcW w:w="1440" w:type="dxa"/>
            <w:vAlign w:val="bottom"/>
          </w:tcPr>
          <w:p>
            <w:pPr>
              <w:jc w:val="center"/>
              <w:spacing w:after="0" w:line="183" w:lineRule="exact"/>
              <w:rPr>
                <w:sz w:val="20"/>
                <w:szCs w:val="20"/>
                <w:color w:val="auto"/>
              </w:rPr>
            </w:pPr>
            <w:r>
              <w:rPr>
                <w:rFonts w:ascii="Arial" w:cs="Arial" w:eastAsia="Arial" w:hAnsi="Arial"/>
                <w:sz w:val="16"/>
                <w:szCs w:val="16"/>
                <w:color w:val="auto"/>
                <w:w w:val="99"/>
              </w:rPr>
              <w:t>Accelerated</w:t>
            </w:r>
          </w:p>
        </w:tc>
        <w:tc>
          <w:tcPr>
            <w:tcW w:w="66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line="183" w:lineRule="exact"/>
              <w:rPr>
                <w:sz w:val="20"/>
                <w:szCs w:val="20"/>
                <w:color w:val="auto"/>
              </w:rPr>
            </w:pPr>
            <w:r>
              <w:rPr>
                <w:rFonts w:ascii="Arial" w:cs="Arial" w:eastAsia="Arial" w:hAnsi="Arial"/>
                <w:sz w:val="16"/>
                <w:szCs w:val="16"/>
                <w:color w:val="auto"/>
              </w:rPr>
              <w:t>Non-accelerated</w:t>
            </w:r>
          </w:p>
        </w:tc>
        <w:tc>
          <w:tcPr>
            <w:tcW w:w="5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line="183" w:lineRule="exact"/>
              <w:rPr>
                <w:sz w:val="20"/>
                <w:szCs w:val="20"/>
                <w:color w:val="auto"/>
              </w:rPr>
            </w:pPr>
            <w:r>
              <w:rPr>
                <w:rFonts w:ascii="Arial" w:cs="Arial" w:eastAsia="Arial" w:hAnsi="Arial"/>
                <w:sz w:val="16"/>
                <w:szCs w:val="16"/>
                <w:color w:val="auto"/>
              </w:rPr>
              <w:t>Smaller reporting</w:t>
            </w: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line="183" w:lineRule="exact"/>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1"/>
        </w:trPr>
        <w:tc>
          <w:tcPr>
            <w:tcW w:w="2300" w:type="dxa"/>
            <w:vAlign w:val="bottom"/>
            <w:vMerge w:val="continue"/>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filer</w:t>
            </w:r>
          </w:p>
        </w:tc>
        <w:tc>
          <w:tcPr>
            <w:tcW w:w="660" w:type="dxa"/>
            <w:vAlign w:val="bottom"/>
            <w:vMerge w:val="continue"/>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58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60" w:type="dxa"/>
            <w:vAlign w:val="bottom"/>
            <w:vMerge w:val="continue"/>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right="20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9" w:lineRule="exact"/>
        <w:rPr>
          <w:sz w:val="24"/>
          <w:szCs w:val="24"/>
          <w:color w:val="auto"/>
        </w:rPr>
      </w:pPr>
    </w:p>
    <w:p>
      <w:pPr>
        <w:ind w:right="40"/>
        <w:spacing w:after="0" w:line="21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4" w:lineRule="exact"/>
        <w:rPr>
          <w:sz w:val="24"/>
          <w:szCs w:val="24"/>
          <w:color w:val="auto"/>
        </w:rPr>
      </w:pPr>
    </w:p>
    <w:p>
      <w:pPr>
        <w:ind w:right="740"/>
        <w:spacing w:after="0" w:line="260" w:lineRule="auto"/>
        <w:rPr>
          <w:sz w:val="20"/>
          <w:szCs w:val="20"/>
          <w:color w:val="auto"/>
        </w:rPr>
      </w:pPr>
      <w:r>
        <w:rPr>
          <w:rFonts w:ascii="Arial" w:cs="Arial" w:eastAsia="Arial" w:hAnsi="Arial"/>
          <w:sz w:val="18"/>
          <w:szCs w:val="18"/>
          <w:color w:val="auto"/>
        </w:rPr>
        <w:t>Aggregate market value of the registrant’s common equity held by non-affiliates on June 30, 2020, based on the closing price for the Company’s Class B Common Stock on the New York Stock Exchange on such date: approximately $1,400,000,000.</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19, 2021: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Common Stock – 964,001 shares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B Common Stock – 4,038,125 shares</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partially incorporated by reference:</w:t>
      </w:r>
    </w:p>
    <w:p>
      <w:pPr>
        <w:spacing w:after="0" w:line="36" w:lineRule="exact"/>
        <w:rPr>
          <w:sz w:val="24"/>
          <w:szCs w:val="24"/>
          <w:color w:val="auto"/>
        </w:rPr>
      </w:pPr>
    </w:p>
    <w:p>
      <w:pPr>
        <w:jc w:val="both"/>
        <w:ind w:left="2260" w:right="2300" w:firstLine="50"/>
        <w:spacing w:after="0" w:line="290" w:lineRule="auto"/>
        <w:rPr>
          <w:sz w:val="20"/>
          <w:szCs w:val="20"/>
          <w:color w:val="auto"/>
        </w:rPr>
      </w:pPr>
      <w:r>
        <w:rPr>
          <w:rFonts w:ascii="Arial" w:cs="Arial" w:eastAsia="Arial" w:hAnsi="Arial"/>
          <w:sz w:val="17"/>
          <w:szCs w:val="17"/>
          <w:color w:val="auto"/>
        </w:rPr>
        <w:t>Definitive Proxy Statement for the registrant’s 2021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1020" w:type="dxa"/>
            <w:vAlign w:val="bottom"/>
          </w:tcPr>
          <w:p>
            <w:pPr>
              <w:spacing w:after="0"/>
              <w:rPr>
                <w:sz w:val="21"/>
                <w:szCs w:val="21"/>
                <w:color w:val="auto"/>
              </w:rPr>
            </w:pPr>
          </w:p>
        </w:tc>
        <w:tc>
          <w:tcPr>
            <w:tcW w:w="8900" w:type="dxa"/>
            <w:vAlign w:val="bottom"/>
          </w:tcPr>
          <w:p>
            <w:pPr>
              <w:ind w:left="2520"/>
              <w:spacing w:after="0"/>
              <w:rPr>
                <w:sz w:val="20"/>
                <w:szCs w:val="20"/>
                <w:color w:val="auto"/>
              </w:rPr>
            </w:pPr>
            <w:r>
              <w:rPr>
                <w:rFonts w:ascii="Arial" w:cs="Arial" w:eastAsia="Arial" w:hAnsi="Arial"/>
                <w:sz w:val="18"/>
                <w:szCs w:val="18"/>
                <w:color w:val="auto"/>
              </w:rPr>
              <w:t>GRAHAM HOLDINGS COMPANY 2020 FORM 10-K</w:t>
            </w:r>
          </w:p>
        </w:tc>
        <w:tc>
          <w:tcPr>
            <w:tcW w:w="1320" w:type="dxa"/>
            <w:vAlign w:val="bottom"/>
          </w:tcPr>
          <w:p>
            <w:pPr>
              <w:spacing w:after="0"/>
              <w:rPr>
                <w:sz w:val="21"/>
                <w:szCs w:val="21"/>
                <w:color w:val="auto"/>
              </w:rPr>
            </w:pPr>
          </w:p>
        </w:tc>
      </w:tr>
      <w:tr>
        <w:trPr>
          <w:trHeight w:val="638"/>
        </w:trPr>
        <w:tc>
          <w:tcPr>
            <w:tcW w:w="1020" w:type="dxa"/>
            <w:vAlign w:val="bottom"/>
          </w:tcPr>
          <w:p>
            <w:pPr>
              <w:ind w:left="20"/>
              <w:spacing w:after="0"/>
              <w:rPr>
                <w:sz w:val="20"/>
                <w:szCs w:val="20"/>
                <w:color w:val="auto"/>
              </w:rPr>
            </w:pPr>
            <w:r>
              <w:rPr>
                <w:rFonts w:ascii="Arial" w:cs="Arial" w:eastAsia="Arial" w:hAnsi="Arial"/>
                <w:sz w:val="15"/>
                <w:szCs w:val="15"/>
                <w:color w:val="auto"/>
              </w:rPr>
              <w:t>Item 1.</w:t>
            </w:r>
          </w:p>
        </w:tc>
        <w:tc>
          <w:tcPr>
            <w:tcW w:w="8900" w:type="dxa"/>
            <w:vAlign w:val="bottom"/>
          </w:tcPr>
          <w:p>
            <w:pPr>
              <w:spacing w:after="0"/>
              <w:rPr>
                <w:sz w:val="20"/>
                <w:szCs w:val="20"/>
                <w:color w:val="auto"/>
              </w:rPr>
            </w:pPr>
            <w:r>
              <w:rPr>
                <w:rFonts w:ascii="Arial" w:cs="Arial" w:eastAsia="Arial" w:hAnsi="Arial"/>
                <w:sz w:val="15"/>
                <w:szCs w:val="15"/>
                <w:color w:val="auto"/>
              </w:rPr>
              <w:t>Business</w:t>
            </w:r>
          </w:p>
        </w:tc>
        <w:tc>
          <w:tcPr>
            <w:tcW w:w="1320" w:type="dxa"/>
            <w:vAlign w:val="bottom"/>
          </w:tcPr>
          <w:p>
            <w:pPr>
              <w:jc w:val="right"/>
              <w:spacing w:after="0"/>
              <w:rPr>
                <w:rFonts w:ascii="Arial" w:cs="Arial" w:eastAsia="Arial" w:hAnsi="Arial"/>
                <w:sz w:val="15"/>
                <w:szCs w:val="15"/>
                <w:u w:val="single" w:color="auto"/>
                <w:color w:val="0000FF"/>
              </w:rPr>
            </w:pPr>
            <w:hyperlink w:anchor="page3">
              <w:r>
                <w:rPr>
                  <w:rFonts w:ascii="Arial" w:cs="Arial" w:eastAsia="Arial" w:hAnsi="Arial"/>
                  <w:sz w:val="15"/>
                  <w:szCs w:val="15"/>
                  <w:u w:val="single" w:color="auto"/>
                  <w:color w:val="0000FF"/>
                </w:rPr>
                <w:t>1</w:t>
              </w:r>
            </w:hyperlink>
          </w:p>
        </w:tc>
      </w:tr>
      <w:tr>
        <w:trPr>
          <w:trHeight w:val="243"/>
        </w:trPr>
        <w:tc>
          <w:tcPr>
            <w:tcW w:w="1020" w:type="dxa"/>
            <w:vAlign w:val="bottom"/>
          </w:tcPr>
          <w:p>
            <w:pPr>
              <w:spacing w:after="0"/>
              <w:rPr>
                <w:sz w:val="21"/>
                <w:szCs w:val="21"/>
                <w:color w:val="auto"/>
              </w:rPr>
            </w:pPr>
          </w:p>
        </w:tc>
        <w:tc>
          <w:tcPr>
            <w:tcW w:w="8900" w:type="dxa"/>
            <w:vAlign w:val="bottom"/>
          </w:tcPr>
          <w:p>
            <w:pPr>
              <w:spacing w:after="0"/>
              <w:rPr>
                <w:sz w:val="20"/>
                <w:szCs w:val="20"/>
                <w:color w:val="auto"/>
              </w:rPr>
            </w:pPr>
            <w:r>
              <w:rPr>
                <w:rFonts w:ascii="Arial" w:cs="Arial" w:eastAsia="Arial" w:hAnsi="Arial"/>
                <w:sz w:val="15"/>
                <w:szCs w:val="15"/>
                <w:color w:val="auto"/>
              </w:rPr>
              <w:t>Education</w:t>
            </w:r>
          </w:p>
        </w:tc>
        <w:tc>
          <w:tcPr>
            <w:tcW w:w="1320" w:type="dxa"/>
            <w:vAlign w:val="bottom"/>
          </w:tcPr>
          <w:p>
            <w:pPr>
              <w:jc w:val="right"/>
              <w:spacing w:after="0"/>
              <w:rPr>
                <w:rFonts w:ascii="Arial" w:cs="Arial" w:eastAsia="Arial" w:hAnsi="Arial"/>
                <w:sz w:val="15"/>
                <w:szCs w:val="15"/>
                <w:u w:val="single" w:color="auto"/>
                <w:color w:val="0000FF"/>
              </w:rPr>
            </w:pPr>
            <w:hyperlink w:anchor="page3">
              <w:r>
                <w:rPr>
                  <w:rFonts w:ascii="Arial" w:cs="Arial" w:eastAsia="Arial" w:hAnsi="Arial"/>
                  <w:sz w:val="15"/>
                  <w:szCs w:val="15"/>
                  <w:u w:val="single" w:color="auto"/>
                  <w:color w:val="0000FF"/>
                </w:rPr>
                <w:t>1</w:t>
              </w:r>
            </w:hyperlink>
          </w:p>
        </w:tc>
      </w:tr>
      <w:tr>
        <w:trPr>
          <w:trHeight w:val="216"/>
        </w:trPr>
        <w:tc>
          <w:tcPr>
            <w:tcW w:w="10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5"/>
                <w:szCs w:val="15"/>
                <w:color w:val="auto"/>
              </w:rPr>
              <w:t>Television Broadcasting</w:t>
            </w:r>
          </w:p>
        </w:tc>
        <w:tc>
          <w:tcPr>
            <w:tcW w:w="1320" w:type="dxa"/>
            <w:vAlign w:val="bottom"/>
          </w:tcPr>
          <w:p>
            <w:pPr>
              <w:jc w:val="right"/>
              <w:spacing w:after="0"/>
              <w:rPr>
                <w:rFonts w:ascii="Arial" w:cs="Arial" w:eastAsia="Arial" w:hAnsi="Arial"/>
                <w:sz w:val="15"/>
                <w:szCs w:val="15"/>
                <w:u w:val="single" w:color="auto"/>
                <w:color w:val="0000FF"/>
              </w:rPr>
            </w:pPr>
            <w:hyperlink w:anchor="page11">
              <w:r>
                <w:rPr>
                  <w:rFonts w:ascii="Arial" w:cs="Arial" w:eastAsia="Arial" w:hAnsi="Arial"/>
                  <w:sz w:val="15"/>
                  <w:szCs w:val="15"/>
                  <w:u w:val="single" w:color="auto"/>
                  <w:color w:val="0000FF"/>
                </w:rPr>
                <w:t>9</w:t>
              </w:r>
            </w:hyperlink>
          </w:p>
        </w:tc>
      </w:tr>
      <w:tr>
        <w:trPr>
          <w:trHeight w:val="216"/>
        </w:trPr>
        <w:tc>
          <w:tcPr>
            <w:tcW w:w="10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5"/>
                <w:szCs w:val="15"/>
                <w:color w:val="auto"/>
              </w:rPr>
              <w:t>Other Activities</w:t>
            </w:r>
          </w:p>
        </w:tc>
        <w:tc>
          <w:tcPr>
            <w:tcW w:w="1320" w:type="dxa"/>
            <w:vAlign w:val="bottom"/>
          </w:tcPr>
          <w:p>
            <w:pPr>
              <w:jc w:val="right"/>
              <w:spacing w:after="0"/>
              <w:rPr>
                <w:rFonts w:ascii="Arial" w:cs="Arial" w:eastAsia="Arial" w:hAnsi="Arial"/>
                <w:sz w:val="15"/>
                <w:szCs w:val="15"/>
                <w:u w:val="single" w:color="auto"/>
                <w:color w:val="0000FF"/>
              </w:rPr>
            </w:pPr>
            <w:hyperlink w:anchor="page14">
              <w:r>
                <w:rPr>
                  <w:rFonts w:ascii="Arial" w:cs="Arial" w:eastAsia="Arial" w:hAnsi="Arial"/>
                  <w:sz w:val="15"/>
                  <w:szCs w:val="15"/>
                  <w:u w:val="single" w:color="auto"/>
                  <w:color w:val="0000FF"/>
                </w:rPr>
                <w:t>12</w:t>
              </w:r>
            </w:hyperlink>
          </w:p>
        </w:tc>
      </w:tr>
      <w:tr>
        <w:trPr>
          <w:trHeight w:val="216"/>
        </w:trPr>
        <w:tc>
          <w:tcPr>
            <w:tcW w:w="10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5"/>
                <w:szCs w:val="15"/>
                <w:color w:val="auto"/>
              </w:rPr>
              <w:t>Competition</w:t>
            </w:r>
          </w:p>
        </w:tc>
        <w:tc>
          <w:tcPr>
            <w:tcW w:w="1320" w:type="dxa"/>
            <w:vAlign w:val="bottom"/>
          </w:tcPr>
          <w:p>
            <w:pPr>
              <w:jc w:val="right"/>
              <w:spacing w:after="0"/>
              <w:rPr>
                <w:rFonts w:ascii="Arial" w:cs="Arial" w:eastAsia="Arial" w:hAnsi="Arial"/>
                <w:sz w:val="15"/>
                <w:szCs w:val="15"/>
                <w:u w:val="single" w:color="auto"/>
                <w:color w:val="0000FF"/>
              </w:rPr>
            </w:pPr>
            <w:hyperlink w:anchor="page17">
              <w:r>
                <w:rPr>
                  <w:rFonts w:ascii="Arial" w:cs="Arial" w:eastAsia="Arial" w:hAnsi="Arial"/>
                  <w:sz w:val="15"/>
                  <w:szCs w:val="15"/>
                  <w:u w:val="single" w:color="auto"/>
                  <w:color w:val="0000FF"/>
                </w:rPr>
                <w:t>15</w:t>
              </w:r>
            </w:hyperlink>
          </w:p>
        </w:tc>
      </w:tr>
      <w:tr>
        <w:trPr>
          <w:trHeight w:val="216"/>
        </w:trPr>
        <w:tc>
          <w:tcPr>
            <w:tcW w:w="10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5"/>
                <w:szCs w:val="15"/>
                <w:color w:val="auto"/>
              </w:rPr>
              <w:t>Executive Officers</w:t>
            </w:r>
          </w:p>
        </w:tc>
        <w:tc>
          <w:tcPr>
            <w:tcW w:w="1320" w:type="dxa"/>
            <w:vAlign w:val="bottom"/>
          </w:tcPr>
          <w:p>
            <w:pPr>
              <w:jc w:val="right"/>
              <w:spacing w:after="0"/>
              <w:rPr>
                <w:rFonts w:ascii="Arial" w:cs="Arial" w:eastAsia="Arial" w:hAnsi="Arial"/>
                <w:sz w:val="15"/>
                <w:szCs w:val="15"/>
                <w:u w:val="single" w:color="auto"/>
                <w:color w:val="0000FF"/>
              </w:rPr>
            </w:pPr>
            <w:hyperlink w:anchor="page19">
              <w:r>
                <w:rPr>
                  <w:rFonts w:ascii="Arial" w:cs="Arial" w:eastAsia="Arial" w:hAnsi="Arial"/>
                  <w:sz w:val="15"/>
                  <w:szCs w:val="15"/>
                  <w:u w:val="single" w:color="auto"/>
                  <w:color w:val="0000FF"/>
                </w:rPr>
                <w:t>17</w:t>
              </w:r>
            </w:hyperlink>
          </w:p>
        </w:tc>
      </w:tr>
      <w:tr>
        <w:trPr>
          <w:trHeight w:val="216"/>
        </w:trPr>
        <w:tc>
          <w:tcPr>
            <w:tcW w:w="10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5"/>
                <w:szCs w:val="15"/>
                <w:color w:val="auto"/>
              </w:rPr>
              <w:t>Human Capital</w:t>
            </w:r>
          </w:p>
        </w:tc>
        <w:tc>
          <w:tcPr>
            <w:tcW w:w="1320" w:type="dxa"/>
            <w:vAlign w:val="bottom"/>
          </w:tcPr>
          <w:p>
            <w:pPr>
              <w:jc w:val="right"/>
              <w:spacing w:after="0"/>
              <w:rPr>
                <w:rFonts w:ascii="Arial" w:cs="Arial" w:eastAsia="Arial" w:hAnsi="Arial"/>
                <w:sz w:val="15"/>
                <w:szCs w:val="15"/>
                <w:u w:val="single" w:color="auto"/>
                <w:color w:val="0000FF"/>
              </w:rPr>
            </w:pPr>
            <w:hyperlink w:anchor="page20">
              <w:r>
                <w:rPr>
                  <w:rFonts w:ascii="Arial" w:cs="Arial" w:eastAsia="Arial" w:hAnsi="Arial"/>
                  <w:sz w:val="15"/>
                  <w:szCs w:val="15"/>
                  <w:u w:val="single" w:color="auto"/>
                  <w:color w:val="0000FF"/>
                </w:rPr>
                <w:t>18</w:t>
              </w:r>
            </w:hyperlink>
          </w:p>
        </w:tc>
      </w:tr>
      <w:tr>
        <w:trPr>
          <w:trHeight w:val="216"/>
        </w:trPr>
        <w:tc>
          <w:tcPr>
            <w:tcW w:w="10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5"/>
                <w:szCs w:val="15"/>
                <w:color w:val="auto"/>
              </w:rPr>
              <w:t>Forward-Looking Statements</w:t>
            </w:r>
          </w:p>
        </w:tc>
        <w:tc>
          <w:tcPr>
            <w:tcW w:w="1320" w:type="dxa"/>
            <w:vAlign w:val="bottom"/>
          </w:tcPr>
          <w:p>
            <w:pPr>
              <w:jc w:val="right"/>
              <w:spacing w:after="0"/>
              <w:rPr>
                <w:rFonts w:ascii="Arial" w:cs="Arial" w:eastAsia="Arial" w:hAnsi="Arial"/>
                <w:sz w:val="15"/>
                <w:szCs w:val="15"/>
                <w:u w:val="single" w:color="auto"/>
                <w:color w:val="0000FF"/>
              </w:rPr>
            </w:pPr>
            <w:hyperlink w:anchor="page21">
              <w:r>
                <w:rPr>
                  <w:rFonts w:ascii="Arial" w:cs="Arial" w:eastAsia="Arial" w:hAnsi="Arial"/>
                  <w:sz w:val="15"/>
                  <w:szCs w:val="15"/>
                  <w:u w:val="single" w:color="auto"/>
                  <w:color w:val="0000FF"/>
                </w:rPr>
                <w:t>19</w:t>
              </w:r>
            </w:hyperlink>
          </w:p>
        </w:tc>
      </w:tr>
      <w:tr>
        <w:trPr>
          <w:trHeight w:val="216"/>
        </w:trPr>
        <w:tc>
          <w:tcPr>
            <w:tcW w:w="10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5"/>
                <w:szCs w:val="15"/>
                <w:color w:val="auto"/>
              </w:rPr>
              <w:t>Available Information</w:t>
            </w:r>
          </w:p>
        </w:tc>
        <w:tc>
          <w:tcPr>
            <w:tcW w:w="1320" w:type="dxa"/>
            <w:vAlign w:val="bottom"/>
          </w:tcPr>
          <w:p>
            <w:pPr>
              <w:jc w:val="right"/>
              <w:spacing w:after="0"/>
              <w:rPr>
                <w:rFonts w:ascii="Arial" w:cs="Arial" w:eastAsia="Arial" w:hAnsi="Arial"/>
                <w:sz w:val="15"/>
                <w:szCs w:val="15"/>
                <w:u w:val="single" w:color="auto"/>
                <w:color w:val="0000FF"/>
              </w:rPr>
            </w:pPr>
            <w:hyperlink w:anchor="page21">
              <w:r>
                <w:rPr>
                  <w:rFonts w:ascii="Arial" w:cs="Arial" w:eastAsia="Arial" w:hAnsi="Arial"/>
                  <w:sz w:val="15"/>
                  <w:szCs w:val="15"/>
                  <w:u w:val="single" w:color="auto"/>
                  <w:color w:val="0000FF"/>
                </w:rPr>
                <w:t>19</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1A.</w:t>
            </w:r>
          </w:p>
        </w:tc>
        <w:tc>
          <w:tcPr>
            <w:tcW w:w="8900" w:type="dxa"/>
            <w:vAlign w:val="bottom"/>
          </w:tcPr>
          <w:p>
            <w:pPr>
              <w:spacing w:after="0"/>
              <w:rPr>
                <w:sz w:val="20"/>
                <w:szCs w:val="20"/>
                <w:color w:val="auto"/>
              </w:rPr>
            </w:pPr>
            <w:r>
              <w:rPr>
                <w:rFonts w:ascii="Arial" w:cs="Arial" w:eastAsia="Arial" w:hAnsi="Arial"/>
                <w:sz w:val="15"/>
                <w:szCs w:val="15"/>
                <w:color w:val="auto"/>
              </w:rPr>
              <w:t>Risk Factors</w:t>
            </w:r>
          </w:p>
        </w:tc>
        <w:tc>
          <w:tcPr>
            <w:tcW w:w="1320" w:type="dxa"/>
            <w:vAlign w:val="bottom"/>
          </w:tcPr>
          <w:p>
            <w:pPr>
              <w:jc w:val="right"/>
              <w:spacing w:after="0"/>
              <w:rPr>
                <w:rFonts w:ascii="Arial" w:cs="Arial" w:eastAsia="Arial" w:hAnsi="Arial"/>
                <w:sz w:val="15"/>
                <w:szCs w:val="15"/>
                <w:u w:val="single" w:color="auto"/>
                <w:color w:val="0000FF"/>
              </w:rPr>
            </w:pPr>
            <w:hyperlink w:anchor="page22">
              <w:r>
                <w:rPr>
                  <w:rFonts w:ascii="Arial" w:cs="Arial" w:eastAsia="Arial" w:hAnsi="Arial"/>
                  <w:sz w:val="15"/>
                  <w:szCs w:val="15"/>
                  <w:u w:val="single" w:color="auto"/>
                  <w:color w:val="0000FF"/>
                </w:rPr>
                <w:t>20</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1B.</w:t>
            </w:r>
          </w:p>
        </w:tc>
        <w:tc>
          <w:tcPr>
            <w:tcW w:w="8900" w:type="dxa"/>
            <w:vAlign w:val="bottom"/>
          </w:tcPr>
          <w:p>
            <w:pPr>
              <w:spacing w:after="0"/>
              <w:rPr>
                <w:sz w:val="20"/>
                <w:szCs w:val="20"/>
                <w:color w:val="auto"/>
              </w:rPr>
            </w:pPr>
            <w:r>
              <w:rPr>
                <w:rFonts w:ascii="Arial" w:cs="Arial" w:eastAsia="Arial" w:hAnsi="Arial"/>
                <w:sz w:val="15"/>
                <w:szCs w:val="15"/>
                <w:color w:val="auto"/>
              </w:rPr>
              <w:t>Unresolved Staff Comments</w:t>
            </w:r>
          </w:p>
        </w:tc>
        <w:tc>
          <w:tcPr>
            <w:tcW w:w="1320" w:type="dxa"/>
            <w:vAlign w:val="bottom"/>
          </w:tcPr>
          <w:p>
            <w:pPr>
              <w:jc w:val="right"/>
              <w:spacing w:after="0"/>
              <w:rPr>
                <w:rFonts w:ascii="Arial" w:cs="Arial" w:eastAsia="Arial" w:hAnsi="Arial"/>
                <w:sz w:val="15"/>
                <w:szCs w:val="15"/>
                <w:u w:val="single" w:color="auto"/>
                <w:color w:val="0000FF"/>
              </w:rPr>
            </w:pPr>
            <w:hyperlink w:anchor="page34">
              <w:r>
                <w:rPr>
                  <w:rFonts w:ascii="Arial" w:cs="Arial" w:eastAsia="Arial" w:hAnsi="Arial"/>
                  <w:sz w:val="15"/>
                  <w:szCs w:val="15"/>
                  <w:u w:val="single" w:color="auto"/>
                  <w:color w:val="0000FF"/>
                </w:rPr>
                <w:t>32</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2.</w:t>
            </w:r>
          </w:p>
        </w:tc>
        <w:tc>
          <w:tcPr>
            <w:tcW w:w="8900" w:type="dxa"/>
            <w:vAlign w:val="bottom"/>
          </w:tcPr>
          <w:p>
            <w:pPr>
              <w:spacing w:after="0"/>
              <w:rPr>
                <w:sz w:val="20"/>
                <w:szCs w:val="20"/>
                <w:color w:val="auto"/>
              </w:rPr>
            </w:pPr>
            <w:r>
              <w:rPr>
                <w:rFonts w:ascii="Arial" w:cs="Arial" w:eastAsia="Arial" w:hAnsi="Arial"/>
                <w:sz w:val="15"/>
                <w:szCs w:val="15"/>
                <w:color w:val="auto"/>
              </w:rPr>
              <w:t>Properties</w:t>
            </w:r>
          </w:p>
        </w:tc>
        <w:tc>
          <w:tcPr>
            <w:tcW w:w="1320" w:type="dxa"/>
            <w:vAlign w:val="bottom"/>
          </w:tcPr>
          <w:p>
            <w:pPr>
              <w:jc w:val="right"/>
              <w:spacing w:after="0"/>
              <w:rPr>
                <w:rFonts w:ascii="Arial" w:cs="Arial" w:eastAsia="Arial" w:hAnsi="Arial"/>
                <w:sz w:val="15"/>
                <w:szCs w:val="15"/>
                <w:u w:val="single" w:color="auto"/>
                <w:color w:val="0000FF"/>
              </w:rPr>
            </w:pPr>
            <w:hyperlink w:anchor="page34">
              <w:r>
                <w:rPr>
                  <w:rFonts w:ascii="Arial" w:cs="Arial" w:eastAsia="Arial" w:hAnsi="Arial"/>
                  <w:sz w:val="15"/>
                  <w:szCs w:val="15"/>
                  <w:u w:val="single" w:color="auto"/>
                  <w:color w:val="0000FF"/>
                </w:rPr>
                <w:t>32</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3.</w:t>
            </w:r>
          </w:p>
        </w:tc>
        <w:tc>
          <w:tcPr>
            <w:tcW w:w="8900" w:type="dxa"/>
            <w:vAlign w:val="bottom"/>
          </w:tcPr>
          <w:p>
            <w:pPr>
              <w:spacing w:after="0"/>
              <w:rPr>
                <w:sz w:val="20"/>
                <w:szCs w:val="20"/>
                <w:color w:val="auto"/>
              </w:rPr>
            </w:pPr>
            <w:r>
              <w:rPr>
                <w:rFonts w:ascii="Arial" w:cs="Arial" w:eastAsia="Arial" w:hAnsi="Arial"/>
                <w:sz w:val="15"/>
                <w:szCs w:val="15"/>
                <w:color w:val="auto"/>
              </w:rPr>
              <w:t>Legal Proceedings</w:t>
            </w:r>
          </w:p>
        </w:tc>
        <w:tc>
          <w:tcPr>
            <w:tcW w:w="1320" w:type="dxa"/>
            <w:vAlign w:val="bottom"/>
          </w:tcPr>
          <w:p>
            <w:pPr>
              <w:jc w:val="right"/>
              <w:spacing w:after="0"/>
              <w:rPr>
                <w:rFonts w:ascii="Arial" w:cs="Arial" w:eastAsia="Arial" w:hAnsi="Arial"/>
                <w:sz w:val="15"/>
                <w:szCs w:val="15"/>
                <w:u w:val="single" w:color="auto"/>
                <w:color w:val="0000FF"/>
              </w:rPr>
            </w:pPr>
            <w:hyperlink w:anchor="page36">
              <w:r>
                <w:rPr>
                  <w:rFonts w:ascii="Arial" w:cs="Arial" w:eastAsia="Arial" w:hAnsi="Arial"/>
                  <w:sz w:val="15"/>
                  <w:szCs w:val="15"/>
                  <w:u w:val="single" w:color="auto"/>
                  <w:color w:val="0000FF"/>
                </w:rPr>
                <w:t>35</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4.</w:t>
            </w:r>
          </w:p>
        </w:tc>
        <w:tc>
          <w:tcPr>
            <w:tcW w:w="8900" w:type="dxa"/>
            <w:vAlign w:val="bottom"/>
          </w:tcPr>
          <w:p>
            <w:pPr>
              <w:spacing w:after="0"/>
              <w:rPr>
                <w:sz w:val="20"/>
                <w:szCs w:val="20"/>
                <w:color w:val="auto"/>
              </w:rPr>
            </w:pPr>
            <w:r>
              <w:rPr>
                <w:rFonts w:ascii="Arial" w:cs="Arial" w:eastAsia="Arial" w:hAnsi="Arial"/>
                <w:sz w:val="15"/>
                <w:szCs w:val="15"/>
                <w:color w:val="auto"/>
              </w:rPr>
              <w:t>Mine Safety Disclosures</w:t>
            </w:r>
          </w:p>
        </w:tc>
        <w:tc>
          <w:tcPr>
            <w:tcW w:w="1320" w:type="dxa"/>
            <w:vAlign w:val="bottom"/>
          </w:tcPr>
          <w:p>
            <w:pPr>
              <w:jc w:val="right"/>
              <w:spacing w:after="0"/>
              <w:rPr>
                <w:rFonts w:ascii="Arial" w:cs="Arial" w:eastAsia="Arial" w:hAnsi="Arial"/>
                <w:sz w:val="15"/>
                <w:szCs w:val="15"/>
                <w:u w:val="single" w:color="auto"/>
                <w:color w:val="0000FF"/>
              </w:rPr>
            </w:pPr>
            <w:hyperlink w:anchor="page37">
              <w:r>
                <w:rPr>
                  <w:rFonts w:ascii="Arial" w:cs="Arial" w:eastAsia="Arial" w:hAnsi="Arial"/>
                  <w:sz w:val="15"/>
                  <w:szCs w:val="15"/>
                  <w:u w:val="single" w:color="auto"/>
                  <w:color w:val="0000FF"/>
                </w:rPr>
                <w:t>35</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5.</w:t>
            </w:r>
          </w:p>
        </w:tc>
        <w:tc>
          <w:tcPr>
            <w:tcW w:w="8900" w:type="dxa"/>
            <w:vAlign w:val="bottom"/>
          </w:tcPr>
          <w:p>
            <w:pPr>
              <w:spacing w:after="0"/>
              <w:rPr>
                <w:sz w:val="20"/>
                <w:szCs w:val="20"/>
                <w:color w:val="auto"/>
              </w:rPr>
            </w:pPr>
            <w:r>
              <w:rPr>
                <w:rFonts w:ascii="Arial" w:cs="Arial" w:eastAsia="Arial" w:hAnsi="Arial"/>
                <w:sz w:val="15"/>
                <w:szCs w:val="15"/>
                <w:color w:val="auto"/>
              </w:rPr>
              <w:t>Market for the Registrant’s Common Equity, Related Stockholder Matters and Issuer Purchases of Equity Securities</w:t>
            </w:r>
          </w:p>
        </w:tc>
        <w:tc>
          <w:tcPr>
            <w:tcW w:w="1320" w:type="dxa"/>
            <w:vAlign w:val="bottom"/>
          </w:tcPr>
          <w:p>
            <w:pPr>
              <w:jc w:val="right"/>
              <w:spacing w:after="0"/>
              <w:rPr>
                <w:rFonts w:ascii="Arial" w:cs="Arial" w:eastAsia="Arial" w:hAnsi="Arial"/>
                <w:sz w:val="15"/>
                <w:szCs w:val="15"/>
                <w:u w:val="single" w:color="auto"/>
                <w:color w:val="0000FF"/>
              </w:rPr>
            </w:pPr>
            <w:hyperlink w:anchor="page37">
              <w:r>
                <w:rPr>
                  <w:rFonts w:ascii="Arial" w:cs="Arial" w:eastAsia="Arial" w:hAnsi="Arial"/>
                  <w:sz w:val="15"/>
                  <w:szCs w:val="15"/>
                  <w:u w:val="single" w:color="auto"/>
                  <w:color w:val="0000FF"/>
                </w:rPr>
                <w:t>35</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6.</w:t>
            </w:r>
          </w:p>
        </w:tc>
        <w:tc>
          <w:tcPr>
            <w:tcW w:w="8900" w:type="dxa"/>
            <w:vAlign w:val="bottom"/>
          </w:tcPr>
          <w:p>
            <w:pPr>
              <w:spacing w:after="0"/>
              <w:rPr>
                <w:sz w:val="20"/>
                <w:szCs w:val="20"/>
                <w:color w:val="auto"/>
              </w:rPr>
            </w:pPr>
            <w:r>
              <w:rPr>
                <w:rFonts w:ascii="Arial" w:cs="Arial" w:eastAsia="Arial" w:hAnsi="Arial"/>
                <w:sz w:val="15"/>
                <w:szCs w:val="15"/>
                <w:color w:val="auto"/>
              </w:rPr>
              <w:t>Selected Financial Data</w:t>
            </w:r>
          </w:p>
        </w:tc>
        <w:tc>
          <w:tcPr>
            <w:tcW w:w="1320" w:type="dxa"/>
            <w:vAlign w:val="bottom"/>
          </w:tcPr>
          <w:p>
            <w:pPr>
              <w:jc w:val="right"/>
              <w:spacing w:after="0"/>
              <w:rPr>
                <w:rFonts w:ascii="Arial" w:cs="Arial" w:eastAsia="Arial" w:hAnsi="Arial"/>
                <w:sz w:val="15"/>
                <w:szCs w:val="15"/>
                <w:u w:val="single" w:color="auto"/>
                <w:color w:val="0000FF"/>
              </w:rPr>
            </w:pPr>
            <w:hyperlink w:anchor="page38">
              <w:r>
                <w:rPr>
                  <w:rFonts w:ascii="Arial" w:cs="Arial" w:eastAsia="Arial" w:hAnsi="Arial"/>
                  <w:sz w:val="15"/>
                  <w:szCs w:val="15"/>
                  <w:u w:val="single" w:color="auto"/>
                  <w:color w:val="0000FF"/>
                </w:rPr>
                <w:t>36</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7.</w:t>
            </w:r>
          </w:p>
        </w:tc>
        <w:tc>
          <w:tcPr>
            <w:tcW w:w="8900" w:type="dxa"/>
            <w:vAlign w:val="bottom"/>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1320" w:type="dxa"/>
            <w:vAlign w:val="bottom"/>
          </w:tcPr>
          <w:p>
            <w:pPr>
              <w:jc w:val="right"/>
              <w:spacing w:after="0"/>
              <w:rPr>
                <w:rFonts w:ascii="Arial" w:cs="Arial" w:eastAsia="Arial" w:hAnsi="Arial"/>
                <w:sz w:val="15"/>
                <w:szCs w:val="15"/>
                <w:u w:val="single" w:color="auto"/>
                <w:color w:val="0000FF"/>
              </w:rPr>
            </w:pPr>
            <w:hyperlink w:anchor="page38">
              <w:r>
                <w:rPr>
                  <w:rFonts w:ascii="Arial" w:cs="Arial" w:eastAsia="Arial" w:hAnsi="Arial"/>
                  <w:sz w:val="15"/>
                  <w:szCs w:val="15"/>
                  <w:u w:val="single" w:color="auto"/>
                  <w:color w:val="0000FF"/>
                </w:rPr>
                <w:t>36</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7A.</w:t>
            </w:r>
          </w:p>
        </w:tc>
        <w:tc>
          <w:tcPr>
            <w:tcW w:w="8900" w:type="dxa"/>
            <w:vAlign w:val="bottom"/>
          </w:tcPr>
          <w:p>
            <w:pPr>
              <w:spacing w:after="0"/>
              <w:rPr>
                <w:sz w:val="20"/>
                <w:szCs w:val="20"/>
                <w:color w:val="auto"/>
              </w:rPr>
            </w:pPr>
            <w:r>
              <w:rPr>
                <w:rFonts w:ascii="Arial" w:cs="Arial" w:eastAsia="Arial" w:hAnsi="Arial"/>
                <w:sz w:val="15"/>
                <w:szCs w:val="15"/>
                <w:color w:val="auto"/>
              </w:rPr>
              <w:t>Quantitative and Qualitative Disclosures About Market Risk</w:t>
            </w:r>
          </w:p>
        </w:tc>
        <w:tc>
          <w:tcPr>
            <w:tcW w:w="1320" w:type="dxa"/>
            <w:vAlign w:val="bottom"/>
          </w:tcPr>
          <w:p>
            <w:pPr>
              <w:jc w:val="right"/>
              <w:spacing w:after="0"/>
              <w:rPr>
                <w:rFonts w:ascii="Arial" w:cs="Arial" w:eastAsia="Arial" w:hAnsi="Arial"/>
                <w:sz w:val="15"/>
                <w:szCs w:val="15"/>
                <w:u w:val="single" w:color="auto"/>
                <w:color w:val="0000FF"/>
              </w:rPr>
            </w:pPr>
            <w:hyperlink w:anchor="page38">
              <w:r>
                <w:rPr>
                  <w:rFonts w:ascii="Arial" w:cs="Arial" w:eastAsia="Arial" w:hAnsi="Arial"/>
                  <w:sz w:val="15"/>
                  <w:szCs w:val="15"/>
                  <w:u w:val="single" w:color="auto"/>
                  <w:color w:val="0000FF"/>
                </w:rPr>
                <w:t>36</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8.</w:t>
            </w:r>
          </w:p>
        </w:tc>
        <w:tc>
          <w:tcPr>
            <w:tcW w:w="8900" w:type="dxa"/>
            <w:vAlign w:val="bottom"/>
          </w:tcPr>
          <w:p>
            <w:pPr>
              <w:spacing w:after="0"/>
              <w:rPr>
                <w:sz w:val="20"/>
                <w:szCs w:val="20"/>
                <w:color w:val="auto"/>
              </w:rPr>
            </w:pPr>
            <w:r>
              <w:rPr>
                <w:rFonts w:ascii="Arial" w:cs="Arial" w:eastAsia="Arial" w:hAnsi="Arial"/>
                <w:sz w:val="15"/>
                <w:szCs w:val="15"/>
                <w:color w:val="auto"/>
              </w:rPr>
              <w:t>Financial Statements and Supplementary Data</w:t>
            </w:r>
          </w:p>
        </w:tc>
        <w:tc>
          <w:tcPr>
            <w:tcW w:w="1320" w:type="dxa"/>
            <w:vAlign w:val="bottom"/>
          </w:tcPr>
          <w:p>
            <w:pPr>
              <w:jc w:val="right"/>
              <w:spacing w:after="0"/>
              <w:rPr>
                <w:rFonts w:ascii="Arial" w:cs="Arial" w:eastAsia="Arial" w:hAnsi="Arial"/>
                <w:sz w:val="15"/>
                <w:szCs w:val="15"/>
                <w:u w:val="single" w:color="auto"/>
                <w:color w:val="0000FF"/>
              </w:rPr>
            </w:pPr>
            <w:hyperlink w:anchor="page39">
              <w:r>
                <w:rPr>
                  <w:rFonts w:ascii="Arial" w:cs="Arial" w:eastAsia="Arial" w:hAnsi="Arial"/>
                  <w:sz w:val="15"/>
                  <w:szCs w:val="15"/>
                  <w:u w:val="single" w:color="auto"/>
                  <w:color w:val="0000FF"/>
                </w:rPr>
                <w:t>37</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9.</w:t>
            </w:r>
          </w:p>
        </w:tc>
        <w:tc>
          <w:tcPr>
            <w:tcW w:w="8900" w:type="dxa"/>
            <w:vAlign w:val="bottom"/>
          </w:tcPr>
          <w:p>
            <w:pPr>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1320" w:type="dxa"/>
            <w:vAlign w:val="bottom"/>
          </w:tcPr>
          <w:p>
            <w:pPr>
              <w:jc w:val="right"/>
              <w:spacing w:after="0"/>
              <w:rPr>
                <w:rFonts w:ascii="Arial" w:cs="Arial" w:eastAsia="Arial" w:hAnsi="Arial"/>
                <w:sz w:val="15"/>
                <w:szCs w:val="15"/>
                <w:u w:val="single" w:color="auto"/>
                <w:color w:val="0000FF"/>
              </w:rPr>
            </w:pPr>
            <w:hyperlink w:anchor="page39">
              <w:r>
                <w:rPr>
                  <w:rFonts w:ascii="Arial" w:cs="Arial" w:eastAsia="Arial" w:hAnsi="Arial"/>
                  <w:sz w:val="15"/>
                  <w:szCs w:val="15"/>
                  <w:u w:val="single" w:color="auto"/>
                  <w:color w:val="0000FF"/>
                </w:rPr>
                <w:t>37</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9A.</w:t>
            </w:r>
          </w:p>
        </w:tc>
        <w:tc>
          <w:tcPr>
            <w:tcW w:w="8900" w:type="dxa"/>
            <w:vAlign w:val="bottom"/>
          </w:tcPr>
          <w:p>
            <w:pPr>
              <w:spacing w:after="0"/>
              <w:rPr>
                <w:sz w:val="20"/>
                <w:szCs w:val="20"/>
                <w:color w:val="auto"/>
              </w:rPr>
            </w:pPr>
            <w:r>
              <w:rPr>
                <w:rFonts w:ascii="Arial" w:cs="Arial" w:eastAsia="Arial" w:hAnsi="Arial"/>
                <w:sz w:val="15"/>
                <w:szCs w:val="15"/>
                <w:color w:val="auto"/>
              </w:rPr>
              <w:t>Controls and Procedures</w:t>
            </w:r>
          </w:p>
        </w:tc>
        <w:tc>
          <w:tcPr>
            <w:tcW w:w="1320" w:type="dxa"/>
            <w:vAlign w:val="bottom"/>
          </w:tcPr>
          <w:p>
            <w:pPr>
              <w:jc w:val="right"/>
              <w:spacing w:after="0"/>
              <w:rPr>
                <w:rFonts w:ascii="Arial" w:cs="Arial" w:eastAsia="Arial" w:hAnsi="Arial"/>
                <w:sz w:val="15"/>
                <w:szCs w:val="15"/>
                <w:u w:val="single" w:color="auto"/>
                <w:color w:val="0000FF"/>
              </w:rPr>
            </w:pPr>
            <w:hyperlink w:anchor="page39">
              <w:r>
                <w:rPr>
                  <w:rFonts w:ascii="Arial" w:cs="Arial" w:eastAsia="Arial" w:hAnsi="Arial"/>
                  <w:sz w:val="15"/>
                  <w:szCs w:val="15"/>
                  <w:u w:val="single" w:color="auto"/>
                  <w:color w:val="0000FF"/>
                </w:rPr>
                <w:t>37</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9B.</w:t>
            </w:r>
          </w:p>
        </w:tc>
        <w:tc>
          <w:tcPr>
            <w:tcW w:w="8900" w:type="dxa"/>
            <w:vAlign w:val="bottom"/>
          </w:tcPr>
          <w:p>
            <w:pPr>
              <w:spacing w:after="0"/>
              <w:rPr>
                <w:sz w:val="20"/>
                <w:szCs w:val="20"/>
                <w:color w:val="auto"/>
              </w:rPr>
            </w:pPr>
            <w:r>
              <w:rPr>
                <w:rFonts w:ascii="Arial" w:cs="Arial" w:eastAsia="Arial" w:hAnsi="Arial"/>
                <w:sz w:val="15"/>
                <w:szCs w:val="15"/>
                <w:color w:val="auto"/>
              </w:rPr>
              <w:t>Other Information</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38</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10.</w:t>
            </w:r>
          </w:p>
        </w:tc>
        <w:tc>
          <w:tcPr>
            <w:tcW w:w="8900" w:type="dxa"/>
            <w:vAlign w:val="bottom"/>
          </w:tcPr>
          <w:p>
            <w:pPr>
              <w:spacing w:after="0"/>
              <w:rPr>
                <w:sz w:val="20"/>
                <w:szCs w:val="20"/>
                <w:color w:val="auto"/>
              </w:rPr>
            </w:pPr>
            <w:r>
              <w:rPr>
                <w:rFonts w:ascii="Arial" w:cs="Arial" w:eastAsia="Arial" w:hAnsi="Arial"/>
                <w:sz w:val="15"/>
                <w:szCs w:val="15"/>
                <w:color w:val="auto"/>
              </w:rPr>
              <w:t>Directors, Executive Officers and Corporate Governance</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38</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11.</w:t>
            </w:r>
          </w:p>
        </w:tc>
        <w:tc>
          <w:tcPr>
            <w:tcW w:w="8900" w:type="dxa"/>
            <w:vAlign w:val="bottom"/>
          </w:tcPr>
          <w:p>
            <w:pPr>
              <w:spacing w:after="0"/>
              <w:rPr>
                <w:sz w:val="20"/>
                <w:szCs w:val="20"/>
                <w:color w:val="auto"/>
              </w:rPr>
            </w:pPr>
            <w:r>
              <w:rPr>
                <w:rFonts w:ascii="Arial" w:cs="Arial" w:eastAsia="Arial" w:hAnsi="Arial"/>
                <w:sz w:val="15"/>
                <w:szCs w:val="15"/>
                <w:color w:val="auto"/>
              </w:rPr>
              <w:t>Executive Compensation</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38</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12.</w:t>
            </w:r>
          </w:p>
        </w:tc>
        <w:tc>
          <w:tcPr>
            <w:tcW w:w="8900" w:type="dxa"/>
            <w:vAlign w:val="bottom"/>
          </w:tcPr>
          <w:p>
            <w:pPr>
              <w:spacing w:after="0"/>
              <w:rPr>
                <w:sz w:val="20"/>
                <w:szCs w:val="20"/>
                <w:color w:val="auto"/>
              </w:rPr>
            </w:pPr>
            <w:r>
              <w:rPr>
                <w:rFonts w:ascii="Arial" w:cs="Arial" w:eastAsia="Arial" w:hAnsi="Arial"/>
                <w:sz w:val="15"/>
                <w:szCs w:val="15"/>
                <w:color w:val="auto"/>
              </w:rPr>
              <w:t>Security Ownership of Certain Beneficial Owners and Management and Related Stockholder Matters</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38</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13.</w:t>
            </w:r>
          </w:p>
        </w:tc>
        <w:tc>
          <w:tcPr>
            <w:tcW w:w="8900" w:type="dxa"/>
            <w:vAlign w:val="bottom"/>
          </w:tcPr>
          <w:p>
            <w:pPr>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38</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14.</w:t>
            </w:r>
          </w:p>
        </w:tc>
        <w:tc>
          <w:tcPr>
            <w:tcW w:w="8900" w:type="dxa"/>
            <w:vAlign w:val="bottom"/>
          </w:tcPr>
          <w:p>
            <w:pPr>
              <w:spacing w:after="0"/>
              <w:rPr>
                <w:sz w:val="20"/>
                <w:szCs w:val="20"/>
                <w:color w:val="auto"/>
              </w:rPr>
            </w:pPr>
            <w:r>
              <w:rPr>
                <w:rFonts w:ascii="Arial" w:cs="Arial" w:eastAsia="Arial" w:hAnsi="Arial"/>
                <w:sz w:val="15"/>
                <w:szCs w:val="15"/>
                <w:color w:val="auto"/>
              </w:rPr>
              <w:t>Principal Accounting Fees and Services</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38</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15.</w:t>
            </w:r>
          </w:p>
        </w:tc>
        <w:tc>
          <w:tcPr>
            <w:tcW w:w="8900" w:type="dxa"/>
            <w:vAlign w:val="bottom"/>
          </w:tcPr>
          <w:p>
            <w:pPr>
              <w:spacing w:after="0"/>
              <w:rPr>
                <w:sz w:val="20"/>
                <w:szCs w:val="20"/>
                <w:color w:val="auto"/>
              </w:rPr>
            </w:pPr>
            <w:r>
              <w:rPr>
                <w:rFonts w:ascii="Arial" w:cs="Arial" w:eastAsia="Arial" w:hAnsi="Arial"/>
                <w:sz w:val="15"/>
                <w:szCs w:val="15"/>
                <w:color w:val="auto"/>
              </w:rPr>
              <w:t>Exhibits, Financial Statement Schedules</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38</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Item 16.</w:t>
            </w:r>
          </w:p>
        </w:tc>
        <w:tc>
          <w:tcPr>
            <w:tcW w:w="8900" w:type="dxa"/>
            <w:vAlign w:val="bottom"/>
          </w:tcPr>
          <w:p>
            <w:pPr>
              <w:spacing w:after="0"/>
              <w:rPr>
                <w:sz w:val="20"/>
                <w:szCs w:val="20"/>
                <w:color w:val="auto"/>
              </w:rPr>
            </w:pPr>
            <w:r>
              <w:rPr>
                <w:rFonts w:ascii="Arial" w:cs="Arial" w:eastAsia="Arial" w:hAnsi="Arial"/>
                <w:sz w:val="15"/>
                <w:szCs w:val="15"/>
                <w:color w:val="auto"/>
              </w:rPr>
              <w:t>Form 10-K Summary</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38</w:t>
              </w:r>
            </w:hyperlink>
          </w:p>
        </w:tc>
      </w:tr>
      <w:tr>
        <w:trPr>
          <w:trHeight w:val="216"/>
        </w:trPr>
        <w:tc>
          <w:tcPr>
            <w:tcW w:w="9920" w:type="dxa"/>
            <w:vAlign w:val="bottom"/>
            <w:gridSpan w:val="2"/>
          </w:tcPr>
          <w:p>
            <w:pPr>
              <w:ind w:left="20"/>
              <w:spacing w:after="0"/>
              <w:rPr>
                <w:sz w:val="20"/>
                <w:szCs w:val="20"/>
                <w:color w:val="auto"/>
              </w:rPr>
            </w:pPr>
            <w:r>
              <w:rPr>
                <w:rFonts w:ascii="Arial" w:cs="Arial" w:eastAsia="Arial" w:hAnsi="Arial"/>
                <w:sz w:val="15"/>
                <w:szCs w:val="15"/>
                <w:color w:val="auto"/>
              </w:rPr>
              <w:t>INDEX TO EXHIBITS</w:t>
            </w:r>
          </w:p>
        </w:tc>
        <w:tc>
          <w:tcPr>
            <w:tcW w:w="1320" w:type="dxa"/>
            <w:vAlign w:val="bottom"/>
          </w:tcPr>
          <w:p>
            <w:pPr>
              <w:jc w:val="right"/>
              <w:spacing w:after="0"/>
              <w:rPr>
                <w:rFonts w:ascii="Arial" w:cs="Arial" w:eastAsia="Arial" w:hAnsi="Arial"/>
                <w:sz w:val="15"/>
                <w:szCs w:val="15"/>
                <w:u w:val="single" w:color="auto"/>
                <w:color w:val="0000FF"/>
              </w:rPr>
            </w:pPr>
            <w:hyperlink w:anchor="page40">
              <w:r>
                <w:rPr>
                  <w:rFonts w:ascii="Arial" w:cs="Arial" w:eastAsia="Arial" w:hAnsi="Arial"/>
                  <w:sz w:val="15"/>
                  <w:szCs w:val="15"/>
                  <w:u w:val="single" w:color="auto"/>
                  <w:color w:val="0000FF"/>
                </w:rPr>
                <w:t>39</w:t>
              </w:r>
            </w:hyperlink>
          </w:p>
        </w:tc>
      </w:tr>
      <w:tr>
        <w:trPr>
          <w:trHeight w:val="216"/>
        </w:trPr>
        <w:tc>
          <w:tcPr>
            <w:tcW w:w="1020" w:type="dxa"/>
            <w:vAlign w:val="bottom"/>
          </w:tcPr>
          <w:p>
            <w:pPr>
              <w:ind w:left="20"/>
              <w:spacing w:after="0"/>
              <w:rPr>
                <w:sz w:val="20"/>
                <w:szCs w:val="20"/>
                <w:color w:val="auto"/>
              </w:rPr>
            </w:pPr>
            <w:r>
              <w:rPr>
                <w:rFonts w:ascii="Arial" w:cs="Arial" w:eastAsia="Arial" w:hAnsi="Arial"/>
                <w:sz w:val="15"/>
                <w:szCs w:val="15"/>
                <w:color w:val="auto"/>
              </w:rPr>
              <w:t>SIGNATURES</w:t>
            </w:r>
          </w:p>
        </w:tc>
        <w:tc>
          <w:tcPr>
            <w:tcW w:w="8900" w:type="dxa"/>
            <w:vAlign w:val="bottom"/>
          </w:tcPr>
          <w:p>
            <w:pPr>
              <w:spacing w:after="0"/>
              <w:rPr>
                <w:sz w:val="18"/>
                <w:szCs w:val="18"/>
                <w:color w:val="auto"/>
              </w:rPr>
            </w:pPr>
          </w:p>
        </w:tc>
        <w:tc>
          <w:tcPr>
            <w:tcW w:w="1320" w:type="dxa"/>
            <w:vAlign w:val="bottom"/>
          </w:tcPr>
          <w:p>
            <w:pPr>
              <w:jc w:val="right"/>
              <w:spacing w:after="0"/>
              <w:rPr>
                <w:rFonts w:ascii="Arial" w:cs="Arial" w:eastAsia="Arial" w:hAnsi="Arial"/>
                <w:sz w:val="15"/>
                <w:szCs w:val="15"/>
                <w:u w:val="single" w:color="auto"/>
                <w:color w:val="0000FF"/>
              </w:rPr>
            </w:pPr>
            <w:hyperlink w:anchor="page42">
              <w:r>
                <w:rPr>
                  <w:rFonts w:ascii="Arial" w:cs="Arial" w:eastAsia="Arial" w:hAnsi="Arial"/>
                  <w:sz w:val="15"/>
                  <w:szCs w:val="15"/>
                  <w:u w:val="single" w:color="auto"/>
                  <w:color w:val="0000FF"/>
                </w:rPr>
                <w:t>41</w:t>
              </w:r>
            </w:hyperlink>
          </w:p>
        </w:tc>
      </w:tr>
      <w:tr>
        <w:trPr>
          <w:trHeight w:val="216"/>
        </w:trPr>
        <w:tc>
          <w:tcPr>
            <w:tcW w:w="9920" w:type="dxa"/>
            <w:vAlign w:val="bottom"/>
            <w:gridSpan w:val="2"/>
          </w:tcPr>
          <w:p>
            <w:pPr>
              <w:ind w:left="20"/>
              <w:spacing w:after="0"/>
              <w:rPr>
                <w:sz w:val="20"/>
                <w:szCs w:val="20"/>
                <w:color w:val="auto"/>
              </w:rPr>
            </w:pPr>
            <w:r>
              <w:rPr>
                <w:rFonts w:ascii="Arial" w:cs="Arial" w:eastAsia="Arial" w:hAnsi="Arial"/>
                <w:sz w:val="15"/>
                <w:szCs w:val="15"/>
                <w:color w:val="auto"/>
              </w:rPr>
              <w:t>INDEX TO FINANCIAL INFORMATION</w:t>
            </w:r>
          </w:p>
        </w:tc>
        <w:tc>
          <w:tcPr>
            <w:tcW w:w="1320" w:type="dxa"/>
            <w:vAlign w:val="bottom"/>
          </w:tcPr>
          <w:p>
            <w:pPr>
              <w:jc w:val="right"/>
              <w:spacing w:after="0"/>
              <w:rPr>
                <w:rFonts w:ascii="Arial" w:cs="Arial" w:eastAsia="Arial" w:hAnsi="Arial"/>
                <w:sz w:val="15"/>
                <w:szCs w:val="15"/>
                <w:u w:val="single" w:color="auto"/>
                <w:color w:val="0000FF"/>
              </w:rPr>
            </w:pPr>
            <w:hyperlink w:anchor="page43">
              <w:r>
                <w:rPr>
                  <w:rFonts w:ascii="Arial" w:cs="Arial" w:eastAsia="Arial" w:hAnsi="Arial"/>
                  <w:sz w:val="15"/>
                  <w:szCs w:val="15"/>
                  <w:u w:val="single" w:color="auto"/>
                  <w:color w:val="0000FF"/>
                </w:rPr>
                <w:t>42</w:t>
              </w:r>
            </w:hyperlink>
          </w:p>
        </w:tc>
      </w:tr>
      <w:tr>
        <w:trPr>
          <w:trHeight w:val="216"/>
        </w:trPr>
        <w:tc>
          <w:tcPr>
            <w:tcW w:w="9920" w:type="dxa"/>
            <w:vAlign w:val="bottom"/>
            <w:gridSpan w:val="2"/>
          </w:tcPr>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tc>
        <w:tc>
          <w:tcPr>
            <w:tcW w:w="1320" w:type="dxa"/>
            <w:vAlign w:val="bottom"/>
          </w:tcPr>
          <w:p>
            <w:pPr>
              <w:jc w:val="right"/>
              <w:spacing w:after="0"/>
              <w:rPr>
                <w:rFonts w:ascii="Arial" w:cs="Arial" w:eastAsia="Arial" w:hAnsi="Arial"/>
                <w:sz w:val="15"/>
                <w:szCs w:val="15"/>
                <w:u w:val="single" w:color="auto"/>
                <w:color w:val="0000FF"/>
              </w:rPr>
            </w:pPr>
            <w:hyperlink w:anchor="page44">
              <w:r>
                <w:rPr>
                  <w:rFonts w:ascii="Arial" w:cs="Arial" w:eastAsia="Arial" w:hAnsi="Arial"/>
                  <w:sz w:val="15"/>
                  <w:szCs w:val="15"/>
                  <w:u w:val="single" w:color="auto"/>
                  <w:color w:val="0000FF"/>
                </w:rPr>
                <w:t>43</w:t>
              </w:r>
            </w:hyperlink>
          </w:p>
        </w:tc>
      </w:tr>
      <w:tr>
        <w:trPr>
          <w:trHeight w:val="216"/>
        </w:trPr>
        <w:tc>
          <w:tcPr>
            <w:tcW w:w="9920" w:type="dxa"/>
            <w:vAlign w:val="bottom"/>
            <w:gridSpan w:val="2"/>
          </w:tcPr>
          <w:p>
            <w:pPr>
              <w:ind w:left="140"/>
              <w:spacing w:after="0"/>
              <w:rPr>
                <w:sz w:val="20"/>
                <w:szCs w:val="20"/>
                <w:color w:val="auto"/>
              </w:rPr>
            </w:pPr>
            <w:r>
              <w:rPr>
                <w:rFonts w:ascii="Arial" w:cs="Arial" w:eastAsia="Arial" w:hAnsi="Arial"/>
                <w:sz w:val="15"/>
                <w:szCs w:val="15"/>
                <w:color w:val="auto"/>
              </w:rPr>
              <w:t>Financial Statements:</w:t>
            </w:r>
          </w:p>
        </w:tc>
        <w:tc>
          <w:tcPr>
            <w:tcW w:w="1320" w:type="dxa"/>
            <w:vAlign w:val="bottom"/>
          </w:tcPr>
          <w:p>
            <w:pPr>
              <w:spacing w:after="0"/>
              <w:rPr>
                <w:sz w:val="18"/>
                <w:szCs w:val="18"/>
                <w:color w:val="auto"/>
              </w:rPr>
            </w:pPr>
          </w:p>
        </w:tc>
      </w:tr>
      <w:tr>
        <w:trPr>
          <w:trHeight w:val="216"/>
        </w:trPr>
        <w:tc>
          <w:tcPr>
            <w:tcW w:w="9920" w:type="dxa"/>
            <w:vAlign w:val="bottom"/>
            <w:gridSpan w:val="2"/>
          </w:tcPr>
          <w:p>
            <w:pPr>
              <w:ind w:left="220"/>
              <w:spacing w:after="0"/>
              <w:rPr>
                <w:sz w:val="20"/>
                <w:szCs w:val="20"/>
                <w:color w:val="auto"/>
              </w:rPr>
            </w:pPr>
            <w:r>
              <w:rPr>
                <w:rFonts w:ascii="Arial" w:cs="Arial" w:eastAsia="Arial" w:hAnsi="Arial"/>
                <w:sz w:val="15"/>
                <w:szCs w:val="15"/>
                <w:color w:val="auto"/>
              </w:rPr>
              <w:t>Report of Independent Registered Public Accounting Firm</w:t>
            </w:r>
          </w:p>
        </w:tc>
        <w:tc>
          <w:tcPr>
            <w:tcW w:w="1320" w:type="dxa"/>
            <w:vAlign w:val="bottom"/>
          </w:tcPr>
          <w:p>
            <w:pPr>
              <w:jc w:val="right"/>
              <w:spacing w:after="0"/>
              <w:rPr>
                <w:rFonts w:ascii="Arial" w:cs="Arial" w:eastAsia="Arial" w:hAnsi="Arial"/>
                <w:sz w:val="15"/>
                <w:szCs w:val="15"/>
                <w:u w:val="single" w:color="auto"/>
                <w:color w:val="0000FF"/>
              </w:rPr>
            </w:pPr>
            <w:hyperlink w:anchor="page67">
              <w:r>
                <w:rPr>
                  <w:rFonts w:ascii="Arial" w:cs="Arial" w:eastAsia="Arial" w:hAnsi="Arial"/>
                  <w:sz w:val="15"/>
                  <w:szCs w:val="15"/>
                  <w:u w:val="single" w:color="auto"/>
                  <w:color w:val="0000FF"/>
                </w:rPr>
                <w:t>66</w:t>
              </w:r>
            </w:hyperlink>
          </w:p>
        </w:tc>
      </w:tr>
      <w:tr>
        <w:trPr>
          <w:trHeight w:val="216"/>
        </w:trPr>
        <w:tc>
          <w:tcPr>
            <w:tcW w:w="992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Operations for the Three Years Ended December 31, 2020</w:t>
            </w:r>
          </w:p>
        </w:tc>
        <w:tc>
          <w:tcPr>
            <w:tcW w:w="1320" w:type="dxa"/>
            <w:vAlign w:val="bottom"/>
          </w:tcPr>
          <w:p>
            <w:pPr>
              <w:jc w:val="right"/>
              <w:spacing w:after="0"/>
              <w:rPr>
                <w:rFonts w:ascii="Arial" w:cs="Arial" w:eastAsia="Arial" w:hAnsi="Arial"/>
                <w:sz w:val="15"/>
                <w:szCs w:val="15"/>
                <w:u w:val="single" w:color="auto"/>
                <w:color w:val="0000FF"/>
              </w:rPr>
            </w:pPr>
            <w:hyperlink w:anchor="page69">
              <w:r>
                <w:rPr>
                  <w:rFonts w:ascii="Arial" w:cs="Arial" w:eastAsia="Arial" w:hAnsi="Arial"/>
                  <w:sz w:val="15"/>
                  <w:szCs w:val="15"/>
                  <w:u w:val="single" w:color="auto"/>
                  <w:color w:val="0000FF"/>
                </w:rPr>
                <w:t>68</w:t>
              </w:r>
            </w:hyperlink>
          </w:p>
        </w:tc>
      </w:tr>
      <w:tr>
        <w:trPr>
          <w:trHeight w:val="216"/>
        </w:trPr>
        <w:tc>
          <w:tcPr>
            <w:tcW w:w="992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Comprehensive Income (Loss) for the Three Years Ended December 31, 2020</w:t>
            </w:r>
          </w:p>
        </w:tc>
        <w:tc>
          <w:tcPr>
            <w:tcW w:w="1320" w:type="dxa"/>
            <w:vAlign w:val="bottom"/>
          </w:tcPr>
          <w:p>
            <w:pPr>
              <w:jc w:val="right"/>
              <w:spacing w:after="0"/>
              <w:rPr>
                <w:rFonts w:ascii="Arial" w:cs="Arial" w:eastAsia="Arial" w:hAnsi="Arial"/>
                <w:sz w:val="15"/>
                <w:szCs w:val="15"/>
                <w:u w:val="single" w:color="auto"/>
                <w:color w:val="0000FF"/>
              </w:rPr>
            </w:pPr>
            <w:hyperlink w:anchor="page70">
              <w:r>
                <w:rPr>
                  <w:rFonts w:ascii="Arial" w:cs="Arial" w:eastAsia="Arial" w:hAnsi="Arial"/>
                  <w:sz w:val="15"/>
                  <w:szCs w:val="15"/>
                  <w:u w:val="single" w:color="auto"/>
                  <w:color w:val="0000FF"/>
                </w:rPr>
                <w:t>69</w:t>
              </w:r>
            </w:hyperlink>
          </w:p>
        </w:tc>
      </w:tr>
      <w:tr>
        <w:trPr>
          <w:trHeight w:val="216"/>
        </w:trPr>
        <w:tc>
          <w:tcPr>
            <w:tcW w:w="9920" w:type="dxa"/>
            <w:vAlign w:val="bottom"/>
            <w:gridSpan w:val="2"/>
          </w:tcPr>
          <w:p>
            <w:pPr>
              <w:ind w:left="220"/>
              <w:spacing w:after="0"/>
              <w:rPr>
                <w:sz w:val="20"/>
                <w:szCs w:val="20"/>
                <w:color w:val="auto"/>
              </w:rPr>
            </w:pPr>
            <w:r>
              <w:rPr>
                <w:rFonts w:ascii="Arial" w:cs="Arial" w:eastAsia="Arial" w:hAnsi="Arial"/>
                <w:sz w:val="15"/>
                <w:szCs w:val="15"/>
                <w:color w:val="auto"/>
              </w:rPr>
              <w:t>Consolidated Balance Sheets at December 31, 2020 and 2019</w:t>
            </w:r>
          </w:p>
        </w:tc>
        <w:tc>
          <w:tcPr>
            <w:tcW w:w="1320" w:type="dxa"/>
            <w:vAlign w:val="bottom"/>
          </w:tcPr>
          <w:p>
            <w:pPr>
              <w:jc w:val="right"/>
              <w:spacing w:after="0"/>
              <w:rPr>
                <w:rFonts w:ascii="Arial" w:cs="Arial" w:eastAsia="Arial" w:hAnsi="Arial"/>
                <w:sz w:val="15"/>
                <w:szCs w:val="15"/>
                <w:u w:val="single" w:color="auto"/>
                <w:color w:val="0000FF"/>
              </w:rPr>
            </w:pPr>
            <w:hyperlink w:anchor="page71">
              <w:r>
                <w:rPr>
                  <w:rFonts w:ascii="Arial" w:cs="Arial" w:eastAsia="Arial" w:hAnsi="Arial"/>
                  <w:sz w:val="15"/>
                  <w:szCs w:val="15"/>
                  <w:u w:val="single" w:color="auto"/>
                  <w:color w:val="0000FF"/>
                </w:rPr>
                <w:t>70</w:t>
              </w:r>
            </w:hyperlink>
          </w:p>
        </w:tc>
      </w:tr>
      <w:tr>
        <w:trPr>
          <w:trHeight w:val="216"/>
        </w:trPr>
        <w:tc>
          <w:tcPr>
            <w:tcW w:w="992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Cash Flows for the Three Years Ended December 31, 2020</w:t>
            </w:r>
          </w:p>
        </w:tc>
        <w:tc>
          <w:tcPr>
            <w:tcW w:w="1320" w:type="dxa"/>
            <w:vAlign w:val="bottom"/>
          </w:tcPr>
          <w:p>
            <w:pPr>
              <w:jc w:val="right"/>
              <w:spacing w:after="0"/>
              <w:rPr>
                <w:rFonts w:ascii="Arial" w:cs="Arial" w:eastAsia="Arial" w:hAnsi="Arial"/>
                <w:sz w:val="15"/>
                <w:szCs w:val="15"/>
                <w:u w:val="single" w:color="auto"/>
                <w:color w:val="0000FF"/>
              </w:rPr>
            </w:pPr>
            <w:hyperlink w:anchor="page72">
              <w:r>
                <w:rPr>
                  <w:rFonts w:ascii="Arial" w:cs="Arial" w:eastAsia="Arial" w:hAnsi="Arial"/>
                  <w:sz w:val="15"/>
                  <w:szCs w:val="15"/>
                  <w:u w:val="single" w:color="auto"/>
                  <w:color w:val="0000FF"/>
                </w:rPr>
                <w:t>71</w:t>
              </w:r>
            </w:hyperlink>
          </w:p>
        </w:tc>
      </w:tr>
      <w:tr>
        <w:trPr>
          <w:trHeight w:val="216"/>
        </w:trPr>
        <w:tc>
          <w:tcPr>
            <w:tcW w:w="9920" w:type="dxa"/>
            <w:vAlign w:val="bottom"/>
            <w:gridSpan w:val="2"/>
          </w:tcPr>
          <w:p>
            <w:pPr>
              <w:ind w:left="220"/>
              <w:spacing w:after="0"/>
              <w:rPr>
                <w:sz w:val="20"/>
                <w:szCs w:val="20"/>
                <w:color w:val="auto"/>
              </w:rPr>
            </w:pPr>
            <w:r>
              <w:rPr>
                <w:rFonts w:ascii="Arial" w:cs="Arial" w:eastAsia="Arial" w:hAnsi="Arial"/>
                <w:sz w:val="15"/>
                <w:szCs w:val="15"/>
                <w:color w:val="auto"/>
              </w:rPr>
              <w:t>Consolidated Statements of Changes in Common Stockholders’ Equity for the Three Years Ended December 31, 2020</w:t>
            </w:r>
          </w:p>
        </w:tc>
        <w:tc>
          <w:tcPr>
            <w:tcW w:w="1320" w:type="dxa"/>
            <w:vAlign w:val="bottom"/>
          </w:tcPr>
          <w:p>
            <w:pPr>
              <w:jc w:val="right"/>
              <w:spacing w:after="0"/>
              <w:rPr>
                <w:rFonts w:ascii="Arial" w:cs="Arial" w:eastAsia="Arial" w:hAnsi="Arial"/>
                <w:sz w:val="15"/>
                <w:szCs w:val="15"/>
                <w:u w:val="single" w:color="auto"/>
                <w:color w:val="0000FF"/>
              </w:rPr>
            </w:pPr>
            <w:hyperlink w:anchor="page73">
              <w:r>
                <w:rPr>
                  <w:rFonts w:ascii="Arial" w:cs="Arial" w:eastAsia="Arial" w:hAnsi="Arial"/>
                  <w:sz w:val="15"/>
                  <w:szCs w:val="15"/>
                  <w:u w:val="single" w:color="auto"/>
                  <w:color w:val="0000FF"/>
                </w:rPr>
                <w:t>72</w:t>
              </w:r>
            </w:hyperlink>
          </w:p>
        </w:tc>
      </w:tr>
      <w:tr>
        <w:trPr>
          <w:trHeight w:val="216"/>
        </w:trPr>
        <w:tc>
          <w:tcPr>
            <w:tcW w:w="9920" w:type="dxa"/>
            <w:vAlign w:val="bottom"/>
            <w:gridSpan w:val="2"/>
          </w:tcPr>
          <w:p>
            <w:pPr>
              <w:ind w:left="220"/>
              <w:spacing w:after="0"/>
              <w:rPr>
                <w:sz w:val="20"/>
                <w:szCs w:val="20"/>
                <w:color w:val="auto"/>
              </w:rPr>
            </w:pPr>
            <w:r>
              <w:rPr>
                <w:rFonts w:ascii="Arial" w:cs="Arial" w:eastAsia="Arial" w:hAnsi="Arial"/>
                <w:sz w:val="15"/>
                <w:szCs w:val="15"/>
                <w:color w:val="auto"/>
              </w:rPr>
              <w:t>Notes to Consolidated Financial Statements</w:t>
            </w:r>
          </w:p>
        </w:tc>
        <w:tc>
          <w:tcPr>
            <w:tcW w:w="1320" w:type="dxa"/>
            <w:vAlign w:val="bottom"/>
          </w:tcPr>
          <w:p>
            <w:pPr>
              <w:jc w:val="right"/>
              <w:spacing w:after="0"/>
              <w:rPr>
                <w:rFonts w:ascii="Arial" w:cs="Arial" w:eastAsia="Arial" w:hAnsi="Arial"/>
                <w:sz w:val="15"/>
                <w:szCs w:val="15"/>
                <w:u w:val="single" w:color="auto"/>
                <w:color w:val="0000FF"/>
              </w:rPr>
            </w:pPr>
            <w:hyperlink w:anchor="page74">
              <w:r>
                <w:rPr>
                  <w:rFonts w:ascii="Arial" w:cs="Arial" w:eastAsia="Arial" w:hAnsi="Arial"/>
                  <w:sz w:val="15"/>
                  <w:szCs w:val="15"/>
                  <w:u w:val="single" w:color="auto"/>
                  <w:color w:val="0000FF"/>
                </w:rPr>
                <w:t>73</w:t>
              </w:r>
            </w:hyperlink>
          </w:p>
        </w:tc>
      </w:tr>
      <w:tr>
        <w:trPr>
          <w:trHeight w:val="890"/>
        </w:trPr>
        <w:tc>
          <w:tcPr>
            <w:tcW w:w="102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home health and hospice care; and manufacturing. The Company’s Kaplan, Inc. (Kaplan) subsidiary provides a wide variety of educational services, both domestically and outside the United States (U.S.). The Company’s media operations comprise the ownership and operation of television broadcasting (through the ownership and operation of seven television broadcast stations) plus Slate and Foreign Policy magazines; and Pinna, an ad-free audio streaming service for children. The Company’s home health and hospice operations provide home health, hospice and palliative services. The Company’s manufacturing companies comprise the ownership of a supplier of pressure treated wood, an electrical solutions company, a manufacturer of lifting solutions, and a supplier of certain parts used in electric utilities and industrial systems. The Company also owns automotive dealerships, restaurants, a custom framing service company, a cybersecurity training company, a marketing solutions provider, and a customer data and analytics software company. The Company sold Megaphone, a technology podcasting company, in December 2020.</w:t>
      </w:r>
    </w:p>
    <w:p>
      <w:pPr>
        <w:spacing w:after="0" w:line="11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each of the fiscal years 2020, 2019 and 2018, these operations accounted for approximately 22%, 24% and 24%, respectively, of the Company’s consolidated revenues, and the identifiable assets attributable to non-U.S. operations represented approximately 21% and 24% of the Company’s consolidated assets at December 31, 2020 and 2019,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4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Kaplan, a subsidiary of the Company, provides an extensive range of education and related services worldwide for students and professionals. In 2020, Kaplan served approximately 700,000 students and professionals worldwide and had associations with approximately 14,000 companies and commercial relationships with approximately 4,000 universities, colleges, schools and school districts across the globe. Kaplan conducts its operations through three segments: Kaplan North America Higher Education, Kaplan North America Supplemental Education, and Kaplan International. As more fully described below, Kaplan consolidated its former Kaplan Higher Education, Kaplan Test Preparation and Kaplan Professional segments into one business, Kaplan North America, operating through two segments, Higher Education and Supplemental Education. In addition, the results of the Kaplan Corporate segment include results of Kaplan’s investment activities in education technology companies. The following table presents revenues for each of Kaplan’s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r>
      <w:tr>
        <w:trPr>
          <w:trHeight w:val="198"/>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2018</w:t>
            </w:r>
          </w:p>
        </w:tc>
      </w:tr>
      <w:tr>
        <w:trPr>
          <w:trHeight w:val="217"/>
        </w:trPr>
        <w:tc>
          <w:tcPr>
            <w:tcW w:w="732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653,892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750,245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719,982</w:t>
            </w:r>
          </w:p>
        </w:tc>
      </w:tr>
      <w:tr>
        <w:trPr>
          <w:trHeight w:val="229"/>
        </w:trPr>
        <w:tc>
          <w:tcPr>
            <w:tcW w:w="7320" w:type="dxa"/>
            <w:vAlign w:val="bottom"/>
          </w:tcPr>
          <w:p>
            <w:pPr>
              <w:ind w:left="20"/>
              <w:spacing w:after="0"/>
              <w:rPr>
                <w:sz w:val="20"/>
                <w:szCs w:val="20"/>
                <w:color w:val="auto"/>
              </w:rPr>
            </w:pPr>
            <w:r>
              <w:rPr>
                <w:rFonts w:ascii="Arial" w:cs="Arial" w:eastAsia="Arial" w:hAnsi="Arial"/>
                <w:sz w:val="16"/>
                <w:szCs w:val="16"/>
                <w:color w:val="auto"/>
              </w:rPr>
              <w:t>Kaplan North America Higher Education</w:t>
            </w:r>
          </w:p>
        </w:tc>
        <w:tc>
          <w:tcPr>
            <w:tcW w:w="28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316,095</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305,672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342,085</w:t>
            </w:r>
          </w:p>
        </w:tc>
      </w:tr>
      <w:tr>
        <w:trPr>
          <w:trHeight w:val="230"/>
        </w:trPr>
        <w:tc>
          <w:tcPr>
            <w:tcW w:w="7320" w:type="dxa"/>
            <w:vAlign w:val="bottom"/>
          </w:tcPr>
          <w:p>
            <w:pPr>
              <w:ind w:left="20"/>
              <w:spacing w:after="0"/>
              <w:rPr>
                <w:sz w:val="20"/>
                <w:szCs w:val="20"/>
                <w:color w:val="auto"/>
              </w:rPr>
            </w:pPr>
            <w:r>
              <w:rPr>
                <w:rFonts w:ascii="Arial" w:cs="Arial" w:eastAsia="Arial" w:hAnsi="Arial"/>
                <w:sz w:val="16"/>
                <w:szCs w:val="16"/>
                <w:color w:val="auto"/>
              </w:rPr>
              <w:t>Kaplan North America Supplemental Education</w:t>
            </w:r>
          </w:p>
        </w:tc>
        <w:tc>
          <w:tcPr>
            <w:tcW w:w="28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b w:val="1"/>
                <w:bCs w:val="1"/>
                <w:color w:val="auto"/>
              </w:rPr>
              <w:t>327,087</w:t>
            </w:r>
          </w:p>
        </w:tc>
        <w:tc>
          <w:tcPr>
            <w:tcW w:w="36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388,814</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390,289</w:t>
            </w:r>
          </w:p>
        </w:tc>
      </w:tr>
      <w:tr>
        <w:trPr>
          <w:trHeight w:val="233"/>
        </w:trPr>
        <w:tc>
          <w:tcPr>
            <w:tcW w:w="7320" w:type="dxa"/>
            <w:vAlign w:val="bottom"/>
          </w:tcPr>
          <w:p>
            <w:pPr>
              <w:ind w:left="20"/>
              <w:spacing w:after="0"/>
              <w:rPr>
                <w:sz w:val="20"/>
                <w:szCs w:val="20"/>
                <w:color w:val="auto"/>
              </w:rPr>
            </w:pPr>
            <w:r>
              <w:rPr>
                <w:rFonts w:ascii="Arial" w:cs="Arial" w:eastAsia="Arial" w:hAnsi="Arial"/>
                <w:sz w:val="16"/>
                <w:szCs w:val="16"/>
                <w:color w:val="auto"/>
              </w:rPr>
              <w:t>Kaplan Corporate and Intersegment Eliminations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8,639</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7,019</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r>
      <w:tr>
        <w:trPr>
          <w:trHeight w:val="227"/>
        </w:trPr>
        <w:tc>
          <w:tcPr>
            <w:tcW w:w="7320" w:type="dxa"/>
            <w:vAlign w:val="bottom"/>
          </w:tcPr>
          <w:p>
            <w:pPr>
              <w:ind w:left="220"/>
              <w:spacing w:after="0"/>
              <w:rPr>
                <w:sz w:val="20"/>
                <w:szCs w:val="20"/>
                <w:color w:val="auto"/>
              </w:rPr>
            </w:pPr>
            <w:r>
              <w:rPr>
                <w:rFonts w:ascii="Arial" w:cs="Arial" w:eastAsia="Arial" w:hAnsi="Arial"/>
                <w:sz w:val="16"/>
                <w:szCs w:val="16"/>
                <w:color w:val="auto"/>
              </w:rPr>
              <w:t>Total Kaplan Revenue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1,305,713</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1,451,750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1,451,015</w:t>
            </w: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2020, Kaplan combined its three segments based in the United States (Kaplan Higher Education, Kaplan Test Preparation and Kaplan Professional) into one business known as Kaplan North America. The combination reinforces Kaplan’s interconnected products and services, increases competitiveness in Kaplan’s markets and drives efficiencies.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4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Kaplan International (KI) operates businesses in Europe and the Middle East, North America and the Asia Pacific region, each of which is discussed below. In March 2020, Kaplan acquired BridgeU, a provider of university and careers guidance services for global and international schools.</w:t>
      </w:r>
    </w:p>
    <w:p>
      <w:pPr>
        <w:spacing w:after="0" w:line="11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i w:val="1"/>
          <w:iCs w:val="1"/>
          <w:color w:val="auto"/>
        </w:rPr>
        <w:t xml:space="preserve">Europe and Middle East. </w:t>
      </w:r>
      <w:r>
        <w:rPr>
          <w:rFonts w:ascii="Arial" w:cs="Arial" w:eastAsia="Arial" w:hAnsi="Arial"/>
          <w:sz w:val="18"/>
          <w:szCs w:val="18"/>
          <w:color w:val="auto"/>
        </w:rPr>
        <w:t>In Europe, KI operates the following businesses, all of which are based in the United Kingdom (U.K.) and Ireland: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Kaplan UK, KI Pathways, KI Languages, Mander Portman Woodward, Dublin Business School, Kaplan Open Learning and BridgeU. In the Middle East, Kaplan International has operations in the United Arab Emirates.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 w:name="page4"/>
    <w:bookmarkEnd w:id="3"/>
    <w:p>
      <w:pPr>
        <w:ind w:right="100"/>
        <w:spacing w:after="0" w:line="228" w:lineRule="auto"/>
        <w:rPr>
          <w:sz w:val="20"/>
          <w:szCs w:val="20"/>
          <w:color w:val="auto"/>
        </w:rPr>
      </w:pPr>
      <w:r>
        <w:rPr>
          <w:rFonts w:ascii="Arial" w:cs="Arial" w:eastAsia="Arial" w:hAnsi="Arial"/>
          <w:sz w:val="18"/>
          <w:szCs w:val="18"/>
          <w:color w:val="auto"/>
        </w:rPr>
        <w:t>The Kaplan UK business in Europe, through Kaplan Financial Limited, is a provider of apprenticeship training and test preparation services for accounting and financial services professionals, including those studying for ACCA, CIMA and ICAEW qualifications. In 2020, Kaplan UK provided courses to over 48,000 students in accountancy and financial services. In addition, Kaplan UK is the sole authorized assessment provider for the Solicitors Regulation Authority of assessments under The Qualified Lawyers Transfer Scheme for candidates seeking to become solicitors of England and Wales who are already qualified lawyers in certain recognized jurisdictions, and will in 2021 transition to being the sole authorized assessment provider for the Solicitors Qualifying Examination for all candidates seeking to become a solicitor in England and Wales. Kaplan UK is headquartered in London, England, and has 21 training centers located throughout the U.K.</w:t>
      </w:r>
    </w:p>
    <w:p>
      <w:pPr>
        <w:spacing w:after="0" w:line="109" w:lineRule="exact"/>
        <w:rPr>
          <w:sz w:val="20"/>
          <w:szCs w:val="20"/>
          <w:color w:val="auto"/>
        </w:rPr>
      </w:pPr>
    </w:p>
    <w:p>
      <w:pPr>
        <w:jc w:val="both"/>
        <w:ind w:right="660"/>
        <w:spacing w:after="0" w:line="239" w:lineRule="auto"/>
        <w:rPr>
          <w:sz w:val="20"/>
          <w:szCs w:val="20"/>
          <w:color w:val="auto"/>
        </w:rPr>
      </w:pPr>
      <w:r>
        <w:rPr>
          <w:rFonts w:ascii="Arial" w:cs="Arial" w:eastAsia="Arial" w:hAnsi="Arial"/>
          <w:sz w:val="18"/>
          <w:szCs w:val="18"/>
          <w:color w:val="auto"/>
        </w:rPr>
        <w:t>The KI Pathways business offers academic preparation programs especially designed for international students who wish to study for degrees from universities in English-speaking countries. In 2020, university preparation programs were delivered in Australia, Japan, Myanmar, Singapore and the U.K.</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KI Languages business provides English-language training, academic preparation programs and test preparation for English proficiency exams, principally for students wishing to study and travel in English-speaking countries. As of December 31, 2020, KI Languages operates 25 English-language schools, with 18 located in the U.K., Ireland, Australia, New Zealand and Canada and seven located in the U.S. In 2020, KI Languages served approximately 15,000 students for in-class English-language instruction. Through the Alpadia language schools, KI Languages also offers French and German language training in France, Germany, Switzerland and the U.K. Alpadia has four language schools, located in France, Germany and Switzerland, and operates summer camps for juniors in other European destinations. KI Languages also offers Spanish language training in four Spanish cities through its partnership with Enforex.</w:t>
      </w:r>
    </w:p>
    <w:p>
      <w:pPr>
        <w:spacing w:after="0" w:line="109"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Mander Portman Woodward (MPW) is a U.K. independent sixth-form college that prepares domestic and international students for A-level examinations that are required for admission to U.K. universities. MPW operates three colleges, in London, Cambridge and Birmingham.</w:t>
      </w:r>
    </w:p>
    <w:p>
      <w:pPr>
        <w:spacing w:after="0" w:line="68"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KI also operates Dublin Business School in Ireland, a higher education institution, and Kaplan Open Learning in the U.K., an online learning institution. At the end of 2020, these institutions enrolled an aggregate of approximately 9,000 students.</w:t>
      </w:r>
    </w:p>
    <w:p>
      <w:pPr>
        <w:spacing w:after="0" w:line="9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In 2020, Kaplan Professional ME (formerly Kaplan Genesis), a financial training business operating in Dubai, United Arab Emirates, taught approximately 1,600 students.</w:t>
      </w:r>
    </w:p>
    <w:p>
      <w:pPr>
        <w:spacing w:after="0" w:line="92"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KI businesses serve a significant number of international students; therefore, the ability to sponsor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students to come to the U.K. is critical to these businesses. Pursuant to regulations administered by the United Kingdom Visas and Immigration Department (UKVI), the KI Pathways business is required to hold or operate Student Route sponsorship licenses (which replaced Tier 4 licenses) for international students to be permitted to enter the U.K. to study the courses that KI Pathways delivers. One of the KI Languages schools also has a Student Route license to enable it to teach international students, although students at these schools generally choose to enter the U.K. on a Visitor or Short Term Student visa as opposed to a Student Route visa.</w:t>
      </w:r>
    </w:p>
    <w:p>
      <w:pPr>
        <w:spacing w:after="0" w:line="11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Each Student Route license holder is required to have passed the Basic Compliance Assessment (BCA) and hold Educational Oversight accreditation. Students who do not satisfy these criteria cannot be issued a Confirmation of Acceptance for Studies by KI’s U.K. schools, which is a prerequisite for obtaining a Student Route visa. The UKVI rules also require all private institutions to obtain Educational Oversight accreditation, which requires a current and satisfactory full risk assessment, audit or review by the appropriate academic standards body. For the ninth consecutive year, all of KI institutions have retained Educational Oversight accreditation, with high grades across all colleges, and all Student Route annual BCA renewals have been approved with high scores in the core measurable requirements. KI Languages has one U.K. English-language school listed on the Kaplan Student master license. The MPW schools each hold current Student and Child Student Route licenses and have performed well consistently, with good records in their Office for Standards in Education, Children’s Services and Skills (OFSTED) and Independent Schools Inspectorate (ISI) Educational Oversight inspections.</w:t>
      </w:r>
    </w:p>
    <w:p>
      <w:pPr>
        <w:spacing w:after="0" w:line="8"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The Higher Education and Research Act 2017 (HERA), formally approved on April 27, 2017, significantly reformed the regulation of the higher education sector in the U.K., including the formation of a new regulator for England, the Office for Students (OfS). The OfS published regulatory guidance in April 2019, including the new Regulatory Framework for Higher Education in England. Students enrolled at Pathways institutions registered with the OfS are, subject to the institution meeting certain compliance requirements, given many of the same student privileges as students of universities in the U.K. All of KI’s other higher education businesses in the U.K., excluding Glasgow International College and University of York International Pathway College, successfully completed registration with the OfS in 2020 to ensure that they could continue operating and retain their Student sponsor licenses and/or continue to accept students funded by U.K. student loans. Glasgow International College, which is located 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 w:name="page5"/>
    <w:bookmarkEnd w:id="4"/>
    <w:p>
      <w:pPr>
        <w:ind w:right="20"/>
        <w:spacing w:after="0" w:line="246" w:lineRule="auto"/>
        <w:rPr>
          <w:sz w:val="20"/>
          <w:szCs w:val="20"/>
          <w:color w:val="auto"/>
        </w:rPr>
      </w:pPr>
      <w:r>
        <w:rPr>
          <w:rFonts w:ascii="Arial" w:cs="Arial" w:eastAsia="Arial" w:hAnsi="Arial"/>
          <w:sz w:val="17"/>
          <w:szCs w:val="17"/>
          <w:color w:val="auto"/>
        </w:rPr>
        <w:t>Scotland, is not regulated by the OfS and remains overseen by the Quality Assurance Agency for higher education (QAA). York Pathway College forms part of the University of York’s OfS registration. No assurance can be given that each KI business in the U.K. will be able to maintain its Student Route or Child Student Route BCA status and Educational Oversight or OfS/QAA registration. Maintenance of each of these approvals requires compliance with several core metrics that may be difficult to sustain. Loss by one or more institutions of either Student BCA status or Educational Oversight or OfS/QAA registration, would have a material adverse effect on KI Europe’s operating results.</w:t>
      </w:r>
    </w:p>
    <w:p>
      <w:pPr>
        <w:spacing w:after="0" w:line="105" w:lineRule="exact"/>
        <w:rPr>
          <w:sz w:val="20"/>
          <w:szCs w:val="20"/>
          <w:color w:val="auto"/>
        </w:rPr>
      </w:pPr>
    </w:p>
    <w:p>
      <w:pPr>
        <w:spacing w:after="0" w:line="223" w:lineRule="auto"/>
        <w:rPr>
          <w:sz w:val="20"/>
          <w:szCs w:val="20"/>
          <w:color w:val="auto"/>
        </w:rPr>
      </w:pPr>
      <w:r>
        <w:rPr>
          <w:rFonts w:ascii="Arial" w:cs="Arial" w:eastAsia="Arial" w:hAnsi="Arial"/>
          <w:sz w:val="18"/>
          <w:szCs w:val="18"/>
          <w:b w:val="1"/>
          <w:bCs w:val="1"/>
          <w:i w:val="1"/>
          <w:iCs w:val="1"/>
          <w:color w:val="auto"/>
        </w:rPr>
        <w:t xml:space="preserve">Impact of Brexit. </w:t>
      </w:r>
      <w:r>
        <w:rPr>
          <w:rFonts w:ascii="Arial" w:cs="Arial" w:eastAsia="Arial" w:hAnsi="Arial"/>
          <w:sz w:val="18"/>
          <w:szCs w:val="18"/>
          <w:color w:val="auto"/>
        </w:rPr>
        <w:t>On June 23, 2016, the U.K. held a referendum in which voters approved a proposal that the U.K. leave the European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Union (EU), commonly referred to as “Brexit.” The U.K.’s withdrawal became effective on January 31, 2020, at which time it entered an 11-month transition period which ended December 31, 2020. The impact of Brexit on KI over time will depend on the agreed terms of the U.K.’s withdrawal from the EU. Uncertainty over the impact and terms of Brexit trade deals may materially diminish interest in traveling to the U.K. for study. If the U.K. is no longer viewed as a favorable study destination, KI’s ability to recruit international students will be adversely impacted, which would materially adversely affect KI’s results of operations and cash flows. As part of the new trade deal, the EU did not grant the U.K. an adequacy decision under the General Data Protection Regulation (GDPR). Instead, the EU and U.K. agreed to delay restrictions on the transfer of personal data for an initial period of at least four months from January 1, 2021, which can be extended to up to six months. If the EU does not determine that the U.K. is an adequate destination for the transfer of personal data by the end of the relevant period, all transfers of personal data from the European Economic Area (EEA) must be made with alternative safeguards. If the U.K. does not receive a determination of adequacy under EU law, then KI will need to work with its corporate and university clients, suppliers, business partners and affiliates in order to implement suitable alternative safeguards to transfer personal data from the EEA to the U.K. KI will also need to review the position under U.K. law. The U.K. has on a transitional basis deemed the EEA to be adequate, meaning that currently alternative safeguards are not required in order to transfer personal data from the U.K. to the EEA. However, this adequacy can be removed at any time by the U.K. which may require KI to implement suitable alternative safeguards.</w:t>
      </w:r>
    </w:p>
    <w:p>
      <w:pPr>
        <w:spacing w:after="0" w:line="11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Revised U.K. immigration rules became effective on January 1, 2021, as the Brexit transition was completed. Effective January 1, 2021, all international students, including EEA and Swiss students studying in the U.K. for more than six months, are required to obtain a Student Route visa unless they are undertaking an English language course under a Short Term Study visa of up to 11 months. Free movement ceased between the EEA (together with Switzerland) and the U.K.; students from these countries entering the U.K. are now subject to the same U.K. immigration rules as students from outside the EEA and Switzerland. EEA and Swiss nationals commencing a higher education course in England from August 2021 will no longer qualify for home fee status or have access to financial support from Student Finance England. It is unclear how international student recruitment agents and prospective international students may view the U.K. as a study destination after the introduction of any new immigration requirements, the EU exit negotiations and the U.K.’s exit from the EU. The introduction of revised immigration rules has historically increased, and may continue to increase, KI’s operating costs in the U.K. The introduction of new visa and other administrative requirements for entry into the U.K., Brexit and the perception of the U.K. as a less favorable study destination may have a materially adverse impact on KI’s ability to recruit international students and KI’s results of operations and cash flows.</w:t>
      </w:r>
    </w:p>
    <w:p>
      <w:pPr>
        <w:spacing w:after="0" w:line="112"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and the People’s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Republic of China, including the Hong Kong Special Administrative Region (Hong Kong).</w:t>
      </w:r>
    </w:p>
    <w:p>
      <w:pPr>
        <w:spacing w:after="0" w:line="92"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In Singapore, Kaplan operates two business units: Kaplan Higher Education and KHEA-Genesis (which comprises the former Kaplan Financial and Kaplan Professional business units). During 2020, the Higher Education and KHEA-Genesis (Financial) divisions served more than 10,300 students from Singapore and approximately 4,100 students from other countries throughout Asia and Western Europe. KHEA-Genesis (Professional) provided short courses to approximately 700 professionals, managers, executives and businesspeople in 2020.</w:t>
      </w:r>
    </w:p>
    <w:p>
      <w:pPr>
        <w:spacing w:after="0" w:line="10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Ireland and the U.K. In addition, this division offers pre-university and diploma programs.</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Kaplan Singapore’s KHEA-Genesis Financial (KHEA-Genesis) business provides preparatory courses for professional qualifications in accountancy and finance, such as the Association of Chartered Certified Accountants (ACCA) and Chartered Financial Analyst (CFA). Kaplan Singapore’s Professional business, through Kaplan Learning Institute, an authorized SkillsFuture Singapore (SSG) Approved Training Organization (ATO), provided professionals with various skills training through workforce skills qualifications (WSQ) courses. Kaplan Learning Institute ceased offering such courses and voluntarily deregistered Kaplan Learning Institute as a private education institution on March 9, 2020, following a notice in June 2019 from SSG suspending Kaplan Singapore Professional’s WSQ ATO status and revoking accreditation and funding for all WSQ courses effective July 1, 2019. These actions have adversely affected and will continue to adversely affect Kaplan Singapore’s revenues and operating results.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ind w:right="400"/>
        <w:spacing w:after="0" w:line="239" w:lineRule="auto"/>
        <w:rPr>
          <w:sz w:val="20"/>
          <w:szCs w:val="20"/>
          <w:color w:val="auto"/>
        </w:rPr>
      </w:pPr>
      <w:r>
        <w:rPr>
          <w:rFonts w:ascii="Arial" w:cs="Arial" w:eastAsia="Arial" w:hAnsi="Arial"/>
          <w:sz w:val="18"/>
          <w:szCs w:val="18"/>
          <w:color w:val="auto"/>
        </w:rPr>
        <w:t>On October 7, 2020, Kaplan Higher Education Academy (KHEA) was granted approval by SSG to deliver WSQ courses as an ATO for a period of two years. KHEA-Genesis is currently securing approvals from SSG for the WSQ courses they intend to offer, with the aim of having the first courses authorized to commence in the second quarter of 2021.</w:t>
      </w:r>
    </w:p>
    <w:p>
      <w:pPr>
        <w:spacing w:after="0" w:line="111"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hospitality, and tourism and management through Kaplan Business School. In 2020, these businesses provided courses to approximately 5,000 students through face-to-face classroom programs (within Kaplan Business School) and approximately 26,000 students through online or distance-learning programs offered by Kaplan Professional. In 2020, Kaplan Professional also had approximately 35,000 subscribers for Ontrack, its continuing professional development platform for financial services professionals.</w:t>
      </w:r>
    </w:p>
    <w:p>
      <w:pPr>
        <w:spacing w:after="0" w:line="11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Kaplan Australia’s English-language business is part of KI Languages, which operates across five locations in Australia and one location in New Zealand, teaching approximately 3,000 students in 2020. The Kaplan Australia Pathways business is also part of KI Pathways. It consists of Murdoch Institute of Technology and the University of Adelaide College and offered face-to-face pathways and foundational education to approximately 1,300 students wishing to enter Murdoch University in Perth and the University of Adelaide in 2020. The contract with Murdoch University to run the Murdoch Institute of Technology is set to expire in June 2021. In November 2019, Kaplan Australia obtained regulatory approval to operate a Melbourne campus for the University of Adelaide, which will commence in March 2021. In November 2020, Kaplan Australia also entered into a seven-year partnership with the University of Newcastle, Australia to operate an on-campus pre-University pathway college offering pathways and English language programs.</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Kaplan Australia also owns Red Marker Pty Ltd., a machine learning and artificial intelligence-based provider of regulatory software for the financial services industry. Red Marker’s Artemis product detects potentially noncompliant content as it is being created, helping advisers and licensees to identify and remediate compliance risks associated with the promotion of financial products or services.</w:t>
      </w:r>
    </w:p>
    <w:p>
      <w:pPr>
        <w:spacing w:after="0" w:line="11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In Hong Kong, Kaplan operates three main business units: Kaplan Financial, Kaplan Language Training and Kaplan Higher Education, serving approximately 9,200 students annually.</w:t>
      </w:r>
    </w:p>
    <w:p>
      <w:pPr>
        <w:spacing w:after="0" w:line="9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Kaplan Hong Kong’s Financial division delivers preparatory courses to approximately 7,400 students and business executives wishing to earn professional qualifications in accountancy, financial markets designations and other professional fields.</w:t>
      </w:r>
    </w:p>
    <w:p>
      <w:pPr>
        <w:spacing w:after="0" w:line="9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Hong Kong’s Language Training division offers test preparation for both overseas study and college applications, including TOEFL, IELTS, SAT and GMAT, to approximately 700 students.</w:t>
      </w:r>
    </w:p>
    <w:p>
      <w:pPr>
        <w:spacing w:after="0" w:line="9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Kaplan Hong Kong’s Higher Education division offers both full-time and part-time programs to approximately 1,100 students studying for degrees from leading Western universities. Students earn doctorate, master’s and bachelor’s degrees in Hong Kong. Kaplan also offers a proprietary pre-college diploma program through the Kaplan Business and Accountancy School.</w:t>
      </w:r>
    </w:p>
    <w:p>
      <w:pPr>
        <w:spacing w:after="0" w:line="11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In 2014, Kaplan Holdings Limited (Hong Kong) signed a joint venture agreement with CITIC Press Corporation. Under the terms of the agreement, the parties incorporated a joint venture company, Kaplan CITIC Education Co. Limited, 49% of which is owned by Kaplan Holdings Limited. The joint venture company is carrying out publishing and distribution of Kaplan Financial training products in the People’s Republic of China (including CFA, FRM and ACCA) and is expanding its business with other Kaplan divisions under an intellectual property license from Kaplan.</w:t>
      </w:r>
    </w:p>
    <w:p>
      <w:pPr>
        <w:spacing w:after="0" w:line="11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and the degree of consistency in the application and interpretation of such regulations can vary significantly in certain jurisdictions.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w:t>
      </w:r>
    </w:p>
    <w:p>
      <w:pPr>
        <w:spacing w:after="0" w:line="146" w:lineRule="exact"/>
        <w:rPr>
          <w:sz w:val="20"/>
          <w:szCs w:val="20"/>
          <w:color w:val="auto"/>
        </w:rPr>
      </w:pPr>
    </w:p>
    <w:p>
      <w:pPr>
        <w:ind w:right="380"/>
        <w:spacing w:after="0" w:line="231" w:lineRule="auto"/>
        <w:rPr>
          <w:sz w:val="20"/>
          <w:szCs w:val="20"/>
          <w:color w:val="auto"/>
        </w:rPr>
      </w:pPr>
      <w:r>
        <w:rPr>
          <w:rFonts w:ascii="Arial" w:cs="Arial" w:eastAsia="Arial" w:hAnsi="Arial"/>
          <w:sz w:val="18"/>
          <w:szCs w:val="18"/>
          <w:color w:val="auto"/>
        </w:rPr>
        <w:t>As discussed above, in the second half of 2020 Kaplan combined its Kaplan Higher Education, Kaplan Test Preparation and Kaplan Professional segments into one business named Kaplan North America (KNA). The following disclosure combines those now legacy segments under the Kaplan North America business comprised of two segments, Kaplan North America Higher Education (comprising primarily former Kaplan Higher Education (KHE) products and services) and Kaplan North America Supplemental Education (comprising primarily former Kaplan Test Preparation (KTP) and former Kaplan Professional (KP) products and services).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Kaplan North America Higher Education</w:t>
      </w:r>
    </w:p>
    <w:p>
      <w:pPr>
        <w:spacing w:after="0" w:line="146"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Until March 22, 2018, through the KHE segment, Kaplan provided postsecondary education services to students through Kaplan University’s (KU) online and fixed-facility colleges. KU provided a wide array of certificate, diploma and degree programs designed to meet the needs of students seeking to advance their education and career goals.</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March 22, 2018, certain subsidiaries of Kaplan contributed the institutional assets and operations of KU to a new university: an Indiana nonprofit, public-benefit corporation affiliated with Purdue University, known as Purdue University Global (Purdue Global). As part of the transfer to Purdue Global, KU transferred students, academic personnel, faculty and operations, property leases for KU’s campuses and learning centers, and Kaplan-owned academic curricula and content related to KU courses. Kaplan also indemnified Purdue for certain pre-closing liabilities. At the same time, KU and Purdue Global entered into a Transition and Operations Support Agreement, which was amended on July 29, 2019 (TOSA), pursuant to which KNA provides key non-academic operations support to Purdue Global. Kaplan received nominal cash consideration upon the transfer of the institutional assets and operations of KU. The combination of the KHE, KTP and KP segments into one KNA business did not change Kaplan’s or Purdue Global’s obligations under the TOSA.</w:t>
      </w:r>
    </w:p>
    <w:p>
      <w:pPr>
        <w:spacing w:after="0" w:line="11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transfer of KU did not include any of the assets of the KU School of Professional and Continuing Education (now managed by KNA), which provides professional training and exam preparation for professional certifications and licensures. The transfer also did not include the transfer of other Kaplan businesses.</w:t>
      </w:r>
    </w:p>
    <w:p>
      <w:pPr>
        <w:spacing w:after="0" w:line="1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KNA also provides similar non-academic operations support services for online pre-college, certificate, undergraduate and graduate programs to institutions such as Purdue University and Wake Forest University. These are the same services and operations provided by the KHE segment which is now a part of the KNA business.</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b w:val="1"/>
          <w:bCs w:val="1"/>
          <w:i w:val="1"/>
          <w:iCs w:val="1"/>
          <w:color w:val="auto"/>
        </w:rPr>
        <w:t xml:space="preserve">Transition and Operations Support Agreement (TOSA). </w:t>
      </w:r>
      <w:r>
        <w:rPr>
          <w:rFonts w:ascii="Arial" w:cs="Arial" w:eastAsia="Arial" w:hAnsi="Arial"/>
          <w:sz w:val="18"/>
          <w:szCs w:val="18"/>
          <w:color w:val="auto"/>
        </w:rPr>
        <w:t>Purdue Global operates largely online as an Indiana public university affiliated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Purdue University. The operations support activities that KNA provides to Purdue Global (and other institutions of higher education, including Purdue University) include technology support, help-desk functions, human resources support for transferred faculty and employees, admissions support, financial aid processing, marketing and advertising, back-office business functions, certain test preparation, and domestic and international student recruiting services.</w:t>
      </w:r>
    </w:p>
    <w:p>
      <w:pPr>
        <w:spacing w:after="0" w:line="19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Pursuant to the TOSA, KNA is not entitled to receive any reimbursement of costs incurred in providing support functions, or any fee, unless and until Purdue Global has first covered all of its operating costs (subject to a cap). If Purdue Global achieves cost efficiencies in its operations, KNA may be entitled to an additional payment equal to 20% of such cost efficiencies (Purdue Efficiency Payment). In addition, during each of Purdue Global’s first five years, prior to any payment to KNA, Purdue Global is entitled to a priority payment of $10 million per year beyond costs (Purdue Priority Payment). To the extent that Purdue Global’s revenue is insufficient to pay the Purdue Priority Payment, KNA is required to advance an amount to Purdue Global to cover such insufficiency. Upon closing of the transaction, Kaplan paid to Purdue Global an advance in the amount of $20 million, representing, and in lieu of, a Purdue Priority Payment for each of the fiscal years ending June 30, 2019, and June 30, 2020.</w:t>
      </w:r>
    </w:p>
    <w:p>
      <w:pPr>
        <w:spacing w:after="0" w:line="11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To the extent that there is sufficient revenue to pay the Purdue Efficiency Payment, Purdue Global will be reimbursed for its operating costs (subject to a cap) and will be paid the Purdue Priority Payment. To the extent that there is remaining revenue, KNA will then be reimbursed for its operating costs (subject to a cap) of providing the support activities. If KNA achieves cost efficiencies in its operations, then KNA may be entitled to an additional payment equal to 20% of such cost efficiencies (KNA Efficiency Payment). The TOSA, as amended, reflects the parties’ intent that, subject to available cash (calculated as cash balance minus cash deficiencies, if any, projected for the next six-month period based on applicable budget), KNA is entitled to receive a fee equal to 12.5% (increasing to 13% from June 30, 2023, through June 30, 2027) of Purdue Global’s revenue, which served as the deferred purchase price for the transfer of KU (Deferred Purchase Price). Separately, KNA is entitled to a fee for services provided equal to 8% of KNA’s costs of providing such services to Purdue</w:t>
      </w:r>
    </w:p>
    <w:p>
      <w:pPr>
        <w:spacing w:after="0" w:line="2"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Global (Contributor Service Fee). KNA’s Contributor Service Fee is deducted from any amounts owed to KNA for the Deferred Purchase Price. Together these payments are known as “Contributor Compensation.” In each case, the Contributor Compensation remains subject to available cash and the limitations of payment carry over from year to year.</w:t>
      </w:r>
    </w:p>
    <w:p>
      <w:pPr>
        <w:spacing w:after="0" w:line="10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After the first five years of the TOSA, KNA and Purdue Global will be entitled to payments in a manner consistent with the structure described above, except that (i) Purdue Global will no longer be entitled to the Purdue Priority Payment and (ii) to the extent that there are sufficient revenues after payment of the KNA Efficiency Payment (if any), Purdue Global will be entitled to an annual payment equal to 10% of the remaining revenue after the KNA Efficiency Payment (if any) is paid, subject to certain other adjustments.</w:t>
      </w:r>
    </w:p>
    <w:p>
      <w:pPr>
        <w:spacing w:after="0" w:line="11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Purdue Global has the right to terminate the agreement upon payment of a termination fee equal to 125% of Purdue Global’s total revenue earned during the preceding 12-month period, which payment would be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7" w:name="page8"/>
    <w:bookmarkEnd w:id="7"/>
    <w:p>
      <w:pPr>
        <w:ind w:right="40"/>
        <w:spacing w:after="0" w:line="224" w:lineRule="auto"/>
        <w:rPr>
          <w:sz w:val="20"/>
          <w:szCs w:val="20"/>
          <w:color w:val="auto"/>
        </w:rPr>
      </w:pPr>
      <w:r>
        <w:rPr>
          <w:rFonts w:ascii="Arial" w:cs="Arial" w:eastAsia="Arial" w:hAnsi="Arial"/>
          <w:sz w:val="18"/>
          <w:szCs w:val="18"/>
          <w:color w:val="auto"/>
        </w:rPr>
        <w:t>made pursuant to a 10-year note, and at the election of Purdue Global, it may receive for no additional consideration certain assets used by KNA exclusively to provide the support activities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it may receive for no additional consideration certain assets used by KNA exclusively to provide the support activities pursuant to the TOSA. Either party may terminate the TOSA at any time if Purdue Global generates (i) $ 25 million in cash operating losses for three consecutive years or (ii) aggregate cash operating losses greater than $75 million at any point during the initial term. Operating loss is defined as the amount by which the sum of (1) Purdue Global’s and KNA’s respective costs in performing academic and support functions and (2) the $ 10 million Purdue Priority Payment in each of the first five years following March 22, 2018, exceeds the revenue Purdue Global generates for the applicable fiscal year. Upon termination for any reason, Purdue Global will retain the assets that Kaplan contributed pursuant to the TOSA. Each party also has certain termination rights in connection with a material default or material breach of the TOSA by the other party.</w:t>
      </w:r>
    </w:p>
    <w:p>
      <w:pPr>
        <w:spacing w:after="0" w:line="116" w:lineRule="exact"/>
        <w:rPr>
          <w:sz w:val="20"/>
          <w:szCs w:val="20"/>
          <w:color w:val="auto"/>
        </w:rPr>
      </w:pPr>
    </w:p>
    <w:p>
      <w:pPr>
        <w:spacing w:after="0" w:line="223" w:lineRule="auto"/>
        <w:rPr>
          <w:sz w:val="20"/>
          <w:szCs w:val="20"/>
          <w:color w:val="auto"/>
        </w:rPr>
      </w:pPr>
      <w:r>
        <w:rPr>
          <w:rFonts w:ascii="Arial" w:cs="Arial" w:eastAsia="Arial" w:hAnsi="Arial"/>
          <w:sz w:val="18"/>
          <w:szCs w:val="18"/>
          <w:b w:val="1"/>
          <w:bCs w:val="1"/>
          <w:i w:val="1"/>
          <w:iCs w:val="1"/>
          <w:color w:val="auto"/>
        </w:rPr>
        <w:t xml:space="preserve">Regulatory Environment. </w:t>
      </w:r>
      <w:r>
        <w:rPr>
          <w:rFonts w:ascii="Arial" w:cs="Arial" w:eastAsia="Arial" w:hAnsi="Arial"/>
          <w:sz w:val="18"/>
          <w:szCs w:val="18"/>
          <w:color w:val="auto"/>
        </w:rPr>
        <w:t>KNA no longer owns or operates KU or any other institution participating in student financial aid programs created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Title IV of the U.S. Federal Higher Education Act of 1965 (Higher Education Act), as amended (Title IV). KNA provides services to Purdue Global, Purdue University, Wake Forest University and other Title IV participating institutions that may require KNA to comply with certain laws and regulations, including applicable statutory provisions of Title IV. KHE also provides financial aid services to Purdue Global and, as such, meets the definition of a “third-party servicer” contained in the Title IV regulations to Purdue Global (but no other institution as of the date of this report). As a third-party servicer, KNA is subject to applicable statutory provisions of Title IV and U.S. Department of Education (ED) regulations that, among other things, require KNA to be jointly and severally liable with its Title IV participating client institution(s) to the ED for any violation by such client institution of any Title IV statute or ED regulation or requirement. KNA is also subject to other federal and state laws, including, but not limited to,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the applicable provisions of the Family Educational Rights and Privacy Act regarding the privacy of student records. KNA’s failure to comply with these and other federal and state laws and regulations could result in adverse consequences to KNA’s business, including, for example:</w:t>
      </w:r>
    </w:p>
    <w:p>
      <w:pPr>
        <w:spacing w:after="0" w:line="119" w:lineRule="exact"/>
        <w:rPr>
          <w:sz w:val="20"/>
          <w:szCs w:val="20"/>
          <w:color w:val="auto"/>
        </w:rPr>
      </w:pPr>
    </w:p>
    <w:p>
      <w:pPr>
        <w:ind w:left="660" w:right="140" w:hanging="328"/>
        <w:spacing w:after="0" w:line="23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imposition on KNA and/or Kaplan of fines, other sanctions, or liabilities, including repayment obligations for Title IV funds to the ED or the termination or limitation on Kaplan’s eligibility to provide services as a third-party servicer to any Title IV participating institution;</w:t>
      </w:r>
    </w:p>
    <w:p>
      <w:pPr>
        <w:spacing w:after="0" w:line="110" w:lineRule="exact"/>
        <w:rPr>
          <w:rFonts w:ascii="Arial" w:cs="Arial" w:eastAsia="Arial" w:hAnsi="Arial"/>
          <w:sz w:val="18"/>
          <w:szCs w:val="18"/>
          <w:color w:val="auto"/>
        </w:rPr>
      </w:pPr>
    </w:p>
    <w:p>
      <w:pPr>
        <w:ind w:left="660" w:right="42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KNA (or the institution) with Title IV, accreditor, federal or state agency requirements;</w:t>
      </w:r>
    </w:p>
    <w:p>
      <w:pPr>
        <w:spacing w:after="0" w:line="110" w:lineRule="exact"/>
        <w:rPr>
          <w:rFonts w:ascii="Arial" w:cs="Arial" w:eastAsia="Arial" w:hAnsi="Arial"/>
          <w:sz w:val="18"/>
          <w:szCs w:val="18"/>
          <w:color w:val="auto"/>
        </w:rPr>
      </w:pPr>
    </w:p>
    <w:p>
      <w:pPr>
        <w:ind w:left="660" w:right="3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laws and regulations occurring prior to the transfer of KU to Purdue.</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i w:val="1"/>
          <w:iCs w:val="1"/>
          <w:color w:val="auto"/>
        </w:rPr>
        <w:t xml:space="preserve">Incentive compensation. </w:t>
      </w:r>
      <w:r>
        <w:rPr>
          <w:rFonts w:ascii="Arial" w:cs="Arial" w:eastAsia="Arial" w:hAnsi="Arial"/>
          <w:sz w:val="18"/>
          <w:szCs w:val="18"/>
          <w:color w:val="auto"/>
        </w:rPr>
        <w:t>Under the ED’s incentive compensation rule, an institution participating in Title IV programs may not provide any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KNA is a third party providing bundled services to Title IV participating institutions that include recruiting and, in the case of Purdue Global, financial aid services. As such, KNA is also subject to the incentive compensation rules and cannot provide any commission, bonus or other incentive payment to any covered employees, subcontractors or other parties engaged in certain student recruiting, admission or financial aid activities based on success in securing enrollments or financial aid. In addition, tuition revenue sharing payments to KNA under the TOSA (as well as any other agreement with any Title IV participating institution) must comply with revenue sharing guidance provided by the ED related to bundled services agreements. For more information, see Item 1A. Risk Factors. Failure to Comply with the ED’s Title IV Incentive Compensation Rule Could Subject Kaplan to Liabilities, Sanctions and Fines.</w:t>
      </w:r>
    </w:p>
    <w:p>
      <w:pPr>
        <w:spacing w:after="0" w:line="1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i w:val="1"/>
          <w:iCs w:val="1"/>
          <w:color w:val="auto"/>
        </w:rPr>
        <w:t xml:space="preserve">Misrepresentations. </w:t>
      </w:r>
      <w:r>
        <w:rPr>
          <w:rFonts w:ascii="Arial" w:cs="Arial" w:eastAsia="Arial" w:hAnsi="Arial"/>
          <w:sz w:val="18"/>
          <w:szCs w:val="18"/>
          <w:color w:val="auto"/>
        </w:rPr>
        <w:t>A Title IV participating institution is required to comply with the ED regulations related to misrepresentations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federal and state laws. These laws and regulations are broad in scope and may extend to statements by servicers, such as KNA, that provide marketing or certain other services to such institutions. The laws and regulations may also apply to KNA’s employees and agents, with respect to statements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 w:name="page9"/>
    <w:bookmarkEnd w:id="8"/>
    <w:p>
      <w:pPr>
        <w:spacing w:after="0" w:line="226" w:lineRule="auto"/>
        <w:rPr>
          <w:sz w:val="20"/>
          <w:szCs w:val="20"/>
          <w:color w:val="auto"/>
        </w:rPr>
      </w:pPr>
      <w:r>
        <w:rPr>
          <w:rFonts w:ascii="Arial" w:cs="Arial" w:eastAsia="Arial" w:hAnsi="Arial"/>
          <w:sz w:val="18"/>
          <w:szCs w:val="18"/>
          <w:color w:val="auto"/>
        </w:rPr>
        <w:t>addressing the nature of an institution’s programs, financial charges or the employability of its graduates. Additionally, failure to comply with these and other federal and state laws and regulations regarding misrepresentations and marketing practices could result in the imposition on KNA or its client institutions of fines, other sanctions, or liabilities, including federal student aid repayment obligations to the ED, the termination or limitation on KNA’s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and could result in fines, other sanctions, or liabilities imposed on KNA.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Compliance by client institutions with Title IV program requirements and other federal, state and accreditation requirements. </w:t>
      </w:r>
      <w:r>
        <w:rPr>
          <w:rFonts w:ascii="Arial" w:cs="Arial" w:eastAsia="Arial" w:hAnsi="Arial"/>
          <w:sz w:val="17"/>
          <w:szCs w:val="17"/>
          <w:color w:val="auto"/>
        </w:rPr>
        <w:t>KNA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services to education institutions that are heavily regulated by federal and state laws and regulations and subject to extensive accrediting body requirements. Presently, a material portion of KNA’s revenues are attributable to service fees it receives under the TOSA, which are dependent upon revenues generated by Purdue Global and dependent upon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 and programmatic accreditation. If the ED finds that Purdue Global or other client institutions have failed to comply with Title IV requirements or improperly disbursed or retained Title IV program funds, it may take one or more of a number of actions, including, but not limited to:</w:t>
      </w:r>
    </w:p>
    <w:p>
      <w:pPr>
        <w:spacing w:after="0" w:line="25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fining the school;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school to repay Title IV program funds;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or terminating the school’s eligibility to participate in Title IV programs;</w:t>
      </w:r>
    </w:p>
    <w:p>
      <w:pPr>
        <w:spacing w:after="0" w:line="144" w:lineRule="exact"/>
        <w:rPr>
          <w:rFonts w:ascii="Arial" w:cs="Arial" w:eastAsia="Arial" w:hAnsi="Arial"/>
          <w:sz w:val="18"/>
          <w:szCs w:val="18"/>
          <w:color w:val="auto"/>
        </w:rPr>
      </w:pPr>
    </w:p>
    <w:p>
      <w:pPr>
        <w:ind w:left="660" w:right="4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initiating an emergency action to suspend the school’s participation in Title IV programs without prior notice or opportunity for a hearing;</w:t>
      </w:r>
    </w:p>
    <w:p>
      <w:pPr>
        <w:spacing w:after="0" w:line="91" w:lineRule="exact"/>
        <w:rPr>
          <w:rFonts w:ascii="Arial" w:cs="Arial" w:eastAsia="Arial" w:hAnsi="Arial"/>
          <w:sz w:val="18"/>
          <w:szCs w:val="18"/>
          <w:color w:val="auto"/>
        </w:rPr>
      </w:pPr>
    </w:p>
    <w:p>
      <w:pPr>
        <w:ind w:left="660" w:right="34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transferring the school to a method of Title IV payment that would adversely affect the timing of the institution’s receipt of Title IV funds;</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the submission of a letter of credit;</w:t>
      </w:r>
    </w:p>
    <w:p>
      <w:pPr>
        <w:spacing w:after="0" w:line="144" w:lineRule="exact"/>
        <w:rPr>
          <w:rFonts w:ascii="Arial" w:cs="Arial" w:eastAsia="Arial" w:hAnsi="Arial"/>
          <w:sz w:val="18"/>
          <w:szCs w:val="18"/>
          <w:color w:val="auto"/>
        </w:rPr>
      </w:pPr>
    </w:p>
    <w:p>
      <w:pPr>
        <w:ind w:left="660" w:right="3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denying or refusing to consider the school’s application for renewal of its certification to participate in the Title IV programs or for approval to add a new campus or educational program; and</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referring the matter for possible civil or criminal investigation.</w:t>
      </w:r>
    </w:p>
    <w:p>
      <w:pPr>
        <w:spacing w:after="0" w:line="144"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If Purdue Global or other client institutions lose or have limits placed on their Title IV eligibility, accreditation or state licensure, or if they are subject to fines, repayment obligations or other adverse actions due to their or KNA’s noncompliance with Title IV regulations, accreditor or state agency requirements or other state or federal laws, KNA’s financial results of operations could be adversely affected.</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 xml:space="preserve">Compliance reviews and litigation. </w:t>
      </w:r>
      <w:r>
        <w:rPr>
          <w:rFonts w:ascii="Arial" w:cs="Arial" w:eastAsia="Arial" w:hAnsi="Arial"/>
          <w:sz w:val="18"/>
          <w:szCs w:val="18"/>
          <w:color w:val="auto"/>
        </w:rPr>
        <w:t>KNA and its client institutions are subject to reviews, audits, investigations and other compliance reviews</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by various regulatory agencies and auditors, including, among others, the ED, the ED’s Office of the Inspector General, accrediting bodies and state and various other federal agencies. These compliance reviews could result in findings of noncompliance with statutory and regulatory requirements that could, in turn, result in the imposition of fines, liabilities, civil or criminal penalties or other sanctions against KNA and its client institutions. Separately, if KNA provides financial aid services to more than one Title IV participating institution (i.e., one or more participating institutions in addition to Purdue Global), it will be required to arrange for an independent auditor to conduct an annual Title IV compliance audit of KNA’s compliance with applicable ED requirements. KNA’s client institutions are also required to arrange for an independent auditor to conduct an annual</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Title IV compliance audit of their compliance with applicable ED requirements, including requirements related to services provided by KNA.</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On September 3, 2015, Kaplan sold to Education Corporation of America (ECA) substantially all of the assets of the prior KHE Campuses. The transaction included the transfer of certain real estate leases that were guaranteed or purportedly guaranteed by Kaplan. ECA is currently in receivership, has terminated all of its higher education operations and has sold most, if not all, of its remaining assets (including New England College of Business). Additionally, the receiver has repudiated all of ECA’s real estate leases. Although ECA is required to indemnify Kaplan for any amounts Kaplan must pay due to ECA’s failure to fulfill its obligations under the real estate leases guaranteed by Kaplan, ECA’s current financial condition and the amount of secured and unsecured creditor claims outstanding against ECA make it unlikely that Kaplan will recover from ECA. In the second half of 2018, the Company recorded an estimated $17.5 million in losses on guarantor lease obligations in connection with this transaction in other non-operating expense. The Company recorded an additional estimated $ 1.1 million in non-operating expense in 2019 and $1 million in non-operating expense in 2020, in each case consisting of legal fees and lease costs. The Company continues to monitor the status of these obligations. Kaplan also may be liable to the current owners of KU and the KHE schools related to the pre-sale conduct of the schools. Additionally, the pre-sale conduct of the schools could be the subject of future compliance reviews or lawsuits that could result in monetary liabilities or fines or other sanctions.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North America Supplemental Education</w:t>
      </w:r>
    </w:p>
    <w:p>
      <w:pPr>
        <w:spacing w:after="0" w:line="14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In 2020, KNA’s supplemental education products included all products of the former KTP and KP segments, including test preparation, data science education and training, healthcare simulation businesses, professional licensure training and preparation, corporate training and continuing education. Each of these businesses is discussed below.</w:t>
      </w:r>
    </w:p>
    <w:p>
      <w:pPr>
        <w:spacing w:after="0" w:line="111" w:lineRule="exact"/>
        <w:rPr>
          <w:sz w:val="20"/>
          <w:szCs w:val="20"/>
          <w:color w:val="auto"/>
        </w:rPr>
      </w:pPr>
    </w:p>
    <w:p>
      <w:pPr>
        <w:ind w:right="440"/>
        <w:spacing w:after="0" w:line="238" w:lineRule="auto"/>
        <w:rPr>
          <w:sz w:val="20"/>
          <w:szCs w:val="20"/>
          <w:color w:val="auto"/>
        </w:rPr>
      </w:pPr>
      <w:r>
        <w:rPr>
          <w:rFonts w:ascii="Arial" w:cs="Arial" w:eastAsia="Arial" w:hAnsi="Arial"/>
          <w:sz w:val="17"/>
          <w:szCs w:val="17"/>
          <w:b w:val="1"/>
          <w:bCs w:val="1"/>
          <w:i w:val="1"/>
          <w:iCs w:val="1"/>
          <w:color w:val="auto"/>
        </w:rPr>
        <w:t xml:space="preserve">Test Preparation. </w:t>
      </w:r>
      <w:r>
        <w:rPr>
          <w:rFonts w:ascii="Arial" w:cs="Arial" w:eastAsia="Arial" w:hAnsi="Arial"/>
          <w:sz w:val="17"/>
          <w:szCs w:val="17"/>
          <w:color w:val="auto"/>
        </w:rPr>
        <w:t>KNA’s test preparation businesses prepare students under the Kaplan Test Prep, Manhattan Prep and Barron’s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Educational Series brands for a broad range of standardized, high-stakes tests, including the SAT, ACT, LSAT, GMAT, MCAT and GRE. KNA’s accredited businesses, operating under the Kaplan Prep &amp; Achieve brand, prepare students for licensing exams required to enter certain professions, including nursing, medicine and law. KNA also sells admissions consulting, tutoring and other advising services.</w:t>
      </w:r>
    </w:p>
    <w:p>
      <w:pPr>
        <w:spacing w:after="0" w:line="3"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222222"/>
        </w:rPr>
        <w:t xml:space="preserve">In 2020, KNA served over 220,000 students through its test preparation programs and related products (such as tutoring, online question banks and online practice tests), excluding sales of test prep books by third-party retailers. KNA test preparation programs are taught at </w:t>
      </w:r>
      <w:r>
        <w:rPr>
          <w:rFonts w:ascii="Arial" w:cs="Arial" w:eastAsia="Arial" w:hAnsi="Arial"/>
          <w:sz w:val="18"/>
          <w:szCs w:val="18"/>
          <w:color w:val="000000"/>
        </w:rPr>
        <w:t xml:space="preserve">Kaplan-branded locations and at numerous other locations, such as hotels, high schools, universities </w:t>
      </w:r>
      <w:r>
        <w:rPr>
          <w:rFonts w:ascii="Arial" w:cs="Arial" w:eastAsia="Arial" w:hAnsi="Arial"/>
          <w:sz w:val="18"/>
          <w:szCs w:val="18"/>
          <w:color w:val="222222"/>
        </w:rPr>
        <w:t>and companies throughout the U.S.,</w:t>
      </w:r>
      <w:r>
        <w:rPr>
          <w:rFonts w:ascii="Arial" w:cs="Arial" w:eastAsia="Arial" w:hAnsi="Arial"/>
          <w:sz w:val="18"/>
          <w:szCs w:val="18"/>
          <w:color w:val="000000"/>
        </w:rPr>
        <w:t xml:space="preserve"> </w:t>
      </w:r>
      <w:r>
        <w:rPr>
          <w:rFonts w:ascii="Arial" w:cs="Arial" w:eastAsia="Arial" w:hAnsi="Arial"/>
          <w:sz w:val="18"/>
          <w:szCs w:val="18"/>
          <w:color w:val="222222"/>
        </w:rPr>
        <w:t xml:space="preserve">including Puerto Rico, as well as in Canada, Mexico and the U.K. </w:t>
      </w:r>
      <w:r>
        <w:rPr>
          <w:rFonts w:ascii="Arial" w:cs="Arial" w:eastAsia="Arial" w:hAnsi="Arial"/>
          <w:sz w:val="18"/>
          <w:szCs w:val="18"/>
          <w:color w:val="000000"/>
        </w:rPr>
        <w:t>KNA also</w:t>
      </w:r>
      <w:r>
        <w:rPr>
          <w:rFonts w:ascii="Arial" w:cs="Arial" w:eastAsia="Arial" w:hAnsi="Arial"/>
          <w:sz w:val="18"/>
          <w:szCs w:val="18"/>
          <w:color w:val="222222"/>
        </w:rPr>
        <w:t xml:space="preserve"> licenses material for certain </w:t>
      </w:r>
      <w:r>
        <w:rPr>
          <w:rFonts w:ascii="Arial" w:cs="Arial" w:eastAsia="Arial" w:hAnsi="Arial"/>
          <w:sz w:val="18"/>
          <w:szCs w:val="18"/>
          <w:color w:val="000000"/>
        </w:rPr>
        <w:t>programs</w:t>
      </w:r>
      <w:r>
        <w:rPr>
          <w:rFonts w:ascii="Arial" w:cs="Arial" w:eastAsia="Arial" w:hAnsi="Arial"/>
          <w:sz w:val="18"/>
          <w:szCs w:val="18"/>
          <w:color w:val="222222"/>
        </w:rPr>
        <w:t xml:space="preserve"> to third parties. Since the end of the first quarter of 2020, virtually all KNA test preparation programs have been offered </w:t>
      </w:r>
      <w:r>
        <w:rPr>
          <w:rFonts w:ascii="Arial" w:cs="Arial" w:eastAsia="Arial" w:hAnsi="Arial"/>
          <w:sz w:val="18"/>
          <w:szCs w:val="18"/>
          <w:color w:val="000000"/>
        </w:rPr>
        <w:t>online, typically in a live online classroom or a</w:t>
      </w:r>
      <w:r>
        <w:rPr>
          <w:rFonts w:ascii="Arial" w:cs="Arial" w:eastAsia="Arial" w:hAnsi="Arial"/>
          <w:sz w:val="18"/>
          <w:szCs w:val="18"/>
          <w:color w:val="222222"/>
        </w:rPr>
        <w:t xml:space="preserve"> </w:t>
      </w:r>
      <w:r>
        <w:rPr>
          <w:rFonts w:ascii="Arial" w:cs="Arial" w:eastAsia="Arial" w:hAnsi="Arial"/>
          <w:sz w:val="18"/>
          <w:szCs w:val="18"/>
          <w:color w:val="000000"/>
        </w:rPr>
        <w:t>self-study format, and in person. Private tutoring services are provided online and, in select markets, in person. As pandemic restrictions were lifted, KNA maintained its strategic decision to move away from in-person courses for test preparation programs to focus on primarily digital delivery of courses.</w:t>
      </w:r>
    </w:p>
    <w:p>
      <w:pPr>
        <w:spacing w:after="0" w:line="113"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KNA supplemental education includes Kaplan Publishing, which focuses on print and digital test preparation and reference resources sold through retail channels under the Kaplan Test Prep, Manhattan Prep and Barron’s Educational Series brands. At the end of 2020, Kaplan Publishing had over 1,100 titles in print and digital formats, including more than 250 digital products. In total, KNA test prep prepares students for more than 233 standardized tests, the large majority of which are U.S. focused.</w:t>
      </w:r>
    </w:p>
    <w:p>
      <w:pPr>
        <w:spacing w:after="0" w:line="11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i w:val="1"/>
          <w:iCs w:val="1"/>
          <w:color w:val="auto"/>
        </w:rPr>
        <w:t xml:space="preserve">Data Science. </w:t>
      </w:r>
      <w:r>
        <w:rPr>
          <w:rFonts w:ascii="Arial" w:cs="Arial" w:eastAsia="Arial" w:hAnsi="Arial"/>
          <w:sz w:val="18"/>
          <w:szCs w:val="18"/>
          <w:color w:val="auto"/>
        </w:rPr>
        <w:t>KNA operates Metis, a licensed data science and analytics school and training organization that operates immersive, live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online boot camp programs and courses, and conducts training for corporations worldwide.</w:t>
      </w:r>
    </w:p>
    <w:p>
      <w:pPr>
        <w:spacing w:after="0" w:line="9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Healthcare Simulation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i-Human Patients provides online, simulated patient interactions for use in training and assessing medical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professionals, which are typically purchased by medical, nursing and physician assistant schools.</w:t>
      </w:r>
    </w:p>
    <w:p>
      <w:pPr>
        <w:spacing w:after="0" w:line="88"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 xml:space="preserve">Professional Licensure Training and Preparation, Corporate Training, and Continuing Education. </w:t>
      </w:r>
      <w:r>
        <w:rPr>
          <w:rFonts w:ascii="Arial" w:cs="Arial" w:eastAsia="Arial" w:hAnsi="Arial"/>
          <w:sz w:val="18"/>
          <w:szCs w:val="18"/>
          <w:color w:val="auto"/>
        </w:rPr>
        <w:t>The combination of the Kaplan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(U.S.) (KP) segment into the Kaplan North America Supplemental Education segment in 2020 did not alter or otherwise change the KP products or services that Kaplan offers. Through its professional licensure products, operating under the brands Dearborn Real Estate Education, Kaplan Real Estate Education, Bob Hogue School of Real Estate, Kaplan Financial Education, Professional Publications (PPI) and Kaplan Schweser, KNA helps professionals obtain certifications, licensures and designations that enable them to advance their careers. Additionally, KNA collaborates with organizations to solve their talent management challenges through customized corporate learning and development solutions. Through live and online instruction, KNA provides professional license test preparation, licensing and continuing education, as well as leadership and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 w:name="page11"/>
    <w:bookmarkEnd w:id="10"/>
    <w:p>
      <w:pPr>
        <w:ind w:right="380"/>
        <w:spacing w:after="0" w:line="260" w:lineRule="auto"/>
        <w:rPr>
          <w:sz w:val="20"/>
          <w:szCs w:val="20"/>
          <w:color w:val="auto"/>
        </w:rPr>
      </w:pPr>
      <w:r>
        <w:rPr>
          <w:rFonts w:ascii="Arial" w:cs="Arial" w:eastAsia="Arial" w:hAnsi="Arial"/>
          <w:sz w:val="18"/>
          <w:szCs w:val="18"/>
          <w:color w:val="auto"/>
        </w:rPr>
        <w:t>professional development programs to businesses and individuals in the accounting, insurance, securities, real estate, financial services, wealth management, engineering and architecture industries.</w:t>
      </w:r>
    </w:p>
    <w:p>
      <w:pPr>
        <w:spacing w:after="0" w:line="9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 2020, KNA served approximately 3,200 business-to-business clients through its professional services (formerly KP products) including approximately 160 Fortune 500 companies. In 2020, approximately 150,000 students used KNA’s professional licensure exam preparation offerings.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14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Graham Media Group, Inc. (GMG), a subsidiary of the Company, owns seven television stations located in Houston, TX; Detroit, MI; Orlando, FL; San Antonio, TX; Jacksonville, FL; and Roanoke, VA, as well as SocialNewsDesk, a provider of social media management tools designed to connect newsrooms with their users. The following table sets forth certain information with respect to each of the Company’s television stations: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jc w:val="center"/>
              <w:ind w:left="215"/>
              <w:spacing w:after="0"/>
              <w:rPr>
                <w:sz w:val="20"/>
                <w:szCs w:val="20"/>
                <w:color w:val="auto"/>
              </w:rPr>
            </w:pPr>
            <w:r>
              <w:rPr>
                <w:rFonts w:ascii="Arial" w:cs="Arial" w:eastAsia="Arial" w:hAnsi="Arial"/>
                <w:sz w:val="14"/>
                <w:szCs w:val="14"/>
                <w:b w:val="1"/>
                <w:bCs w:val="1"/>
                <w:color w:val="auto"/>
              </w:rPr>
              <w:t>Station, Location and</w:t>
            </w:r>
          </w:p>
        </w:tc>
        <w:tc>
          <w:tcPr>
            <w:tcW w:w="1760" w:type="dxa"/>
            <w:vAlign w:val="bottom"/>
          </w:tcPr>
          <w:p>
            <w:pPr>
              <w:jc w:val="center"/>
              <w:ind w:left="235"/>
              <w:spacing w:after="0"/>
              <w:rPr>
                <w:sz w:val="20"/>
                <w:szCs w:val="20"/>
                <w:color w:val="auto"/>
              </w:rPr>
            </w:pPr>
            <w:r>
              <w:rPr>
                <w:rFonts w:ascii="Arial" w:cs="Arial" w:eastAsia="Arial" w:hAnsi="Arial"/>
                <w:sz w:val="14"/>
                <w:szCs w:val="14"/>
                <w:b w:val="1"/>
                <w:bCs w:val="1"/>
                <w:color w:val="auto"/>
              </w:rPr>
              <w:t>National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48"/>
        </w:trPr>
        <w:tc>
          <w:tcPr>
            <w:tcW w:w="3160" w:type="dxa"/>
            <w:vAlign w:val="bottom"/>
          </w:tcPr>
          <w:p>
            <w:pPr>
              <w:jc w:val="center"/>
              <w:ind w:left="195"/>
              <w:spacing w:after="0" w:line="149" w:lineRule="exact"/>
              <w:rPr>
                <w:sz w:val="20"/>
                <w:szCs w:val="20"/>
                <w:color w:val="auto"/>
              </w:rPr>
            </w:pPr>
            <w:r>
              <w:rPr>
                <w:rFonts w:ascii="Arial" w:cs="Arial" w:eastAsia="Arial" w:hAnsi="Arial"/>
                <w:sz w:val="14"/>
                <w:szCs w:val="14"/>
                <w:b w:val="1"/>
                <w:bCs w:val="1"/>
                <w:color w:val="auto"/>
              </w:rPr>
              <w:t>Year Commercial</w:t>
            </w:r>
          </w:p>
        </w:tc>
        <w:tc>
          <w:tcPr>
            <w:tcW w:w="1760" w:type="dxa"/>
            <w:vAlign w:val="bottom"/>
          </w:tcPr>
          <w:p>
            <w:pPr>
              <w:jc w:val="center"/>
              <w:ind w:left="235"/>
              <w:spacing w:after="0" w:line="149" w:lineRule="exact"/>
              <w:rPr>
                <w:sz w:val="20"/>
                <w:szCs w:val="20"/>
                <w:color w:val="auto"/>
              </w:rPr>
            </w:pPr>
            <w:r>
              <w:rPr>
                <w:rFonts w:ascii="Arial" w:cs="Arial" w:eastAsia="Arial" w:hAnsi="Arial"/>
                <w:sz w:val="14"/>
                <w:szCs w:val="14"/>
                <w:b w:val="1"/>
                <w:bCs w:val="1"/>
                <w:color w:val="auto"/>
              </w:rPr>
              <w:t>Market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Network</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Date of FCC</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Network</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Stations</w:t>
            </w:r>
          </w:p>
        </w:tc>
      </w:tr>
      <w:tr>
        <w:trPr>
          <w:trHeight w:val="202"/>
        </w:trPr>
        <w:tc>
          <w:tcPr>
            <w:tcW w:w="3160" w:type="dxa"/>
            <w:vAlign w:val="bottom"/>
            <w:tcBorders>
              <w:bottom w:val="single" w:sz="8" w:color="auto"/>
            </w:tcBorders>
          </w:tcPr>
          <w:p>
            <w:pPr>
              <w:jc w:val="center"/>
              <w:ind w:left="215"/>
              <w:spacing w:after="0"/>
              <w:rPr>
                <w:sz w:val="20"/>
                <w:szCs w:val="20"/>
                <w:color w:val="auto"/>
              </w:rPr>
            </w:pPr>
            <w:r>
              <w:rPr>
                <w:rFonts w:ascii="Arial" w:cs="Arial" w:eastAsia="Arial" w:hAnsi="Arial"/>
                <w:sz w:val="14"/>
                <w:szCs w:val="14"/>
                <w:b w:val="1"/>
                <w:bCs w:val="1"/>
                <w:color w:val="auto"/>
              </w:rPr>
              <w:t>Operation Commenced</w:t>
            </w:r>
          </w:p>
        </w:tc>
        <w:tc>
          <w:tcPr>
            <w:tcW w:w="1760" w:type="dxa"/>
            <w:vAlign w:val="bottom"/>
            <w:tcBorders>
              <w:bottom w:val="single" w:sz="8" w:color="auto"/>
            </w:tcBorders>
          </w:tcPr>
          <w:p>
            <w:pPr>
              <w:jc w:val="center"/>
              <w:ind w:left="235"/>
              <w:spacing w:after="0"/>
              <w:rPr>
                <w:sz w:val="20"/>
                <w:szCs w:val="20"/>
                <w:color w:val="auto"/>
              </w:rPr>
            </w:pPr>
            <w:r>
              <w:rPr>
                <w:rFonts w:ascii="Arial" w:cs="Arial" w:eastAsia="Arial" w:hAnsi="Arial"/>
                <w:sz w:val="14"/>
                <w:szCs w:val="14"/>
                <w:b w:val="1"/>
                <w:bCs w:val="1"/>
                <w:color w:val="auto"/>
              </w:rPr>
              <w:t>Ranking (a)</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27"/>
        </w:trPr>
        <w:tc>
          <w:tcPr>
            <w:tcW w:w="3160" w:type="dxa"/>
            <w:vAlign w:val="bottom"/>
          </w:tcPr>
          <w:p>
            <w:pPr>
              <w:ind w:left="20"/>
              <w:spacing w:after="0"/>
              <w:rPr>
                <w:sz w:val="20"/>
                <w:szCs w:val="20"/>
                <w:color w:val="auto"/>
              </w:rPr>
            </w:pPr>
            <w:r>
              <w:rPr>
                <w:rFonts w:ascii="Arial" w:cs="Arial" w:eastAsia="Arial" w:hAnsi="Arial"/>
                <w:sz w:val="18"/>
                <w:szCs w:val="18"/>
                <w:color w:val="auto"/>
              </w:rPr>
              <w:t>KPRC, Houston, TX, 1949</w:t>
            </w:r>
          </w:p>
        </w:tc>
        <w:tc>
          <w:tcPr>
            <w:tcW w:w="1760" w:type="dxa"/>
            <w:vAlign w:val="bottom"/>
          </w:tcPr>
          <w:p>
            <w:pPr>
              <w:jc w:val="center"/>
              <w:ind w:left="235"/>
              <w:spacing w:after="0"/>
              <w:rPr>
                <w:sz w:val="20"/>
                <w:szCs w:val="20"/>
                <w:color w:val="auto"/>
              </w:rPr>
            </w:pPr>
            <w:r>
              <w:rPr>
                <w:rFonts w:ascii="Arial" w:cs="Arial" w:eastAsia="Arial" w:hAnsi="Arial"/>
                <w:sz w:val="18"/>
                <w:szCs w:val="18"/>
                <w:color w:val="auto"/>
                <w:w w:val="95"/>
              </w:rPr>
              <w:t>8th</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Aug. 1,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Dec. 31,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WDIV, Detroit, MI, 1947</w:t>
            </w:r>
          </w:p>
        </w:tc>
        <w:tc>
          <w:tcPr>
            <w:tcW w:w="1760" w:type="dxa"/>
            <w:vAlign w:val="bottom"/>
          </w:tcPr>
          <w:p>
            <w:pPr>
              <w:jc w:val="center"/>
              <w:ind w:left="275"/>
              <w:spacing w:after="0"/>
              <w:rPr>
                <w:sz w:val="20"/>
                <w:szCs w:val="20"/>
                <w:color w:val="auto"/>
              </w:rPr>
            </w:pPr>
            <w:r>
              <w:rPr>
                <w:rFonts w:ascii="Arial" w:cs="Arial" w:eastAsia="Arial" w:hAnsi="Arial"/>
                <w:sz w:val="18"/>
                <w:szCs w:val="18"/>
                <w:color w:val="auto"/>
              </w:rPr>
              <w:t>15th</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Oct. 1, 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Dec. 31,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WKMG, Orlando, FL, 1954</w:t>
            </w:r>
          </w:p>
        </w:tc>
        <w:tc>
          <w:tcPr>
            <w:tcW w:w="1760" w:type="dxa"/>
            <w:vAlign w:val="bottom"/>
          </w:tcPr>
          <w:p>
            <w:pPr>
              <w:jc w:val="center"/>
              <w:ind w:left="275"/>
              <w:spacing w:after="0"/>
              <w:rPr>
                <w:sz w:val="20"/>
                <w:szCs w:val="20"/>
                <w:color w:val="auto"/>
              </w:rPr>
            </w:pPr>
            <w:r>
              <w:rPr>
                <w:rFonts w:ascii="Arial" w:cs="Arial" w:eastAsia="Arial" w:hAnsi="Arial"/>
                <w:sz w:val="18"/>
                <w:szCs w:val="18"/>
                <w:color w:val="auto"/>
              </w:rPr>
              <w:t>17th</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CBS</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Feb. 1, 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June 30,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16</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KSAT, San Antonio, TX, 1957</w:t>
            </w:r>
          </w:p>
        </w:tc>
        <w:tc>
          <w:tcPr>
            <w:tcW w:w="1760" w:type="dxa"/>
            <w:vAlign w:val="bottom"/>
          </w:tcPr>
          <w:p>
            <w:pPr>
              <w:jc w:val="center"/>
              <w:ind w:left="295"/>
              <w:spacing w:after="0"/>
              <w:rPr>
                <w:sz w:val="20"/>
                <w:szCs w:val="20"/>
                <w:color w:val="auto"/>
              </w:rPr>
            </w:pPr>
            <w:r>
              <w:rPr>
                <w:rFonts w:ascii="Arial" w:cs="Arial" w:eastAsia="Arial" w:hAnsi="Arial"/>
                <w:sz w:val="18"/>
                <w:szCs w:val="18"/>
                <w:color w:val="auto"/>
                <w:w w:val="99"/>
              </w:rPr>
              <w:t>31st</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ABC</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Aug. 1,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Dec. 31, 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14</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WJXT, Jacksonville, FL, 1947</w:t>
            </w:r>
          </w:p>
        </w:tc>
        <w:tc>
          <w:tcPr>
            <w:tcW w:w="1760" w:type="dxa"/>
            <w:vAlign w:val="bottom"/>
          </w:tcPr>
          <w:p>
            <w:pPr>
              <w:jc w:val="center"/>
              <w:ind w:left="275"/>
              <w:spacing w:after="0"/>
              <w:rPr>
                <w:sz w:val="20"/>
                <w:szCs w:val="20"/>
                <w:color w:val="auto"/>
              </w:rPr>
            </w:pPr>
            <w:r>
              <w:rPr>
                <w:rFonts w:ascii="Arial" w:cs="Arial" w:eastAsia="Arial" w:hAnsi="Arial"/>
                <w:sz w:val="18"/>
                <w:szCs w:val="18"/>
                <w:color w:val="auto"/>
                <w:w w:val="99"/>
              </w:rPr>
              <w:t>43rd</w:t>
            </w:r>
          </w:p>
        </w:tc>
        <w:tc>
          <w:tcPr>
            <w:tcW w:w="1280" w:type="dxa"/>
            <w:vAlign w:val="bottom"/>
          </w:tcPr>
          <w:p>
            <w:pPr>
              <w:jc w:val="center"/>
              <w:spacing w:after="0"/>
              <w:rPr>
                <w:sz w:val="20"/>
                <w:szCs w:val="20"/>
                <w:color w:val="auto"/>
              </w:rPr>
            </w:pPr>
            <w:r>
              <w:rPr>
                <w:rFonts w:ascii="Arial" w:cs="Arial" w:eastAsia="Arial" w:hAnsi="Arial"/>
                <w:sz w:val="18"/>
                <w:szCs w:val="18"/>
                <w:color w:val="auto"/>
              </w:rPr>
              <w:t>None</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Feb. 1, 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WCWJ, Jacksonville, FL, 1966</w:t>
            </w:r>
          </w:p>
        </w:tc>
        <w:tc>
          <w:tcPr>
            <w:tcW w:w="1760" w:type="dxa"/>
            <w:vAlign w:val="bottom"/>
          </w:tcPr>
          <w:p>
            <w:pPr>
              <w:jc w:val="center"/>
              <w:ind w:left="275"/>
              <w:spacing w:after="0"/>
              <w:rPr>
                <w:sz w:val="20"/>
                <w:szCs w:val="20"/>
                <w:color w:val="auto"/>
              </w:rPr>
            </w:pPr>
            <w:r>
              <w:rPr>
                <w:rFonts w:ascii="Arial" w:cs="Arial" w:eastAsia="Arial" w:hAnsi="Arial"/>
                <w:sz w:val="18"/>
                <w:szCs w:val="18"/>
                <w:color w:val="auto"/>
                <w:w w:val="99"/>
              </w:rPr>
              <w:t>43rd</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CW</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Feb. 1, 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Aug. 31, 2021</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WSLS, Roanoke, VA, 1952</w:t>
            </w:r>
          </w:p>
        </w:tc>
        <w:tc>
          <w:tcPr>
            <w:tcW w:w="1760" w:type="dxa"/>
            <w:vAlign w:val="bottom"/>
          </w:tcPr>
          <w:p>
            <w:pPr>
              <w:jc w:val="center"/>
              <w:ind w:left="295"/>
              <w:spacing w:after="0"/>
              <w:rPr>
                <w:sz w:val="20"/>
                <w:szCs w:val="20"/>
                <w:color w:val="auto"/>
              </w:rPr>
            </w:pPr>
            <w:r>
              <w:rPr>
                <w:rFonts w:ascii="Arial" w:cs="Arial" w:eastAsia="Arial" w:hAnsi="Arial"/>
                <w:sz w:val="18"/>
                <w:szCs w:val="18"/>
                <w:color w:val="auto"/>
                <w:w w:val="99"/>
              </w:rPr>
              <w:t>71st</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640" w:type="dxa"/>
            <w:vAlign w:val="bottom"/>
          </w:tcPr>
          <w:p>
            <w:pPr>
              <w:jc w:val="center"/>
              <w:spacing w:after="0"/>
              <w:rPr>
                <w:sz w:val="20"/>
                <w:szCs w:val="20"/>
                <w:color w:val="auto"/>
              </w:rPr>
            </w:pPr>
            <w:r>
              <w:rPr>
                <w:rFonts w:ascii="Arial" w:cs="Arial" w:eastAsia="Arial" w:hAnsi="Arial"/>
                <w:sz w:val="18"/>
                <w:szCs w:val="18"/>
                <w:color w:val="auto"/>
              </w:rPr>
              <w:t>Oct. 1 2028</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Dec. 31, 2022</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7</w:t>
            </w:r>
          </w:p>
        </w:tc>
      </w:tr>
    </w:tbl>
    <w:p>
      <w:pPr>
        <w:spacing w:after="0" w:line="98" w:lineRule="exact"/>
        <w:rPr>
          <w:sz w:val="20"/>
          <w:szCs w:val="20"/>
          <w:color w:val="auto"/>
        </w:rPr>
      </w:pPr>
    </w:p>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p>
      <w:pPr>
        <w:spacing w:after="0" w:line="92"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Source: 2020/2021 Local Television Market Universe Estimates, the Nielsen Company, September 2020, based on television homes in DMA (see note (b) below).</w:t>
      </w:r>
    </w:p>
    <w:p>
      <w:pPr>
        <w:spacing w:after="0" w:line="147" w:lineRule="exact"/>
        <w:rPr>
          <w:rFonts w:ascii="Arial" w:cs="Arial" w:eastAsia="Arial" w:hAnsi="Arial"/>
          <w:sz w:val="13"/>
          <w:szCs w:val="13"/>
          <w:color w:val="auto"/>
        </w:rPr>
      </w:pPr>
    </w:p>
    <w:p>
      <w:pPr>
        <w:ind w:right="280" w:firstLine="8"/>
        <w:spacing w:after="0" w:line="249" w:lineRule="auto"/>
        <w:tabs>
          <w:tab w:leader="none" w:pos="189" w:val="left"/>
        </w:tabs>
        <w:numPr>
          <w:ilvl w:val="0"/>
          <w:numId w:val="5"/>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22" w:lineRule="exact"/>
        <w:rPr>
          <w:sz w:val="20"/>
          <w:szCs w:val="20"/>
          <w:color w:val="auto"/>
        </w:rPr>
      </w:pPr>
    </w:p>
    <w:p>
      <w:pPr>
        <w:ind w:right="280"/>
        <w:spacing w:after="0" w:line="249" w:lineRule="auto"/>
        <w:rPr>
          <w:sz w:val="20"/>
          <w:szCs w:val="20"/>
          <w:color w:val="auto"/>
        </w:rPr>
      </w:pPr>
      <w:r>
        <w:rPr>
          <w:rFonts w:ascii="Arial" w:cs="Arial" w:eastAsia="Arial" w:hAnsi="Arial"/>
          <w:sz w:val="13"/>
          <w:szCs w:val="13"/>
          <w:color w:val="auto"/>
        </w:rPr>
        <w:t>*The license renewals were filed in October 2020 and the applications are pending at the FCC. GMG does not anticipate any issues with its pending applications or in renewing its FCC licenses and expects the FCC to grant these pending applications in due course, but cannot provide any assurances that the FCC will do so.</w:t>
      </w:r>
    </w:p>
    <w:p>
      <w:pPr>
        <w:spacing w:after="0" w:line="10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2020, advertising revenue accounted for 62% of the total for GMG’s operations. Advertising revenue is sensitive to a number of factors, some specific to a particular station or market and others more general in nature. These factors include a station’s audience share and market ranking; seasonal fluctuations in demand for air time; annual or biannual events, such as sporting events and political elections; and broader economic trends, among others.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4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 In 2020, four GMG stations timely submitted renewal applications, each of which was due four months prior to the applicable station’s license expiration; one of these applications has been granted (WSLS) (Roanoke), and the three most recent applications remain pending (WKMG, WJXT, WCWJ) (GMG’s Florida stations). While GMG does not anticipate any material delays in the grant of its pending license renewal applications, a station’s operations may continue past the license expiration date in</w:t>
      </w:r>
    </w:p>
    <w:p>
      <w:pPr>
        <w:spacing w:after="0" w:line="3" w:lineRule="exact"/>
        <w:rPr>
          <w:sz w:val="20"/>
          <w:szCs w:val="20"/>
          <w:color w:val="auto"/>
        </w:rPr>
      </w:pPr>
    </w:p>
    <w:p>
      <w:pPr>
        <w:jc w:val="both"/>
        <w:ind w:right="120"/>
        <w:spacing w:after="0" w:line="234" w:lineRule="auto"/>
        <w:rPr>
          <w:sz w:val="20"/>
          <w:szCs w:val="20"/>
          <w:color w:val="auto"/>
        </w:rPr>
      </w:pPr>
      <w:r>
        <w:rPr>
          <w:rFonts w:ascii="Arial" w:cs="Arial" w:eastAsia="Arial" w:hAnsi="Arial"/>
          <w:sz w:val="18"/>
          <w:szCs w:val="18"/>
          <w:color w:val="auto"/>
        </w:rPr>
        <w:t>the event that its renewal application remains pending. As shown in the table above, the current terms of the GMG station licenses expire in 2021 through 2028. GMG does not anticipate any issues with its pending applications or in renewing its FCC licenses and GMG expects the FCC to grant future renewal applications for its stations in due course, but cannot provide any assurances that the FCC will do so.</w:t>
      </w:r>
    </w:p>
    <w:p>
      <w:pPr>
        <w:spacing w:after="0" w:line="11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broadcasts only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and multiple channels of standard-definition television programming (multicasting).</w:t>
      </w:r>
    </w:p>
    <w:p>
      <w:pPr>
        <w:spacing w:after="0" w:line="111"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 w:name="page12"/>
    <w:bookmarkEnd w:id="11"/>
    <w:p>
      <w:pPr>
        <w:ind w:right="40"/>
        <w:spacing w:after="0" w:line="223" w:lineRule="auto"/>
        <w:rPr>
          <w:sz w:val="20"/>
          <w:szCs w:val="20"/>
          <w:color w:val="auto"/>
        </w:rPr>
      </w:pPr>
      <w:r>
        <w:rPr>
          <w:rFonts w:ascii="Arial" w:cs="Arial" w:eastAsia="Arial" w:hAnsi="Arial"/>
          <w:sz w:val="18"/>
          <w:szCs w:val="18"/>
          <w:color w:val="auto"/>
        </w:rPr>
        <w:t>In November 2017, the FCC voted to adopt rules authorizing broadcast television stations to voluntarily transition to a new technical standard, called Next Generation TV or ATSC 3.0. The new standard is designed to allow broadcasters to provide consumers with better sound and picture quality; hyper-localized programming, including news and weather; enhanced emergency alerts and improved mobile reception. The standard will allow for the use of targeted advertising and more efficient use of spectrum, potentially allowing for more multicast streams to be aired on the same six-megahertz channel. ATSC 3.0 is not backward compatible with existing television equipment, and the FCC’s rules require full-power television stations that transition to the new standard to continue broadcasting a signal in the existing DTV standard until the FCC phases out the requirement in a future order. A transitioning station’s DTV-formatted content must be substantially similar to the programming aired on its ATSC 3.0 channel until July17, 2023, five years from the date the rules in the original 2017 FCC order were finalized. In June 2020, the FCC re-affirmed this sunset date, but stated that it would open a proceeding one year prior to the sunset date to determine whether the date should be extended. In November 2020, GMG station WDIV (Detroit) applied for and was granted authority by the FCC to effectuate an ATSC 3.0 simulcasting arrangement with another station in the Detroit area (WMYD, licensed to Scripps Broadcasting Holdings, LLC). The station’s ATSC 3.0 stream was then launched on December 7, 2020. As required by the FCC rules, the stream is in addition to WDIV’s current DTV stream, which viewers continue to be able to view.</w:t>
      </w:r>
    </w:p>
    <w:p>
      <w:pPr>
        <w:spacing w:after="0" w:line="11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connection with the transition to ATSC 3.0, which is an internet protocol-based standard, the FCC has updated its rules to reflect how broadcasters may use their spectrum in non-traditional ways (referred to as “Broadcast Internet”). In June 2020, the FCC issued a Declaratory Ruling clarifying that the television ownership rules would not apply to the lease of broadcast spectrum for Broadcast Internet purposes, and in December 2020, the FCC voted to adopt rules that specifically apply its existing framework regarding derogation of service and use of spectrum for ancillary and supplementary purposes to Broadcast Internet; i.e., a broadcaster must continue to air at least one free, over-the-air television signal in SDTV format, and if a broadcaster opts to use its spectrum for Broadcast Internet services, it will incur a five percent fee based on the gross revenue received by the broadcaster. It is too soon to predict how the use of broadcast spectrum for Broadcast Internet services could impact the industry. In April 2017, the FCC announced the completion of an incentive auction in which certain broadcast television stations bid to relinquish spectrum or move to a different spectrum band in exchange for a share of the revenues obtained by auctioning the reallocated broadcast spectrum for use by wireless broadband providers</w:t>
      </w:r>
      <w:r>
        <w:rPr>
          <w:rFonts w:ascii="Arial" w:cs="Arial" w:eastAsia="Arial" w:hAnsi="Arial"/>
          <w:sz w:val="18"/>
          <w:szCs w:val="18"/>
          <w:b w:val="1"/>
          <w:bCs w:val="1"/>
          <w:color w:val="auto"/>
        </w:rPr>
        <w:t>.</w:t>
      </w:r>
      <w:r>
        <w:rPr>
          <w:rFonts w:ascii="Arial" w:cs="Arial" w:eastAsia="Arial" w:hAnsi="Arial"/>
          <w:sz w:val="18"/>
          <w:szCs w:val="18"/>
          <w:color w:val="auto"/>
        </w:rPr>
        <w:t xml:space="preserve"> None of GMG’s stations participated in the incentive auction. However, certain GMG stations—specifically, WDIV, WSLS, WCWJ and WJXT—were required to move to new channel allotments in order to free up a nationwide block of spectrum for wireless broadband use. The FCC adopted rules requiring this “repacking” of broadcast television stations to new channels to be completed within 39 months after the incentive auction closed, with earlier deadlines set for particular stations in order to stagger the transition to new channels. The WSLS transition was completed on September 11, 2019, the WCWJ and WJXT transitions were completed on January 16, 2020, and the WDIV transition was completed on September 16, 2020 (following tolling of its assigned deadline due to delays related to the COVID-19 pandemic).</w:t>
      </w:r>
    </w:p>
    <w:p>
      <w:pPr>
        <w:spacing w:after="0" w:line="10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GMG’s repacked stations have been eligible to seek reimbursement for repacking-related costs and have been receiving reimbursement payments through the FCC’s process. Congress has capped the overall funds available for repack-related reimbursements. The initial legislation authorizing the incentive auction provided only $1.75 billion in total for all such reimbursements. Congress later made available an additional $1 billion in reimbursement funds, with $600 million in available funds allocated to 2018 and $400 million allocated to 2019.</w:t>
      </w:r>
    </w:p>
    <w:p>
      <w:pPr>
        <w:spacing w:after="0" w:line="11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To date, each repacked commercial television station, including each of the repacked GMG stations, has been allocated a reimbursement amount equal to approximately 92.5% of the station’s estimated repacking costs, as verified by the FCC’s fund administrator. Receipt of the allocated funds is subject to FCC approval of particular requests for reimbursement of actual costs fully incurred. As of December 31, 2020, the repacked GMG stations have received approximately $17.5 million in FCC reimbursements since 2018.</w:t>
      </w:r>
    </w:p>
    <w:p>
      <w:pPr>
        <w:spacing w:after="0" w:line="11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Congress has established, and periodically has extended or otherwise modified, various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copyright licensing regimes governing the local and distant carriage of broadcast television signals on cable and satellite systems. The Company cannot predict whether or how Congress may maintain or modify these regimes in the future, or what net effect such decisions would have on the Company’s broadcast operations or on the Company overall.</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Communications Act and the FCC rules allow a commercial television broadcast station, under certain circumstances, to insist on mandatory carriage of its signal on cable systems serving the station’s market area (must carry). Alternatively, stations may elect, at three-year intervals, to forgo must-carry rights and allow their signals to be carried by cable systems only pursuant to a “retransmission consent” agreement. Commercial television stations also may elect either mandatory carriage or retransmission consent with respect to the carriage of their signals on direct broadcast satellite (DBS) systems that provide “local-into-local” service (i.e., distribute the signals of local television stations to viewers in the local market area). Stations that elect retransmission consent may negotiate for compensation from cable or DBS systems in exchange for the right to carry their signals. Each of GMG’s television stations has elected retransmission consent for both cable and DBS operators, and each is carried on all of the major cable and DBS systems serving each station’s respective local market pursuant to</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2" w:name="page13"/>
    <w:bookmarkEnd w:id="12"/>
    <w:p>
      <w:pPr>
        <w:ind w:right="160"/>
        <w:spacing w:after="0" w:line="231" w:lineRule="auto"/>
        <w:rPr>
          <w:sz w:val="20"/>
          <w:szCs w:val="20"/>
          <w:color w:val="auto"/>
        </w:rPr>
      </w:pPr>
      <w:r>
        <w:rPr>
          <w:rFonts w:ascii="Arial" w:cs="Arial" w:eastAsia="Arial" w:hAnsi="Arial"/>
          <w:sz w:val="18"/>
          <w:szCs w:val="18"/>
          <w:color w:val="auto"/>
        </w:rPr>
        <w:t>retransmission consent agreements. Retransmission consent elections must be made every three years. The most recent election deadline was October 1, 2020; all GMG stations elected retransmission consent for both cable and DBS operators. The 2020 election process was less time-intensive than prior processes, as the FCC in July 2019 moved to an electronic election system that now allows broadcasters to post their carriage elections online and to send notices to covered MVPDs electronically. The next election deadline is October 1, 2023 and will follow the same process.</w:t>
      </w:r>
    </w:p>
    <w:p>
      <w:pPr>
        <w:spacing w:after="0" w:line="11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Recent statutes have required the FCC to modify its rules governing retransmission consent negotiations. Under the STELA Reauthorization Act (STELAR), enacted in December 2014, the FCC adopted rules prohibiting same-market television broadcast stations from coordinating or jointly negotiating for retransmission consent unless such stations are under common control. The Television Viewer Protection Act, enacted on December 20, 2019, made changes to the “good faith” standards for retransmission consent negotiations, calling for the FCC to implement regulations requiring “large station groups” (groups of television broadcast stations that have a national audience reach of more than 20%) to negotiate in good faith with MVPD “buying groups” (entities that negotiate on behalf of multiple small MVPDs). GMG does not qualify as a “large station group” under the statute and therefore will not be subject to this obligation. While GMG does not anticipate that these recent changes will materially affect its bargaining position in retransmission consent negotiations, if Congress or the FCC were to enact further changes to the retransmission consent rules (such as by requiring small station groups like GMG to negotiate with MVPD buying groups, or otherwise giving MVPDs heightened bargaining power), such changes could have a material effect on retransmission consent revenues.</w:t>
      </w:r>
    </w:p>
    <w:p>
      <w:pPr>
        <w:spacing w:after="0" w:line="11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FCC has also considered proposals to alter its rules governing network non-duplication and syndicated exclusivity. In March 2014, the FCC solicited comments on a proposal to eliminate its network non-duplication and syndicated exclusivity rules, which restrict the ability of cable operators, direct broadcast satellite systems and other distributors classified by the FCC as MVPDs to import the signals of out-of-market television stations with duplicate programming during retransmission consent disputes or otherwise. The FCC has not acted on that proposal to date. If Congress or the FCC were to enact further changes to the exclusivity rules, such changes could materially affect the GMG stations’ bargaining position in future retransmission consent negotiations.</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161616"/>
        </w:rPr>
        <w:t>The Communications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the FCC</w:t>
      </w:r>
      <w:r>
        <w:rPr>
          <w:rFonts w:ascii="Arial" w:cs="Arial" w:eastAsia="Arial" w:hAnsi="Arial"/>
          <w:sz w:val="18"/>
          <w:szCs w:val="18"/>
          <w:color w:val="auto"/>
        </w:rPr>
        <w:t>’</w:t>
      </w:r>
      <w:r>
        <w:rPr>
          <w:rFonts w:ascii="Arial" w:cs="Arial" w:eastAsia="Arial" w:hAnsi="Arial"/>
          <w:sz w:val="18"/>
          <w:szCs w:val="18"/>
          <w:color w:val="161616"/>
        </w:rPr>
        <w:t>s rules limit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types of media outlets in which a single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 xml:space="preserve">entity </w:t>
      </w:r>
      <w:r>
        <w:rPr>
          <w:rFonts w:ascii="Arial" w:cs="Arial" w:eastAsia="Arial" w:hAnsi="Arial"/>
          <w:sz w:val="18"/>
          <w:szCs w:val="18"/>
          <w:color w:val="161616"/>
        </w:rPr>
        <w:t>may have an attributable interest.</w:t>
      </w:r>
      <w:r>
        <w:rPr>
          <w:rFonts w:ascii="Arial" w:cs="Arial" w:eastAsia="Arial" w:hAnsi="Arial"/>
          <w:sz w:val="18"/>
          <w:szCs w:val="18"/>
          <w:color w:val="262826"/>
        </w:rPr>
        <w:t xml:space="preserve"> </w:t>
      </w:r>
      <w:r>
        <w:rPr>
          <w:rFonts w:ascii="Arial" w:cs="Arial" w:eastAsia="Arial" w:hAnsi="Arial"/>
          <w:sz w:val="18"/>
          <w:szCs w:val="18"/>
          <w:color w:val="000000"/>
        </w:rPr>
        <w:t>The FCC is required by statute to review its media ownership rules (with the exception of the national</w:t>
      </w:r>
      <w:r>
        <w:rPr>
          <w:rFonts w:ascii="Arial" w:cs="Arial" w:eastAsia="Arial" w:hAnsi="Arial"/>
          <w:sz w:val="18"/>
          <w:szCs w:val="18"/>
          <w:color w:val="262826"/>
        </w:rPr>
        <w:t xml:space="preserve"> </w:t>
      </w:r>
      <w:r>
        <w:rPr>
          <w:rFonts w:ascii="Arial" w:cs="Arial" w:eastAsia="Arial" w:hAnsi="Arial"/>
          <w:sz w:val="18"/>
          <w:szCs w:val="18"/>
          <w:color w:val="000000"/>
        </w:rPr>
        <w:t xml:space="preserve">television ownership rule, discussed below) every four years to determine whether those rules remain necessary in the public interest as the result of competition. This process is referred to as the quadrennial review. In November 2017, the FCC conducted such a review and voted to eliminate certain of its ownership limit restrictions and to modify others. However, this FCC decision was challenged in court, and the Third Circuit Court of Appeals set aside the FCC’s decision in </w:t>
      </w:r>
      <w:r>
        <w:rPr>
          <w:rFonts w:ascii="Arial" w:cs="Arial" w:eastAsia="Arial" w:hAnsi="Arial"/>
          <w:sz w:val="18"/>
          <w:szCs w:val="18"/>
          <w:color w:val="161616"/>
        </w:rPr>
        <w:t>November 2019.</w:t>
      </w:r>
      <w:r>
        <w:rPr>
          <w:rFonts w:ascii="Arial" w:cs="Arial" w:eastAsia="Arial" w:hAnsi="Arial"/>
          <w:sz w:val="18"/>
          <w:szCs w:val="18"/>
          <w:color w:val="000000"/>
        </w:rPr>
        <w:t xml:space="preserve"> The FCC appealed the Third Circuit court’s decision, and on January 19, 2021, the U.S. Supreme Court heard oral arguments in the case. A decision is expected in the first half of 2021.</w:t>
      </w:r>
    </w:p>
    <w:p>
      <w:pPr>
        <w:spacing w:after="0" w:line="109"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161616"/>
        </w:rPr>
        <w:t xml:space="preserve">Pending a decision from the Supreme Court, </w:t>
      </w:r>
      <w:r>
        <w:rPr>
          <w:rFonts w:ascii="Arial" w:cs="Arial" w:eastAsia="Arial" w:hAnsi="Arial"/>
          <w:sz w:val="18"/>
          <w:szCs w:val="18"/>
          <w:color w:val="000000"/>
        </w:rPr>
        <w:t>the FCC’s pre-November 2017 rules remain in effect. These rules include: the</w:t>
      </w:r>
      <w:r>
        <w:rPr>
          <w:rFonts w:ascii="Arial" w:cs="Arial" w:eastAsia="Arial" w:hAnsi="Arial"/>
          <w:sz w:val="18"/>
          <w:szCs w:val="18"/>
          <w:color w:val="161616"/>
        </w:rPr>
        <w:t xml:space="preserve"> </w:t>
      </w:r>
      <w:r>
        <w:rPr>
          <w:rFonts w:ascii="Arial" w:cs="Arial" w:eastAsia="Arial" w:hAnsi="Arial"/>
          <w:sz w:val="18"/>
          <w:szCs w:val="18"/>
          <w:color w:val="000000"/>
        </w:rPr>
        <w:t>newspaper/broadcast cross-ownership rule, which prohibits a single entity from owning a full-power broadcast station and a daily print newspaper in the same local market; the radio/television cross-ownership rule, which imposes certain limits on the ability to own television and radio stations in the same market (in addition to the separate limits on the number of television or radio stations an entity may own in a given market); a more restrictive local television ownership rule, including the Eight Voices Test (generally prohibiting two commercial television stations in the same market from combining ownership if the transaction would result in fewer than eight independently owned stations remaining in the market) and the presumptive prohibition on transactions that would result in common ownership among the top four ranked stations in the same market; and a rule making certain television joint sales agreements (JSAs) attributable in calculating compliance with the FCC’s ownership limits.</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FCC’s most recent quadrennial review of its media ownership rules was initiated in December 2018, prior to the Third Circuit court’s decision setting aside the FCC’s November 2017 rule changes. That proceeding remains open. GMG’s ability to enter into certain transactions in the future may be affected by the reinstatement of the pre-November 2017 ownership rules, the outcome of the U.S. Supreme Court’s review of the Third Circuit court’s decision, and the resolution of the current FCC quadrennial review proceeding.</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Under the national television ownership rule, a single person or entity may have an attributable interest in an unlimited number of television stations nationwide, as long as the aggregate audience reach of such stations does not exceed 39% of nationwide television households and as long as such interest complies with the FCC’s other ownership restrictions. In 2016, the FCC eliminated the 50% Ultra High Frequency (UHF) discount, under which stations broadcasting on UHF channels are credited with only half the number of households in their market for purposes of calculating compliance with the 39% cap. However, the FCC reversed that decision in early 2017, concluding that the UHF discount should not be altered except in connection with a broader review of the national ownership cap. The reinstatement of the UHF discount was upheld by the D.C. Circuit in the summer of 2018.</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3" w:name="page14"/>
    <w:bookmarkEnd w:id="13"/>
    <w:p>
      <w:pPr>
        <w:ind w:right="300"/>
        <w:spacing w:after="0" w:line="239" w:lineRule="auto"/>
        <w:rPr>
          <w:sz w:val="20"/>
          <w:szCs w:val="20"/>
          <w:color w:val="auto"/>
        </w:rPr>
      </w:pPr>
      <w:r>
        <w:rPr>
          <w:rFonts w:ascii="Arial" w:cs="Arial" w:eastAsia="Arial" w:hAnsi="Arial"/>
          <w:sz w:val="18"/>
          <w:szCs w:val="18"/>
          <w:color w:val="auto"/>
        </w:rPr>
        <w:t>In December 2017, the FCC initiated a new rule making proceeding seeking comments regarding its authority to modify or eliminate the national television ownership cap, which was set at 39% by statute, as well as the potential elimination of the UHF discount. The FCC has received comments on its rule making but has not yet issued an order in the proceeding.</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with one or more of the national television networks that provide a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programming to their television station affiliates. The expiration dates of GMG’s affiliation agreements are set forth at the beginning of this Television Broadcasting section. WJXT, one of GMG’s Jacksonville stations, has operated as an independent station since 2002. In addition, each of the GMG stations receives programming from syndicators and other third-party programming providers. GMG’s performance depends in part on the quality and availability of third-party programming, and any substantial decline in the quality or availability of this programming could materially affect the ability of GMG and its competitors to enter into certain transactions in the future.</w:t>
      </w:r>
    </w:p>
    <w:p>
      <w:pPr>
        <w:spacing w:after="0" w:line="111" w:lineRule="exact"/>
        <w:rPr>
          <w:sz w:val="20"/>
          <w:szCs w:val="20"/>
          <w:color w:val="auto"/>
        </w:rPr>
      </w:pPr>
    </w:p>
    <w:p>
      <w:pPr>
        <w:ind w:right="40"/>
        <w:spacing w:after="0"/>
        <w:rPr>
          <w:sz w:val="20"/>
          <w:szCs w:val="20"/>
          <w:color w:val="auto"/>
        </w:rPr>
      </w:pPr>
      <w:r>
        <w:rPr>
          <w:rFonts w:ascii="Arial" w:cs="Arial" w:eastAsia="Arial" w:hAnsi="Arial"/>
          <w:sz w:val="17"/>
          <w:szCs w:val="17"/>
          <w:b w:val="1"/>
          <w:bCs w:val="1"/>
          <w:i w:val="1"/>
          <w:iCs w:val="1"/>
          <w:color w:val="auto"/>
        </w:rPr>
        <w:t xml:space="preserve">Public Interest Obligations. </w:t>
      </w:r>
      <w:r>
        <w:rPr>
          <w:rFonts w:ascii="Arial" w:cs="Arial" w:eastAsia="Arial" w:hAnsi="Arial"/>
          <w:sz w:val="17"/>
          <w:szCs w:val="17"/>
          <w:color w:val="auto"/>
        </w:rPr>
        <w:t>To satisfy FCC requirements, stations generally are expected to air a specified number of hours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programming intended to serve the educational and informational needs of children and to complete reports on a quarterly basis concerning children’s programming. In July 2019, the FCC modified these rules to provide broadcasters with more flexibility in meeting the public interest obligations. Among other things, the new rules allow up to 52 hours per year of children’s programming to consist of educational specials and/or short-form programming. The prior rules required all qualifying programming to be regularly scheduled and in 30-minute blocks. While stations are required to air the substantial majority of their educational and informational children’s programming on their primary program stream, under the new rules they may now may air up to 13 hours per quarter of regularly scheduled weekly programming on a multicast stream. In addition, the FCC requires stations to limit the amount of advertising that appears during certain children’s programs.</w:t>
      </w:r>
    </w:p>
    <w:p>
      <w:pPr>
        <w:spacing w:after="0" w:line="11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and rules concerning the volume of commercials. Compliance with these rules imposes additional costs on the GMG stations that could affect GMG’s operations.</w:t>
      </w:r>
    </w:p>
    <w:p>
      <w:pPr>
        <w:spacing w:after="0" w:line="11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regarding the broadcast of political announcements more generally, including the disclosures of certain information related to such advertising in the station’s online public inspection file. The application of these regulations may limit the advertising revenues of GMG’s television stations during the periods preceding elections. Failure to comply with the political advertising rules may result in enforcement actions by the FCC. On October 16, 2019, the FCC admonished GMG because its WDIV station failed to disclose certain sponsorship information and failed to file in a timely manner certain materials in the public inspection file. GMG was one of several station groups so admonished, and GMG received no fines or other consequences as a result of this issue. Recently, the FCC has entered into consent decrees with a large number of radio station groups based on their failure to timely upload to the online public inspection files the materials required by the FCC’s political advertising rules. The Company has procedures in place regarding compliance with the FCC’s political advertising rules, but cannot predict how the FCC’s future application of these rules will affect GMG’s stations.</w:t>
      </w:r>
    </w:p>
    <w:p>
      <w:pPr>
        <w:spacing w:after="0" w:line="11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may impose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The Company cannot predict how GMG’s stations may be affected by the FCC’s current or future interpretation and enforcement of its indecency policies.</w:t>
      </w:r>
    </w:p>
    <w:p>
      <w:pPr>
        <w:spacing w:after="0" w:line="11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FCC is conducting proceedings concerning various matters in addition to those described in this section. The outcome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proceedings and other matters described in this section could adversely affect the profitability of GMG’s television broadcasting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46"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Graham Healthcare Group (GHG) provides home health, hospice and palliative services to more than 50,000 patients annually. GHG operates 10 home care, seven hospice and two palliative care operating units in Michigan,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4" w:name="page15"/>
    <w:bookmarkEnd w:id="14"/>
    <w:p>
      <w:pPr>
        <w:spacing w:after="0" w:line="223" w:lineRule="auto"/>
        <w:rPr>
          <w:sz w:val="20"/>
          <w:szCs w:val="20"/>
          <w:color w:val="auto"/>
        </w:rPr>
      </w:pPr>
      <w:r>
        <w:rPr>
          <w:rFonts w:ascii="Arial" w:cs="Arial" w:eastAsia="Arial" w:hAnsi="Arial"/>
          <w:sz w:val="18"/>
          <w:szCs w:val="18"/>
          <w:color w:val="auto"/>
        </w:rPr>
        <w:t>Illinois and Pennsylvania. Six of GHG’s 19 operating units are operated through joint ventures with health systems and physician groups. The remainder are wholly owned and operated under the “Residential” brand name. Home health services include a wide range of health and social services delivered at home to recovering, disabled and chronically or terminally ill persons in need of medical, nursing, social or therapeutic treatment and assistance with the essential activities of daily living. Hospice care focuses on relieving symptoms and supporting patients with a life expectancy of six months or less. Hospice care involves an interdisciplinary approach to the provision of medical care, pain management and emotional and spiritual support, with an emphasis on comfort, not curing. Hospice services can be provided in the patient’s home, as well as in free-standing hospice facilities, hospitals, nursing homes and other long-term care facilities. Palliative care is a specialized form of medicine provided by nurse practitioners that aims to enhance the quality of life of patients and their families who are faced with serious illness. It focuses on increasing comfort through prevention and treatment of distressing symptoms. In addition to expert symptom management, palliative care focuses on clear communication, advance planning and coordination of care. Each GHG operating unit offers care coordination, healthcare solutions and clinical expertise. All home health and hospice operations are Medicare certified and accredited by the Accreditation Commission for Health Care (ACHC) or are in the process of being ACHC accredited. GHG derives 90% of its revenues for home health and hospice services from Medicare. The remaining sources of revenue are from Medicaid, commercial insurance and private payers.</w:t>
      </w:r>
    </w:p>
    <w:p>
      <w:pPr>
        <w:spacing w:after="0" w:line="11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2020, GHG acquired two new business units, Clinical Specialty Infusions, LLC (CSI Pharmacy) located in Texarkana, Texas, and Clarus Care, LLC (Clarus) in Nashville, Tennessee. CSI Pharmacy is a nationwide specialty pharmacy licensed in 38 states that serves patients suffering from chronic illness. The Company specializes in treating rare diseases with biologics and plasma-derived therapies, with revenues derived primarily from intravenous immunoglobulin (IVIG) therapy. CSI Pharmacy delivers products to patients’ houses and employs nurses to provide specialized infusion therapies in the home on a monthly basis. Clarus provides call management solutions to physician groups and hospitals. Clarus replaces traditional human-staffed answering services with a SaaS-based solution. Clarus streamlines calls, eliminates patient hold times, and manages referrals and new appointments. The solution eliminates delays, call routing errors and malpractice risk inherent with traditional call centers.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4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333333"/>
        </w:rPr>
        <w:t>Hoover Treated Wood Products, Inc. (Hoover) is a supplier of pressure impregnated kiln-dried lumber and plywood products for fire-retardant and preservative applications. Hoover, founded in 1955 and acquired by the Company in 2017, is headquartered in Thomson, GA. It operates 10 facilities across the country and services a stocking distributor network of more than 100 locations spanning the U.S. and Canada.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46"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Garrett, IN, and operates 13 facilities in five states and Mexico.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46" w:lineRule="exact"/>
        <w:rPr>
          <w:sz w:val="20"/>
          <w:szCs w:val="20"/>
          <w:color w:val="auto"/>
        </w:rPr>
      </w:pPr>
    </w:p>
    <w:p>
      <w:pPr>
        <w:jc w:val="both"/>
        <w:ind w:right="200"/>
        <w:spacing w:after="0" w:line="239" w:lineRule="auto"/>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46" w:lineRule="exact"/>
        <w:rPr>
          <w:sz w:val="20"/>
          <w:szCs w:val="20"/>
          <w:color w:val="auto"/>
        </w:rPr>
      </w:pPr>
    </w:p>
    <w:p>
      <w:pPr>
        <w:jc w:val="both"/>
        <w:ind w:right="300"/>
        <w:spacing w:after="0" w:line="239" w:lineRule="auto"/>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 Restaurant Group</w:t>
      </w:r>
    </w:p>
    <w:p>
      <w:pPr>
        <w:spacing w:after="0" w:line="14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 July 2019, the Company acquired Clyde’s Restaurant Group (Clyde’s). Clyde’s, founded in 1963, owns and operates 11 restaurants and entertainment venues in the Washington, D.C. metropolitan area, including seven Clyde’s locations, Old Ebbitt Grill, The Hamilton, 1789 Restaurant, and The Tombs. Clyde’s is managed by its existing management team as a wholly owned subsidiary of the Company.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333333"/>
        </w:rPr>
        <w:t>Graham Automotive LLC</w:t>
      </w:r>
    </w:p>
    <w:p>
      <w:pPr>
        <w:spacing w:after="0" w:line="146" w:lineRule="exact"/>
        <w:rPr>
          <w:sz w:val="20"/>
          <w:szCs w:val="20"/>
          <w:color w:val="auto"/>
        </w:rPr>
      </w:pPr>
    </w:p>
    <w:p>
      <w:pPr>
        <w:spacing w:after="0" w:line="231" w:lineRule="auto"/>
        <w:rPr>
          <w:sz w:val="20"/>
          <w:szCs w:val="20"/>
          <w:color w:val="auto"/>
        </w:rPr>
      </w:pPr>
      <w:r>
        <w:rPr>
          <w:rFonts w:ascii="Arial" w:cs="Arial" w:eastAsia="Arial" w:hAnsi="Arial"/>
          <w:sz w:val="18"/>
          <w:szCs w:val="18"/>
          <w:color w:val="333333"/>
        </w:rPr>
        <w:t>On January 31, 2019, the Company acquired a 90% interest in two automobile dealerships in the Washington, D.C. area, Honda of Tysons Corner in Virginia and Lexus of Rockville in Maryland. The two dealerships are established automotive retailers. In December 2019, the Company opened a new Jeep dealership in Bethesda, MD. The Company also entered into a management services agreement with an entity affiliated with Christopher J. Ourisman, a member of the Ourisman Automotive Group family of dealerships, to operate and manage the operations of the dealerships.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 Inc.</w:t>
      </w:r>
    </w:p>
    <w:p>
      <w:pPr>
        <w:spacing w:after="0" w:line="146"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In May 2020, the Company acquired an additional interest in Framebridge, Inc. (Framebridge), a custom framing service company, that resulted in the Company’s ownership of approximately 93% of Framebridge. The CEO of Framebridge continues to hold an approximately</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7% ownership stake in Framebridge. Framebridge provides high-quality, affordable and fast custom framing directly to consumers. Through its website, app, and retail locations, Framebridge offers consumers the option to drop off or ship artwork, pictures and other personal objects directly to Framebridge to be custom framed and then delivered directly to a customer or a retail store for in-store pick up. Framebridge is headquartered in Washington, D.C., has retail locations in Washington, D.C., Bethesda, MD, Brooklyn, NY, two locations in Atlanta, GA and two manufacturing facilities in Lexington, KY.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 (formerly a part of SocialCode)</w:t>
      </w:r>
    </w:p>
    <w:p>
      <w:pPr>
        <w:spacing w:after="0" w:line="14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2020, SocialCode split into two separate companies: Code3 and Decile. SocialCode’s marketing agency business now operates under the new name Code3. Code3 is a marketing and insights company that manages digital advertising for global brands and early-stage companies. It delivers software and service to transform consumer and performance data into planning, content, media activation and measurement to maximize ROI. Code3 works across platforms such as Facebook, Instagram, Amazon, Google, Twitter, Pinterest, Snapchat and YouTube. The legacy business surrounding the Audience Intelligence Platform (AIP) now operates as a separate software company, under the new name, Decile LLC.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 LLC</w:t>
      </w:r>
    </w:p>
    <w:p>
      <w:pPr>
        <w:spacing w:after="0" w:line="146" w:lineRule="exact"/>
        <w:rPr>
          <w:sz w:val="20"/>
          <w:szCs w:val="20"/>
          <w:color w:val="auto"/>
        </w:rPr>
      </w:pPr>
    </w:p>
    <w:p>
      <w:pPr>
        <w:jc w:val="both"/>
        <w:ind w:right="280"/>
        <w:spacing w:after="0" w:line="244" w:lineRule="auto"/>
        <w:rPr>
          <w:sz w:val="20"/>
          <w:szCs w:val="20"/>
          <w:color w:val="auto"/>
        </w:rPr>
      </w:pPr>
      <w:r>
        <w:rPr>
          <w:rFonts w:ascii="Arial" w:cs="Arial" w:eastAsia="Arial" w:hAnsi="Arial"/>
          <w:sz w:val="18"/>
          <w:szCs w:val="18"/>
          <w:color w:val="auto"/>
        </w:rPr>
        <w:t>Decile LLC (Decile) is a customer data and analytics software company that helps marketers extract value from their proprietary first-party customer and sales data. Decile provides software and services to help its business clients better understand customer acquisition costs, customer retention, unit economics and how to increase profitable growth</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4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 xml:space="preserve">The Slate Group LLC (Slate)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20 million unique visitors per month and averaged more than 67 million page views per month across desktop and mobile platforms in 2020. The Slate Group owns an interest in 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The Slate Group provides content, technology and branding support.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w:t>
      </w:r>
    </w:p>
    <w:p>
      <w:pPr>
        <w:spacing w:after="0" w:line="14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Pinna is an audio-first children’s media company offering an on-demand subscription service that delivers curated audio programming for children, all in one place, including podcasts, audio shows, audiobooks and music. The service offers children an ad-free, screen-free way to play and listen. Pinna creates and produces award-winning, original shows and partners with best-in-class brands and top creative talent to deliver age-appropriate, high-quality, highly entertaining audio experiences for three- to 12-year-olds.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46"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number of live and virtual events, bringing together government, military, business and investment leaders to discuss important regional and topical developments and their implications.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CyberVista LLC</w:t>
      </w:r>
    </w:p>
    <w:p>
      <w:pPr>
        <w:spacing w:after="0" w:line="14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CyberVista LLC (CyberVista) is a cybersecurity training company headquartered in Arlington, VA. Its training solutions span cyber protection, operations, cloud and hardware/software. Its Resolve executive training suite helps large company boards and executives prepare for and mitigate cyber threats. Customers include Fortune 500 companies, leading cybersecurity providers and the defense industrial base.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w:t>
      </w:r>
    </w:p>
    <w:p>
      <w:pPr>
        <w:spacing w:after="0" w:line="14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 xml:space="preserve">Kaplan’s businesses operate in fragmented and competitive markets. Each of Kaplan International’s (KI) businesses competes in disaggregated markets with other for-profit institutions and companies (ranging in size from large for-profit universities to small competitors offering English-language courses) and, in certain instances, with government-supported schools and institutions that provide similar training and educational programs. Competitive factors vary by business and include program offerings, ranking of university partners, convenience, quality of instruction, reputation, placement rates, student services and cost. KI derives its competitive advantage from, among other things, delivering high-quality education and training experiences to students, having name brand recognition across multiple markets, developing strong relationships with corporate clients and recruitment partners and offering competitive pricing. Kaplan North America (KNA) competes with companies that provide various education technology solutions, consumer test and licensure preparation and course delivery, corporate training, university administrative support for online programs and courses, curriculum development, overall online program development and analytics for colleges and universities, as well as support for corporate, employer and employee education programs. The market for KNA’s services and products, and especially its higher education services and products, is dynamic and rapidly evolving, and several competitors offer a mix of some of the same products and services or are seeking to move into KNA’s markets. Competitive factors in these KNA markets include the ability to deliver a wide range of educational services and programs to clients across all levels of programs and administrative functions; cost effectiveness; expertise in marketing, recruitment and program delivery; student outcomes and satisfaction; the ability to invest in start-up and scaling initiatives; reputation; and compliance with laws and the ability to navigate complex regulatory requirements. KNA’s ability to effectively compete in the higher education services markets will depend in large part on its successful delivery and navigation of these factors. While the competitive landscape is expanding, KNA’s resources, capabilities and experience are key differentiators in the market. Similarly, KNA’s supplemental education products and services </w:t>
      </w:r>
      <w:r>
        <w:rPr>
          <w:rFonts w:ascii="Arial" w:cs="Arial" w:eastAsia="Arial" w:hAnsi="Arial"/>
          <w:sz w:val="18"/>
          <w:szCs w:val="18"/>
          <w:color w:val="222222"/>
        </w:rPr>
        <w:t>compete with a wide range of national, regional,</w:t>
      </w:r>
      <w:r>
        <w:rPr>
          <w:rFonts w:ascii="Arial" w:cs="Arial" w:eastAsia="Arial" w:hAnsi="Arial"/>
          <w:sz w:val="18"/>
          <w:szCs w:val="18"/>
          <w:color w:val="auto"/>
        </w:rPr>
        <w:t xml:space="preserve"> </w:t>
      </w:r>
      <w:r>
        <w:rPr>
          <w:rFonts w:ascii="Arial" w:cs="Arial" w:eastAsia="Arial" w:hAnsi="Arial"/>
          <w:sz w:val="18"/>
          <w:szCs w:val="18"/>
          <w:color w:val="222222"/>
        </w:rPr>
        <w:t xml:space="preserve">local, online and location-based competitors. Competitors vary by test, with many focused on preparing students for a single high-stakes test. For its curricular and assessment services, KNA has a number of national competitors, including, for example, ATI/Ascend Learning and HESI/Elsevier, as well as competitors focused on preparation for particular tests. Competitive factors for the supplemental education products vary by product line and include price, features, modality, schedule and reputation. Although KNA faces intense competition and shifting consumer preferences in these areas, particularly with respect to online test preparation, where some new competitors are offering lower-cost and free test preparation products, KNA, and particularly Kaplan Test Prep, remains a leading name in test preparation owing in part to its technical expertise and capabilities, quality of instructors, content, curricula, longevity and reputation in the industry. KNA’s professional </w:t>
      </w:r>
      <w:r>
        <w:rPr>
          <w:rFonts w:ascii="Arial" w:cs="Arial" w:eastAsia="Arial" w:hAnsi="Arial"/>
          <w:sz w:val="18"/>
          <w:szCs w:val="18"/>
          <w:color w:val="000000"/>
        </w:rPr>
        <w:t>licensure training and preparation and corporate training products and services offer a broad portfolio of products, many within highly regulated and mature industries, including securities, insurance, real estate and wealth management, where competition includes a wide variety of national, regional and local companies seeking the same market share and resulting in deep price discounting and commoditization of offerings.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Media Group</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 other media providers,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an on-demand, digital or pay-per-view basis. In addition, DBS services provide nationwide distribution of television programming, including pay-per-view programming and programming packages unique to DBS, using digital transmission technologies. Moreover, to the extent that competing television stations in the Company’s television markets transition to ATSC 3.0, such stations may pose an increased competitive challenge to the Company’s stations in the future, such as by offering an increased number of multicast channels or by offering advanced features.</w:t>
      </w:r>
    </w:p>
    <w:p>
      <w:pPr>
        <w:spacing w:after="0" w:line="11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Competition continues to increase from established and emerging online distribution platforms. Movies and television programming increasingly are available on an on-demand basis through a variety of online platforms, which include free access on the websites of the major TV networks, ad-supported viewing on platforms such as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7" w:name="page18"/>
    <w:bookmarkEnd w:id="17"/>
    <w:p>
      <w:pPr>
        <w:ind w:right="200"/>
        <w:spacing w:after="0" w:line="229" w:lineRule="auto"/>
        <w:rPr>
          <w:sz w:val="20"/>
          <w:szCs w:val="20"/>
          <w:color w:val="auto"/>
        </w:rPr>
      </w:pPr>
      <w:r>
        <w:rPr>
          <w:rFonts w:ascii="Arial" w:cs="Arial" w:eastAsia="Arial" w:hAnsi="Arial"/>
          <w:sz w:val="18"/>
          <w:szCs w:val="18"/>
          <w:color w:val="auto"/>
        </w:rPr>
        <w:t>Hulu, and subscription-based access through services such as Netflix. In addition, online-only subscription services offering live television services have been launched both by traditional pay-TV competitors (such as DISH and DirecTV) and new entrants (such as Fubo). The Company has entered into agreements for some of its stations to be distributed via certain of these services, typically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 television stations via traditional platforms and/or the Company’s strategic position in negotiations with pay-TV services. In addition, the networks’ increased role in negotiating online distribution arrangements for their affiliated stations, together with the networks’ imposition of higher fees on affiliated stations in exchange for broadcast and traditional pay-TV retransmission rights, may have broader effects on the overall network-affiliate relationship, which the Company cannot predict.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w:t>
      </w:r>
    </w:p>
    <w:p>
      <w:pPr>
        <w:spacing w:after="0" w:line="133"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Hoover’s predominant product line is fire-retardant treated wood products for building interior applications that are specified by architects in accordance with building code requirements for multi-family residential, commercial and institutional nonresidential buildings. Hoover’s fire-retardant product lines are sold through a stocking distributor network of more than 100 locations spanning the U.S. and Canada. Hoover’s competitors are licensees of other chemical suppliers to the wood treating industry who compete with Hoover’s stocking distributors on a local basis. The primary areas of competition are product availability and price, although brand loyalty due to product quality is significant. Wood products are commodities with volatile market pricing; however, Hoover’s reputation for quality products and its unique distribution model, which provides superior product availability, enable Hoover to maintain a leading position across the continent.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Dekko</w:t>
      </w:r>
    </w:p>
    <w:p>
      <w:pPr>
        <w:spacing w:after="0" w:line="11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Dekko has three distinct product families that compete in fragmented, competitive global markets: power and data distribution for office and furniture products, lighting solutions, and electrical harness manufacturing. These products are sold through dealer and distribution channels and original equipment manufacturer (OEM) customers, focused primarily on the North American market. While all markets and products are price sensitive, technology, engineering solutions, quality and delivery performance are critical in purchase decisions. Dekko’s multiple long-term relationships, high-quality manufacturing facilities, engineering support and reputation as a solutions provider, in addition to being a product supplier, all contribute to sustaining its competitive advantages.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46"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 According to the Medicare Payment Advisory Commission’s July 2020 Data Book, there are approximately 11,365 Medicare-certified home health providers and approximately 4,639 hospice providers in the U.S., with the number of active home healthcare providers rapidly increasing. GHG markets its services to physicians, discharge planners and social workers at hospitals, nursing homes, senior living communities and physicians’ offices through a direct sales model. GHG differentiates its offerings based on response time, clinical programming, clinical outcomes and patient satisfaction. Throughout the three states in which it operates, GHG competes primarily with both privately owned and hospital-operated home health and hospice service providers.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w:t>
      </w:r>
    </w:p>
    <w:p>
      <w:pPr>
        <w:spacing w:after="0" w:line="14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restaurant industry is highly competitive. Clyde’s competes with national and regional chains and independent, locally owned restaurants for customers and personnel. The principal basis for competition are types of food and service, quality, price, location, brand and attractiveness of facilities.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Automotive</w:t>
      </w:r>
    </w:p>
    <w:p>
      <w:pPr>
        <w:spacing w:after="0" w:line="146"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retail automotive industry is highly competitive and fragmented. Automobile dealerships compete with dealerships offering the same brands as well as those offering other manufacturers’ brands. Competitors include small local dealerships and large national multi-franchise automotive dealership groups. In addition to competition for vehicle sales, dealerships compete for parts and service business with other dealerships, automotive parts retailers and independent mechanics. The principal competitive factors in vehicle sales are price, selection of vehicles, location of dealerships and quality of customer service. The principal competitive factors in parts and service sales are price, the use of factory-approved replacement parts, factory-trained technicians and the quality of customer service.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w:t>
      </w:r>
    </w:p>
    <w:p>
      <w:pPr>
        <w:spacing w:after="0" w:line="14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Framebridge operates in a highly fragmented market. Competitors include small local retail operations and a few national retail chains. The competitive factors in the framing industry are price, selection and convenience.</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8" w:name="page19"/>
    <w:bookmarkEnd w:id="18"/>
    <w:p>
      <w:pPr>
        <w:ind w:right="240"/>
        <w:spacing w:after="0" w:line="290" w:lineRule="auto"/>
        <w:rPr>
          <w:sz w:val="20"/>
          <w:szCs w:val="20"/>
          <w:color w:val="auto"/>
        </w:rPr>
      </w:pPr>
      <w:r>
        <w:rPr>
          <w:rFonts w:ascii="Arial" w:cs="Arial" w:eastAsia="Arial" w:hAnsi="Arial"/>
          <w:sz w:val="17"/>
          <w:szCs w:val="17"/>
          <w:color w:val="auto"/>
        </w:rPr>
        <w:t>Framebridge’s centralized manufacturing, clear and transparent pricing, retail stores that are optimized for foot traffic and a curated buying experience rather than framing workshops, and strong e-commerce and digital capabilities contribute to its competitive advantages.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 (formerly a part of SocialCode)</w:t>
      </w:r>
    </w:p>
    <w:p>
      <w:pPr>
        <w:spacing w:after="0" w:line="146"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 service and technology offerings. Code3 seeks to maintain a competitive advantage and maximize its clients’ return on advertising budgets by utilizing a combination of the deep expertise of its employees, who manage media spending on the largest digital platforms; a proprietary software (SaaS) as a service platform, allowing clients to make better use of first-party and third-party data to increase advertising effectiveness; and a full-service creative team with a nuanced understanding of digital media.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w:t>
      </w:r>
    </w:p>
    <w:p>
      <w:pPr>
        <w:spacing w:after="0" w:line="14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Decile faces competition from lower-cost providers that provide a narrower data analytics offering. In addition, at higher price points aimed at larger marketers ($50M+ annual revenue), there are several large customer data platform (CDP) competitors that attempt to unify many disparate sources of data to improve omnichannel advertising outcomes. Decile seeks to maintain a competitive advantage by simplifying the connection between data and marketing and bridging the gap between financial and marketing analytics to help marketers extract the most value out of their customer and sales data, all at a competitive price. Decile’s additional third-party data enrichment capabilities and data science analytics serve as key differentiators in the mid-market space where those capabilities are not available at a competitive price.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Slate</w:t>
      </w:r>
    </w:p>
    <w:p>
      <w:pPr>
        <w:spacing w:after="0" w:line="14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As a digital media company, Slate operates in highly competitive markets for subscribers, audiences and advertisers. For written work, Slate faces competition from other online publishers, especially magazines and newspapers. In podcasting, Slate faces competition from other podcast networks, as well as traditional radio networks. In the face of stiff competition, Slate is able to attract and retain a large educated, affluent audience and subscriber base by creating high-quality content, and is then able to compete for advertisers who wish to reach that audience on trusted, brand-safe properties.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w:t>
      </w:r>
    </w:p>
    <w:p>
      <w:pPr>
        <w:spacing w:after="0" w:line="146"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Pinna is currently the only ad-free, audio on-demand streaming service designed just for children that offers multiple audio formats in one space that complies with the Children’s Online Privacy Protection Act (COPPA). The market for children’s subscription digital media entertainment is large. It includes media subscription services for families, subscription services for children, online learning/gaming destinations, audiobooks and podcasts for children, gaming subscriptions and free digital content. Key differentiators for Pinna include its access to multiple formats and its offering of curated best-in-class brands and original shows all in one ad-free COPPA-compliant place.</w:t>
      </w:r>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Executive Officers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 xml:space="preserve">Donald E. Graham, age 75, has been Chairman of the Board of the Company since September 1993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Timothy J. O’Shaughnessy, age 39, became Chief Executive Officer of the Company in November 2015. From November 2014 until November 2015, he served as President of the Company. He was elected to the Board of Directors in November 2014. From 2007 to August 2014, Mr. O’Shaughnessy served as chief executive officer of LivingSocial, an e-commerce and marketing company that he co-founded in 2007. Mr. O’Shaughnessy is the son-in-law of Donald E. Graham, Chairman of the Company.</w:t>
      </w:r>
    </w:p>
    <w:p>
      <w:pPr>
        <w:spacing w:after="0" w:line="11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 xml:space="preserve">Andrew S. Rosen, age 60, became Executive Vice President of the Company in April 2014. He became Chairman of Kaplan, Inc. in November 2008 and served as Chief Executive Officer of Kaplan, Inc. from November 2008 to April 2014 and from August 2015 to the present. Mr. Rosen has spent nearly 35 years at the Company and its affiliates. He joined the Company in 1986 as a staff attorney with the </w:t>
      </w:r>
      <w:r>
        <w:rPr>
          <w:rFonts w:ascii="Arial" w:cs="Arial" w:eastAsia="Arial" w:hAnsi="Arial"/>
          <w:sz w:val="18"/>
          <w:szCs w:val="18"/>
          <w:i w:val="1"/>
          <w:iCs w:val="1"/>
          <w:color w:val="auto"/>
        </w:rPr>
        <w:t xml:space="preserve">Post </w:t>
      </w:r>
      <w:r>
        <w:rPr>
          <w:rFonts w:ascii="Arial" w:cs="Arial" w:eastAsia="Arial" w:hAnsi="Arial"/>
          <w:sz w:val="18"/>
          <w:szCs w:val="18"/>
          <w:color w:val="auto"/>
        </w:rPr>
        <w:t>and later served as assistant counsel at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9" w:name="page20"/>
    <w:bookmarkEnd w:id="19"/>
    <w:p>
      <w:pPr>
        <w:ind w:right="100"/>
        <w:spacing w:after="0" w:line="260" w:lineRule="auto"/>
        <w:rPr>
          <w:sz w:val="20"/>
          <w:szCs w:val="20"/>
          <w:color w:val="auto"/>
        </w:rPr>
      </w:pPr>
      <w:r>
        <w:rPr>
          <w:rFonts w:ascii="Arial" w:cs="Arial" w:eastAsia="Arial" w:hAnsi="Arial"/>
          <w:sz w:val="18"/>
          <w:szCs w:val="18"/>
          <w:color w:val="auto"/>
        </w:rPr>
        <w:t>Newsweek. He moved to Kaplan in 1992 and held numerous leadership positions there before being named Chairman and Chief Executive Officer of Kaplan, Inc.</w:t>
      </w:r>
    </w:p>
    <w:p>
      <w:pPr>
        <w:spacing w:after="0" w:line="9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Wallace R. Cooney, age 58, became Senior Vice President–Finance and Chief Financial Officer of the Company in April 2017. Mr. Cooney served as the Company’s Vice President–Finance and Chief Accounting Officer from 2008 to 2017. He joined the Company in 2001 as Controller.</w:t>
      </w:r>
    </w:p>
    <w:p>
      <w:pPr>
        <w:spacing w:after="0" w:line="111"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Marcel A. Snyman, age 46, became Vice President and Chief Accounting Officer of the Company in January 2018. Mr. Snyman served as Controller of the Company from 2016 to 2018, prior to which he served as Assistant Controller beginning in April 2014 and Director of Accounting Policy beginning in July 2008.</w:t>
      </w:r>
    </w:p>
    <w:p>
      <w:pPr>
        <w:spacing w:after="0" w:line="11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Sandra M. Stonesifer, age 36, became Vice President–Chief Human Resources Officer of the Company in January 2021. Prior to joining the Company, Ms. Stonesifer was a consultant with S-Squared Consulting, an organization development consulting company.</w:t>
      </w:r>
    </w:p>
    <w:p>
      <w:pPr>
        <w:spacing w:after="0" w:line="92"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Jacob M. Maas, age 44, became Senior Vice President–Planning and Development of the Company in October 2015. Prior to joining the Company, he served as executive vice president of operations and head of corporate development at LivingSocial, an e-commerce and marketing company that he joined as chief financial officer in 2008.</w:t>
      </w:r>
    </w:p>
    <w:p>
      <w:pPr>
        <w:spacing w:after="0" w:line="111"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Nicole M. Maddrey, age 56, became Senior Vice President, General Counsel and Secretary of the Company in April 2015. Ms. Maddrey joined the Company in 2007 as Associate General Counsel.</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Human Capital</w:t>
      </w:r>
    </w:p>
    <w:p>
      <w:pPr>
        <w:spacing w:after="0" w:line="14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employs approximately 16,661 people worldwide, of which approximately 11,261 were employed in the United States and approximately 5,400 were employed outside the United States. Employment across each of the Company’s businesses is further discussed below.</w:t>
      </w:r>
    </w:p>
    <w:p>
      <w:pPr>
        <w:spacing w:after="0" w:line="111"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Worldwide, Kaplan employs approximately 5,500 people on a full-time basis in 24 countries. Kaplan also employs substantial numbers of part-time employees who serve in instructional and administrative capacities. Kaplan’s part-time workforce comprises approximately 4,700 individuals in 13 countries. Collectively, in the U.S. and Canada, 24 Kaplan employees are represented by a union. Kaplan employees are also represented by a union in Singapore, where union membership is not disclosed to the employer. Kaplan believes there are also represented employees in the U.K. and Australia, where similar to Singapore, union membership is not disclosed to the employer.</w:t>
      </w:r>
    </w:p>
    <w:p>
      <w:pPr>
        <w:spacing w:after="0" w:line="105"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Graham Media Group has approximately 1,043 employees, including 986 full-time employees, and 57 part-time employees, of whom approximately 107 are represented by a union.</w:t>
      </w:r>
    </w:p>
    <w:p>
      <w:pPr>
        <w:spacing w:after="0" w:line="9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the Healthcare segment, Graham Healthcare Group has approximately 1,011 full-time employees and 192 part-time employees. None of these employees is represented by a union.</w:t>
      </w:r>
    </w:p>
    <w:p>
      <w:pPr>
        <w:spacing w:after="0" w:line="92"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 the Manufacturing segment, Hoover has approximately 337 full-time employees, of whom 35 are represented by a union, and one part-time employee. Dekko has approximately 1,215 full-time employees, none of whom is represented by a union. Joyce/Dayton has approximately 154 full-time employees, none of whom is represented by a union. Forney has approximately 123 full-time employees, of whom 45 are represented by a union.</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the Other Businesses segment, Clyde’s has approximately 165 full-time employees and 790 part-time employees, none of whom is represented by a union. Graham Automotive employs approximately 250 full-time employees and four part-time employees, none of whom is represented by a union. Framebridge has approximately 546 full-time and 42 part-time employees, none of whom is represented by a union. Code3 has approximately 218 full-time employees and 12 part-time employees, none of whom is represented by a union. Decile has 33 full-time employees, none of whom is represented by a union. Slate employs 136 full-time employees and seven part-time employees, of whom approximately 50 are represented by a union. Pinna employs 12 full-time employees, none of whom is represented by a union. The FP Group has 48 full-time employees and three part-time employees. CyberVista employs 23 full-time staff and 18 part-time staff, none of whom is represented by a union.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76 full-time employees and two part-time employees, none of whom is represented by a union.</w:t>
      </w:r>
    </w:p>
    <w:p>
      <w:pPr>
        <w:spacing w:after="0" w:line="144" w:lineRule="exact"/>
        <w:rPr>
          <w:sz w:val="20"/>
          <w:szCs w:val="20"/>
          <w:color w:val="auto"/>
        </w:rPr>
      </w:pPr>
    </w:p>
    <w:p>
      <w:pPr>
        <w:jc w:val="both"/>
        <w:ind w:right="880"/>
        <w:spacing w:after="0" w:line="260" w:lineRule="auto"/>
        <w:rPr>
          <w:sz w:val="20"/>
          <w:szCs w:val="20"/>
          <w:color w:val="auto"/>
        </w:rPr>
      </w:pPr>
      <w:r>
        <w:rPr>
          <w:rFonts w:ascii="Arial" w:cs="Arial" w:eastAsia="Arial" w:hAnsi="Arial"/>
          <w:sz w:val="18"/>
          <w:szCs w:val="18"/>
          <w:color w:val="auto"/>
        </w:rPr>
        <w:t>The Company recognizes the importance of attracting, developing and retaining highly qualified employees throughout each of its businesses. The following is a description of the Company’s efforts to manage and promote human capital within its organization.</w:t>
      </w:r>
    </w:p>
    <w:p>
      <w:pPr>
        <w:spacing w:after="0" w:line="90" w:lineRule="exact"/>
        <w:rPr>
          <w:sz w:val="20"/>
          <w:szCs w:val="20"/>
          <w:color w:val="auto"/>
        </w:rPr>
      </w:pPr>
    </w:p>
    <w:p>
      <w:pPr>
        <w:ind w:right="400"/>
        <w:spacing w:after="0" w:line="241" w:lineRule="auto"/>
        <w:rPr>
          <w:sz w:val="20"/>
          <w:szCs w:val="20"/>
          <w:color w:val="auto"/>
        </w:rPr>
      </w:pPr>
      <w:r>
        <w:rPr>
          <w:rFonts w:ascii="Arial" w:cs="Arial" w:eastAsia="Arial" w:hAnsi="Arial"/>
          <w:sz w:val="18"/>
          <w:szCs w:val="18"/>
          <w:b w:val="1"/>
          <w:bCs w:val="1"/>
          <w:color w:val="auto"/>
        </w:rPr>
        <w:t xml:space="preserve">Oversight and Management. </w:t>
      </w:r>
      <w:r>
        <w:rPr>
          <w:rFonts w:ascii="Arial" w:cs="Arial" w:eastAsia="Arial" w:hAnsi="Arial"/>
          <w:sz w:val="18"/>
          <w:szCs w:val="18"/>
          <w:color w:val="auto"/>
        </w:rPr>
        <w:t>The Company’s human resources organization and the human resource organizations of its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manage employment-related matters, including recruiting and hiring, training, compensation, workplace safety, performance management, support for specific needs including</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20" w:name="page21"/>
    <w:bookmarkEnd w:id="20"/>
    <w:p>
      <w:pPr>
        <w:ind w:right="40"/>
        <w:spacing w:after="0" w:line="239" w:lineRule="auto"/>
        <w:rPr>
          <w:sz w:val="20"/>
          <w:szCs w:val="20"/>
          <w:color w:val="auto"/>
        </w:rPr>
      </w:pPr>
      <w:r>
        <w:rPr>
          <w:rFonts w:ascii="Arial" w:cs="Arial" w:eastAsia="Arial" w:hAnsi="Arial"/>
          <w:sz w:val="18"/>
          <w:szCs w:val="18"/>
          <w:color w:val="auto"/>
        </w:rPr>
        <w:t>supporting employees who are caregivers or working remotely, and creating diversity, equity and inclusion strategies. The Compensation Committee of the Board of Directors provides oversight of certain human capital matters, including compensation and benefits, development, workforce diversity and inclusion initiatives and succession planning.</w:t>
      </w:r>
    </w:p>
    <w:p>
      <w:pPr>
        <w:spacing w:after="0" w:line="109"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The Company offers strong compensation and benefits programs to its employees. In addition to salaries,</w:t>
      </w:r>
      <w:r>
        <w:rPr>
          <w:rFonts w:ascii="Arial" w:cs="Arial" w:eastAsia="Arial" w:hAnsi="Arial"/>
          <w:sz w:val="18"/>
          <w:szCs w:val="18"/>
          <w:b w:val="1"/>
          <w:bCs w:val="1"/>
          <w:color w:val="auto"/>
        </w:rPr>
        <w:t xml:space="preserve"> </w:t>
      </w:r>
      <w:r>
        <w:rPr>
          <w:rFonts w:ascii="Arial" w:cs="Arial" w:eastAsia="Arial" w:hAnsi="Arial"/>
          <w:sz w:val="18"/>
          <w:szCs w:val="18"/>
          <w:color w:val="auto"/>
        </w:rPr>
        <w:t>depending on the business unit, these programs may include healthcare and insurance benefits, health savings and flexible spending accounts, paid time off, family leave, employee assistance programs, tuition assistance programs, bonuses, long-term incentive compensation plans, pension and a 401(k) Plan. The Company also offers eligible employees certain equity-based grants under the Company’s Incentive Compensation Plan with vesting and performance conditions to facilitate the attraction, retention, motivation and reward of key employees and to align their interests with those of the Company’s stockholders.</w:t>
      </w:r>
    </w:p>
    <w:p>
      <w:pPr>
        <w:spacing w:after="0" w:line="11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Health and Safety. </w:t>
      </w:r>
      <w:r>
        <w:rPr>
          <w:rFonts w:ascii="Arial" w:cs="Arial" w:eastAsia="Arial" w:hAnsi="Arial"/>
          <w:sz w:val="18"/>
          <w:szCs w:val="18"/>
          <w:color w:val="auto"/>
        </w:rPr>
        <w:t>The health and safety of the Company’s employees is paramount. The Company’s health and safety programs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designed to address multiple jurisdictions and regulations as well as the specific risks and unique working environments of each of the Company’s businesses. In response to the COVID-19 pandemic, the Company’s businesses implemented significant changes that were determined to be in the best interest of their employees while complying with government regulations. The Company successfully transitioned a significant portion of its employees to work from home, while some of the Company’s businesses were considered essential businesses requiring employees to work on-site. Additional safety measures were implemented for employees continuing to work on-site, including purchasing personal protective equipment, adopting strong cleaning protocols, implementing quarantine, distancing and testing protocols to align with regulatory guidelines, providing contactless services, purchases and deliveries where possible and moving classes to online platforms. For example, Kaplan shifted classes that were usually held in person to online platforms and Graham Automotive increased the use </w:t>
      </w:r>
      <w:r>
        <w:rPr>
          <w:rFonts w:ascii="Arial" w:cs="Arial" w:eastAsia="Arial" w:hAnsi="Arial"/>
          <w:sz w:val="18"/>
          <w:szCs w:val="18"/>
          <w:color w:val="333333"/>
        </w:rPr>
        <w:t>of remote sales, with at-home test drives and deliveries and provided service department pickup and deliveries.</w:t>
      </w:r>
    </w:p>
    <w:p>
      <w:pPr>
        <w:spacing w:after="0" w:line="112"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b w:val="1"/>
          <w:bCs w:val="1"/>
          <w:color w:val="auto"/>
        </w:rPr>
        <w:t xml:space="preserve">Training and Talent Development. </w:t>
      </w:r>
      <w:r>
        <w:rPr>
          <w:rFonts w:ascii="Arial" w:cs="Arial" w:eastAsia="Arial" w:hAnsi="Arial"/>
          <w:sz w:val="18"/>
          <w:szCs w:val="18"/>
          <w:color w:val="auto"/>
        </w:rPr>
        <w:t>The Company is committed to the continued growth and development of its employees across all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Employees complete harassment and discrimination training, leadership management training and are offered specific skills training at various businesses designed to support the growth and advancement of their professional skills. For example, in 2020, Kaplan developed and initiated training programs on diversity and inclusion for all employees and managers to provide instruction, self-assessment and reflection exercises in areas such as unconscious bias and the importance of a diverse workforce. Additionally, employee engagement and feedback surveys are completed throughout the year.</w:t>
      </w:r>
    </w:p>
    <w:p>
      <w:pPr>
        <w:spacing w:after="0" w:line="111"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Diversity and Inclusion. </w:t>
      </w:r>
      <w:r>
        <w:rPr>
          <w:rFonts w:ascii="Arial" w:cs="Arial" w:eastAsia="Arial" w:hAnsi="Arial"/>
          <w:sz w:val="18"/>
          <w:szCs w:val="18"/>
          <w:color w:val="auto"/>
        </w:rPr>
        <w:t>The Company has implemented initiatives to make progress to achieving a diverse talent pipeline and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retention and training of a diverse workforce at the corporate and business unit levels. For example, at Graham Media Group, employees are sourced through various media organizations, schools and associations, niche job boards and participation in media and diversity-focused career fairs such as National Association of Black Journalists, National Association of Hispanic Journalists and Asian American Journalists Association.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2020 Annual Report to Stockholders, are “forward-looking statements” within the meaning of the Private Securities Litigation Reform Act of 1995. Forward-looking statements include comments about expectations related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46"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1" w:name="page22"/>
    <w:bookmarkEnd w:id="21"/>
    <w:p>
      <w:pPr>
        <w:spacing w:after="0" w:line="231" w:lineRule="auto"/>
        <w:rPr>
          <w:sz w:val="20"/>
          <w:szCs w:val="20"/>
          <w:color w:val="auto"/>
        </w:rPr>
      </w:pPr>
      <w:r>
        <w:rPr>
          <w:rFonts w:ascii="Arial" w:cs="Arial" w:eastAsia="Arial" w:hAnsi="Arial"/>
          <w:sz w:val="18"/>
          <w:szCs w:val="18"/>
          <w:color w:val="auto"/>
        </w:rPr>
        <w:t>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Exchange Act.</w:t>
      </w:r>
    </w:p>
    <w:p>
      <w:pPr>
        <w:spacing w:after="0" w:line="11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faces a number of risks and uncertainties in connection with its operations. Described below are the most material risks faced by the Company. These risks and uncertainties may not be the only ones faced by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44" w:lineRule="exact"/>
        <w:rPr>
          <w:sz w:val="20"/>
          <w:szCs w:val="20"/>
          <w:color w:val="auto"/>
        </w:rPr>
      </w:pPr>
    </w:p>
    <w:p>
      <w:pPr>
        <w:ind w:left="260" w:right="20" w:hanging="252"/>
        <w:spacing w:after="0" w:line="272" w:lineRule="auto"/>
        <w:tabs>
          <w:tab w:leader="none" w:pos="28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The Company’s Business, Results of Operations and Cash Flows Have Been and Will Continue to Be Adversely Impacted by the Effects of the COVID-19 Pandemic, the Significance of Which Will Depend on the Longevity and Severity of the Virus.</w:t>
      </w:r>
    </w:p>
    <w:p>
      <w:pPr>
        <w:spacing w:after="0" w:line="8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The COVID-19 pandemic and measures taken to prevent its spread, such as travel restrictions, shelter in place orders and mandatory closures, have materially affected the Company’s businesses, including the demand for its products and services. Travel restrictions and school closures have impeded and will continue to impede the ability of students to travel to undertake overseas study or to accept a place or remain in their student halls of residence as long as they remain in place, and have reduced student applications for programs offered by Kaplan International’s (KI) operations and halls of residence, including KI Languages, KI Pathways, Kaplan Australia, Kaplan Singapore, Mander Portman Woodward and certain KNA preparation programs that recruit foreign students. </w:t>
      </w:r>
      <w:r>
        <w:rPr>
          <w:rFonts w:ascii="Arial" w:cs="Arial" w:eastAsia="Arial" w:hAnsi="Arial"/>
          <w:sz w:val="18"/>
          <w:szCs w:val="18"/>
          <w:color w:val="222222"/>
        </w:rPr>
        <w:t>Instruction moving online has further</w:t>
      </w:r>
      <w:r>
        <w:rPr>
          <w:rFonts w:ascii="Arial" w:cs="Arial" w:eastAsia="Arial" w:hAnsi="Arial"/>
          <w:sz w:val="18"/>
          <w:szCs w:val="18"/>
          <w:color w:val="auto"/>
        </w:rPr>
        <w:t xml:space="preserve"> </w:t>
      </w:r>
      <w:r>
        <w:rPr>
          <w:rFonts w:ascii="Arial" w:cs="Arial" w:eastAsia="Arial" w:hAnsi="Arial"/>
          <w:sz w:val="18"/>
          <w:szCs w:val="18"/>
          <w:color w:val="222222"/>
        </w:rPr>
        <w:t xml:space="preserve">reduced demand for halls of residence for international students and where such demand continues to exist, students are seeking discounts for periods they have not been able to stay in their accommodations due to COVID travel restrictions. </w:t>
      </w:r>
      <w:r>
        <w:rPr>
          <w:rFonts w:ascii="Arial" w:cs="Arial" w:eastAsia="Arial" w:hAnsi="Arial"/>
          <w:sz w:val="18"/>
          <w:szCs w:val="18"/>
          <w:color w:val="000000"/>
        </w:rPr>
        <w:t>Travel restrictions, decreased</w:t>
      </w:r>
      <w:r>
        <w:rPr>
          <w:rFonts w:ascii="Arial" w:cs="Arial" w:eastAsia="Arial" w:hAnsi="Arial"/>
          <w:sz w:val="18"/>
          <w:szCs w:val="18"/>
          <w:color w:val="222222"/>
        </w:rPr>
        <w:t xml:space="preserve"> </w:t>
      </w:r>
      <w:r>
        <w:rPr>
          <w:rFonts w:ascii="Arial" w:cs="Arial" w:eastAsia="Arial" w:hAnsi="Arial"/>
          <w:sz w:val="18"/>
          <w:szCs w:val="18"/>
          <w:color w:val="000000"/>
        </w:rPr>
        <w:t>enrollments and delays and cancellations of standardized tests have, and are expected to continue to, materially adversely affect the Company’s revenues, operating results and cash flows. Manufacturing restrictions, including plant closures and disruptions in the Company’s supply chains, declines in demand for products and advertising, restaurant closures and other developments related to the COVID-19 pandemic have also adversely impacted the Company’s other businesses. The Company temporarily closed all of its restaurants and entertainment venues in March 2020, pursuant to government orders, maintaining limited operations for pickup and delivery. In May 2020, the Company began limited outdoor dining services at most of its restaurants, and in June 2020, began limited indoor dining services at most of its restaurants as permitted by government orders. The long-term impact of the pandemic on public demand for crowded dining facilities cannot be predicted. Moreover, the Company cannot predict the duration or scope of the COVID-19 pandemic, what actions will be taken by governmental authorities and other third parties in response to the pandemic and if or when operations will return to full service. The Company expects the COVID-19 pandemic and related developments to negatively impact its financial results and such impact is expected to be material to the Company’s financial results, operations and cash flows. Additionally, to the extent the COVID-19 pandemic adversely affects our business operations, financial condition or operating results, it may also have the effect of heightening many of the other risks described in this “Risk Factors” section.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Education Business</w:t>
      </w:r>
    </w:p>
    <w:p>
      <w:pPr>
        <w:spacing w:after="0" w:line="144" w:lineRule="exact"/>
        <w:rPr>
          <w:sz w:val="20"/>
          <w:szCs w:val="20"/>
          <w:color w:val="auto"/>
        </w:rPr>
      </w:pPr>
    </w:p>
    <w:p>
      <w:pPr>
        <w:ind w:left="260" w:right="740" w:hanging="252"/>
        <w:spacing w:after="0" w:line="272" w:lineRule="auto"/>
        <w:tabs>
          <w:tab w:leader="none" w:pos="2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International Regulations and Travel Restrictions Have Materially Adversely Affected and Could Continue to Materially Adversely Affect International Student Enrollments and Kaplan’s Business.</w:t>
      </w:r>
    </w:p>
    <w:p>
      <w:pPr>
        <w:spacing w:after="0" w:line="73"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response to the COVID-19 pandemic, many governments have imposed s</w:t>
      </w:r>
      <w:r>
        <w:rPr>
          <w:rFonts w:ascii="Arial" w:cs="Arial" w:eastAsia="Arial" w:hAnsi="Arial"/>
          <w:sz w:val="18"/>
          <w:szCs w:val="18"/>
          <w:color w:val="333333"/>
        </w:rPr>
        <w:t>tudent travel restrictions (applicable to exit and entry), made</w:t>
      </w:r>
      <w:r>
        <w:rPr>
          <w:rFonts w:ascii="Arial" w:cs="Arial" w:eastAsia="Arial" w:hAnsi="Arial"/>
          <w:sz w:val="18"/>
          <w:szCs w:val="18"/>
          <w:color w:val="auto"/>
        </w:rPr>
        <w:t xml:space="preserve"> </w:t>
      </w:r>
      <w:r>
        <w:rPr>
          <w:rFonts w:ascii="Arial" w:cs="Arial" w:eastAsia="Arial" w:hAnsi="Arial"/>
          <w:sz w:val="18"/>
          <w:szCs w:val="18"/>
          <w:color w:val="333333"/>
        </w:rPr>
        <w:t xml:space="preserve">recommendations for their students to return home and closed physical campus locations, and many state and professional bodies have postponed or cancelled examination dates related to state examinations and professional education programs, all of which have materially adversely affected Kaplan International’s operations and resulted in </w:t>
      </w:r>
      <w:r>
        <w:rPr>
          <w:rFonts w:ascii="Arial" w:cs="Arial" w:eastAsia="Arial" w:hAnsi="Arial"/>
          <w:sz w:val="18"/>
          <w:szCs w:val="18"/>
          <w:color w:val="000000"/>
        </w:rPr>
        <w:t>significant losses at KI Languages. Further changes to the regulatory</w:t>
      </w:r>
      <w:r>
        <w:rPr>
          <w:rFonts w:ascii="Arial" w:cs="Arial" w:eastAsia="Arial" w:hAnsi="Arial"/>
          <w:sz w:val="18"/>
          <w:szCs w:val="18"/>
          <w:color w:val="333333"/>
        </w:rPr>
        <w:t xml:space="preserve"> </w:t>
      </w:r>
      <w:r>
        <w:rPr>
          <w:rFonts w:ascii="Arial" w:cs="Arial" w:eastAsia="Arial" w:hAnsi="Arial"/>
          <w:sz w:val="18"/>
          <w:szCs w:val="18"/>
          <w:color w:val="000000"/>
        </w:rPr>
        <w:t>environment, including changes to government policy or practice in oversight and enforcement, or other factors, including geopolitical instability, imposition or extension of international sanctions or a natural disaster or pandemic</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2" w:name="page23"/>
    <w:bookmarkEnd w:id="22"/>
    <w:p>
      <w:pPr>
        <w:ind w:right="140"/>
        <w:spacing w:after="0" w:line="229" w:lineRule="auto"/>
        <w:rPr>
          <w:sz w:val="20"/>
          <w:szCs w:val="20"/>
          <w:color w:val="auto"/>
        </w:rPr>
      </w:pPr>
      <w:r>
        <w:rPr>
          <w:rFonts w:ascii="Arial" w:cs="Arial" w:eastAsia="Arial" w:hAnsi="Arial"/>
          <w:sz w:val="18"/>
          <w:szCs w:val="18"/>
          <w:color w:val="auto"/>
        </w:rPr>
        <w:t>in either the students’ countries of origin or countries in which they desire to study, could continue to negatively affect Kaplan’s ability to attract and retain students and negatively affect Kaplan’s operating results. Additionally, increasingly, governments have begun imposing sales taxes on digital services, such as education, offered in their jurisdictions by foreign providers. Any significant changes to availability of government funding for education, visa policies or other administrative immigration requirements, or the tax environment, including changes to tax laws, policies and practices, in any one or more countries in which KI operates or makes its services available could negatively affect its operating results.</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with extraterritorial reach, such as the U.S. Foreign Corrupt Practices Act, international laws, such as the U.K. Bribery Act, as well as the local regulatory regimes of the countries in which Kaplan operates. These regulations change frequently. Failure to comply with these laws and regulations can result in the imposition of significant penalties or revocation of Kaplan’s authority to operate in the applicable jurisdiction, each of which could have a material adverse effect on Kaplan’s operating results.</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KI’s operations, institutions and programs in the U.S. may be subject to state-level 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 policies and responsibility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w:t>
      </w:r>
    </w:p>
    <w:p>
      <w:pPr>
        <w:spacing w:after="0" w:line="111"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A substantial portion of KI’s revenue comes from programs that prepare international students to study and travel in English-speaking countries. In 2020, university preparation programs were principally delivered in Australia, Singapore and the U.K. KI’s ability to enroll students in these programs is directly dependent on its ability to comply with complex regulatory environments. For example, the impact of Brexit on KI over time will depend on the agreed terms of the U.K.’s withdrawal from the EU. Uncertainty over the impact and terms of Brexit trade deals may materially diminish interest in traveling to the U.K. for study. If the U.K. is no longer viewed as a favorable study destination, KI’s ability to recruit international students will be adversely impacted, which would materially adversely affect KI’s results of operations and cash flows. As part of the new trade deal, the EU did not grant the U.K. an adequacy decision under the GDPR. Instead, there is an initial period under which the EU and the U.K. agreed to delay restrictions on transfers of personal data for an initial period of at least four months from January 1, 2021, which can be extended up to six months. If the EU does not determine that the U.K. is an adequate destination for the transfer of personal data by the end of the relevant period, all transfers of personal data from the EEA must be made with alternative safeguards. If the U.K. does not receive a determination of adequacy under EU law, then KI will need to work with its corporate and institutional clients, suppliers, business partners and affiliates in order to implement suitable alternative safeguards to transfer personal data from the EEA to the U.K. KI will also need to review the position under U.K. law. The U.K. has, on a transitional basis, deemed the EEA to be adequate, meaning that currently alternative safeguards are not required in order to transfer personal data from the U.K. to the EEA. However, this adequacy can be removed at any time by the U.K. which may require KI to implement suitable alternative safeguards.</w:t>
      </w:r>
    </w:p>
    <w:p>
      <w:pPr>
        <w:spacing w:after="0" w:line="12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Revised U.K. immigration rules became effective on January 1, 2021, as the Brexit transition was completed. Effective January 1, 2021, all international students, including EEA and Swiss students studying in the U.K. for more than six months, are included in the Student Route, unless they are undertaking an English language course under a Short Term Study visa of up to 11 months. Free movement ceased between the EEA (together with Switzerland) and the U.K.; students from these countries entering the U.K. are now subject to the same U.K. immigration rules as students from outside the EEA and Switzerland. EEA and Swiss nationals commencing a higher education course in England from August 2021 will no longer qualify for home fee status or have access to financial support from Student Finance England. It is unclear how international student recruitment agents and prospective international students may view the U.K. as a study destination after the introduction of any new immigration requirements, the EU exit negotiations and the U.K.’s exit from the EU. The introduction of revised immigration rules has historically increased, and may continue to increase, KI’s operating costs in the U.K. The introduction of new visa and other administrative requirements for entry into the U.K., Brexit and the perception of the U.K. as a less favorable study destination may have a materially adverse impact on KI’s ability to recruit international students and KI’s results of operations and cash flows.</w:t>
      </w:r>
    </w:p>
    <w:p>
      <w:pPr>
        <w:spacing w:after="0" w:line="7"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Changes to levels of direct and indirect government funding for international education programs would also materially affect the success of KI’s operations. For example, if access to student loans or other funding were to be lost for KI operations that admit students who are entitled to receive the benefit of this funding, Kaplan’s operating results could be materially adversely affected.</w:t>
      </w:r>
    </w:p>
    <w:p>
      <w:pPr>
        <w:spacing w:after="0" w:line="109"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In January 2021, President Biden reversed a previously enacted ban on travel from certain counties to the U.S. and directed the State Department to restart visa processing for individuals from the affected countries. The topic</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ind w:right="80"/>
        <w:spacing w:after="0" w:line="231" w:lineRule="auto"/>
        <w:rPr>
          <w:sz w:val="20"/>
          <w:szCs w:val="20"/>
          <w:color w:val="auto"/>
        </w:rPr>
      </w:pPr>
      <w:r>
        <w:rPr>
          <w:rFonts w:ascii="Arial" w:cs="Arial" w:eastAsia="Arial" w:hAnsi="Arial"/>
          <w:sz w:val="18"/>
          <w:szCs w:val="18"/>
          <w:color w:val="auto"/>
        </w:rPr>
        <w:t>remains a subject of significant international press interest, and travel restrictions remain ongoing and in flux. On September 25, 2020, the previous U.S. presidential administration proposed significant changes to the visa rules governing entry of non-immigrant academic students and exchange visitors. It is not known whether the Biden administration will take action with respect to those proposed changes to the rules. Negative perceptions regarding travel to the U.S. could have a significant negative impact on KI’s ability to recruit international students, and Kaplan’s business could be adversely and materially affected.</w:t>
      </w:r>
    </w:p>
    <w:p>
      <w:pPr>
        <w:spacing w:after="0" w:line="111"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In 2018, the Australian government introduced legislation that requires higher-level education standards, a compulsory national exam and other increased requirements in relation to continuing professional development for all financial advisers in Australia. It had been expected that the new requirements could result in financial advisers leaving the industry, which would have resulted in a loss of those existing students for Kaplan Professional Australia. Although advisers did leave the industry, the market leading position of Kaplan Professional meant that its student numbers actually increased.</w:t>
      </w:r>
    </w:p>
    <w:p>
      <w:pPr>
        <w:spacing w:after="0" w:line="109"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Difficulties of Managing Foreign Operations Could Negatively Affect Kaplan’s Business.</w:t>
      </w:r>
    </w:p>
    <w:p>
      <w:pPr>
        <w:spacing w:after="0" w:line="14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Kaplan has operations and investments in a growing number of foreign countries and regions, including Australia, Canada, the People’s Republic of China, Colombia, France, Germany, Hong Kong, India, Ireland, Japan, Myanmar, New Zealand, Nigeria, Saudi Arabia, Singapore, the U.K. and the United Arab Emirates. Operating in foreign countries and regions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109"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Tax Laws Could Have a Material Adverse Effect on Kaplan International.</w:t>
      </w:r>
    </w:p>
    <w:p>
      <w:pPr>
        <w:spacing w:after="0" w:line="14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Kaplan has paid. In September 2017, in a case captioned </w:t>
      </w:r>
      <w:r>
        <w:rPr>
          <w:rFonts w:ascii="Arial" w:cs="Arial" w:eastAsia="Arial" w:hAnsi="Arial"/>
          <w:sz w:val="18"/>
          <w:szCs w:val="18"/>
          <w:i w:val="1"/>
          <w:iCs w:val="1"/>
          <w:color w:val="auto"/>
        </w:rPr>
        <w:t>Kaplan International Colleges UK Limited</w:t>
      </w:r>
      <w:r>
        <w:rPr>
          <w:rFonts w:ascii="Arial" w:cs="Arial" w:eastAsia="Arial" w:hAnsi="Arial"/>
          <w:sz w:val="18"/>
          <w:szCs w:val="18"/>
          <w:color w:val="auto"/>
        </w:rPr>
        <w:t xml:space="preserve"> v</w:t>
      </w:r>
      <w:r>
        <w:rPr>
          <w:rFonts w:ascii="Arial" w:cs="Arial" w:eastAsia="Arial" w:hAnsi="Arial"/>
          <w:sz w:val="18"/>
          <w:szCs w:val="18"/>
          <w:i w:val="1"/>
          <w:iCs w:val="1"/>
          <w:color w:val="auto"/>
        </w:rPr>
        <w:t>. The Commissioners for Her Majesty’s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and Customs</w:t>
      </w:r>
      <w:r>
        <w:rPr>
          <w:rFonts w:ascii="Arial" w:cs="Arial" w:eastAsia="Arial" w:hAnsi="Arial"/>
          <w:sz w:val="18"/>
          <w:szCs w:val="18"/>
          <w:color w:val="auto"/>
        </w:rPr>
        <w:t>, Kaplan challenged these assessments. The Company believed it had met all requirements under U.K. VAT law for a cost</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group VAT exemption to apply and was entitled to recover the £18.6 million related to the assessments and subsequent payments that had been paid through December 31, 2019. Following a hearing held in January 2019 before the First Tier Tax Tribunal, European Union legal questions on the scope of the cost sharing VAT exemption were referred to the Court of Justice of the European Union. The Court of Justice ruled against Kaplan on November 18, 2020. In the third quarter of 2019, due to developments in the case, the Company recorded a full provision against a receivable to expense, of which £14.1 million ($17.1 million) related to years 2014 to 2018. The Company has recorded an additional annual VAT expense at the UK Pathways business of approximately $6.0 million related to this matter for 2019 and $8.4 million for 2020.</w:t>
      </w:r>
    </w:p>
    <w:p>
      <w:pPr>
        <w:spacing w:after="0" w:line="116"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UK Pathways Colleges located in England were required to register with the Office for Students (OfS) to ensure they could continue operating as English higher education providers. The UK Pathways Colleges (excluding Glasgow and York) were entered on the OfS register of approved providers with Approved Fee Cap Status in August 2020. These colleges now operate under the regulatory oversight of the OfS. Colleges registered with the OfS under Approved Fee Cap status do not charge students VAT on tuition fees based on a statutory exemption available to Approved Fee Cap providers. The York College forms part of the University of York’s Approved Fee Cap registration. If KI Pathways were to lose its Approved Fee Cap status with the OfS, KI Pathways Colleges’ financial results may be materially adversely impacted.</w:t>
      </w:r>
    </w:p>
    <w:p>
      <w:pPr>
        <w:spacing w:after="0" w:line="10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Glasgow College is not currently included in the OfS registration as it is located in Scotland. Under a different statutory VAT exemption, bodies which qualify for VAT purposes as “colleges of a university“ are able to exempt their tuition fees from VAT, and UK Pathways Glasgow College applies this status. In 2019, a tax case was determined by the U.K. Supreme Court on the meaning of “college of a university”. The U.K. Supreme Court decided the case in the college’s favor. The result was more favorable to private providers working in collaboration with a university. The U.K. Supreme Court emphasized five principal tests for a private provider to meet, for it to be sufficiently integrated with a university, to qualify as a “college of a university” even if it does not have a constitutional link to the university. Although the focus on these five tests has now been incorporated into official HMRC guidance, it is not yet clear how HMRC will apply the Supreme Court judgment and the five key tests in practice. If the HMRC’s application of the Supreme Court judgment and the five key tests deems Glasgow International College not to constitute a “college of a university” and not entitled to a VAT exemption, KI Pathways Colleges’ financial results may be materially adversely impacted if they are not able to meet any new requirements.</w:t>
      </w:r>
    </w:p>
    <w:p>
      <w:pPr>
        <w:spacing w:after="0" w:line="112"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Following the departure of the U.K. from the European Union on December 31, 2020, the U.K. may further develop its VAT rules in this complex area separate from the European Union rules. Kaplan is closely monitoring this area.</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4" w:name="page25"/>
    <w:bookmarkEnd w:id="24"/>
    <w:p>
      <w:pPr>
        <w:ind w:left="260" w:right="380" w:hanging="252"/>
        <w:spacing w:after="0" w:line="287" w:lineRule="auto"/>
        <w:tabs>
          <w:tab w:leader="none" w:pos="28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Statutory and Regulatory Requirements as a Third-Party Servicer to Title IV Participating Institutions Could Result in Monetary Liabilities or Subject Kaplan to Other Material Adverse Consequences.</w:t>
      </w:r>
    </w:p>
    <w:p>
      <w:pPr>
        <w:spacing w:after="0" w:line="60"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KNA provides services to Purdue Global, Purdue University and other Title IV participating institutions. KNA also provides financial aid services to Purdue Global, and as such, KNA meets the definition of a “third-party servicer” for Purdue Global contained in Title IV regulations. As a result, KNA is subject to applicable statutory provisions of Title IV and ED regulations that, among other things, require Kaplan to be jointly and severally liable with its Title IV participating client institution(s) to the ED for any violation by such client institution(s) of any Title IV statute or ED regulation or requirement. Separately, if KNA provides financial aid services to more than one Title IV participating institution, it will be required to arrange for an independent auditor to conduct an annual Title IV audit of KNA’s compliance with applicable ED requirements. KNA is also subject to other federal and state laws, including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applicable provisions of the Family Educational Rights and Privacy Act regarding the privacy of student records.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adverse consequences, including, for example:</w:t>
      </w:r>
    </w:p>
    <w:p>
      <w:pPr>
        <w:spacing w:after="0" w:line="144" w:lineRule="exact"/>
        <w:rPr>
          <w:sz w:val="20"/>
          <w:szCs w:val="20"/>
          <w:color w:val="auto"/>
        </w:rPr>
      </w:pPr>
    </w:p>
    <w:p>
      <w:pPr>
        <w:ind w:left="660" w:right="20" w:hanging="328"/>
        <w:spacing w:after="0" w:line="23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imposition on Kaplan of fines, other sanctions, or liabilities, including repayment obligations for Title IV funds to the ED or the termination or limitation of Kaplan’s eligibility to provide services as a third-party servicer to any Title IV participating institution if KNA fails to comply with statutory or regulatory requirements applicable to such service providers;</w:t>
      </w:r>
    </w:p>
    <w:p>
      <w:pPr>
        <w:spacing w:after="0" w:line="110" w:lineRule="exact"/>
        <w:rPr>
          <w:rFonts w:ascii="Arial" w:cs="Arial" w:eastAsia="Arial" w:hAnsi="Arial"/>
          <w:sz w:val="18"/>
          <w:szCs w:val="18"/>
          <w:color w:val="auto"/>
        </w:rPr>
      </w:pPr>
    </w:p>
    <w:p>
      <w:pPr>
        <w:ind w:left="660" w:right="540" w:hanging="328"/>
        <w:spacing w:after="0" w:line="23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10" w:lineRule="exact"/>
        <w:rPr>
          <w:rFonts w:ascii="Arial" w:cs="Arial" w:eastAsia="Arial" w:hAnsi="Arial"/>
          <w:sz w:val="18"/>
          <w:szCs w:val="18"/>
          <w:color w:val="auto"/>
        </w:rPr>
      </w:pPr>
    </w:p>
    <w:p>
      <w:pPr>
        <w:ind w:left="660" w:right="3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KNA’s conduct; and</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KU to Purdue.</w:t>
      </w:r>
    </w:p>
    <w:p>
      <w:pPr>
        <w:spacing w:after="0" w:line="14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Although KNA endeavors to comply with all U.S. Federal and state laws and regulations, KNA cannot guarantee that its implementation of the relevant rules will be upheld by the ED or other agencies or upon judicial review. The laws, regulations and other requirements applicable to KNA and its client institutions are subject to change and to interpretation. In addition, there are other factors related to KNA’s client institutions’ compliance with federal, state and accrediting agency requirements, some of which are outside of KNA’s control, that could have a material adverse effect on KNA’s client institutions’ revenues and, in turn, on KNA’s operating results.</w:t>
      </w:r>
    </w:p>
    <w:p>
      <w:pPr>
        <w:spacing w:after="0" w:line="109"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Incentive Compensation Rule Could Subject Kaplan to Liabilities, Sanctions and Fines.</w:t>
      </w:r>
    </w:p>
    <w:p>
      <w:pPr>
        <w:spacing w:after="0" w:line="14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Under the ED’s incentive compensation rule, an institution participating in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KNA is a third party providing bundled services to Title IV participating institutions, including recruiting and, in the case of Purdue Global, financial aid services. As such, KNA is also subject to the incentive compensation rule and cannot provide any commission, bonus or other incentive payment to any covered employees, subcontractors or other parties engaged in certain student recruiting, admission or financial aid activities based on success in securing enrollments or financial aid. In addition, Purdue Global’s payments to KNA under the TOSA (as well as any other agreement with any Title IV participating institution) must comply with revenue sharing guidance provided by the ED related to bundled services agreements. In 2011 guidance, the ED provided that in certain arrangements with Title IV participating institutions where student recruiting services are “bundled” with other non-recruiting services, revenue sharing may be allowable despite the incentive compensation rule’s general prohibition on such revenue sharing with entities or individuals that provide recruiting services. Because this guidance is not codified in any rule or law, but is instead an ED opinion on the applicability of the incentive compensation rule, such guidance can be revoked at any time and without notice. Some lawmakers and states, such as California, have publicly called for the revocation of this guidance or sought to introduce federal and state legislation seeking to prevent any such revenue sharing. The change of control of the executive branch and Congress as a result of the recent federal election could increase the likelihood of changes to</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6" w:right="359" w:bottom="1440" w:gutter="0" w:footer="0" w:header="0"/>
        </w:sectPr>
      </w:pPr>
    </w:p>
    <w:bookmarkStart w:id="25" w:name="page26"/>
    <w:bookmarkEnd w:id="25"/>
    <w:p>
      <w:pPr>
        <w:ind w:right="100"/>
        <w:spacing w:after="0" w:line="239" w:lineRule="auto"/>
        <w:rPr>
          <w:sz w:val="20"/>
          <w:szCs w:val="20"/>
          <w:color w:val="auto"/>
        </w:rPr>
      </w:pPr>
      <w:r>
        <w:rPr>
          <w:rFonts w:ascii="Arial" w:cs="Arial" w:eastAsia="Arial" w:hAnsi="Arial"/>
          <w:sz w:val="17"/>
          <w:szCs w:val="17"/>
          <w:color w:val="auto"/>
        </w:rPr>
        <w:t>this guidance and to the incentive compensation rule. As previously described, the TOSA revenue sharing fee provisions are defined as deferred purchase price payments rather than payments for services. KNA’s services are paid for as a percentage of KNA’s costs of delivering those services to Purdue Global. KNA cannot predict how the ED or a federal court will interpret, revise or enforce all aspects of the incentive compensation rule or the bundled service revenue sharing guidance in the future or how they would be applied to the TOSA or any of KNA’s agreements by the ED or in any litigation. Any revisions or changes in interpretation or enforcement could require KNA and its client institutions to change their practices or renegotiate the tuition revenue sharing payment terms of KNA’s agreements with such client institutions and could have a material adverse effect on Kaplan’s business and results of operations. Additionally, failure to comply with the incentive compensation rule could result in litigation or enforcement actions against KNA or its clients and could result in liabilities, fines or other sanctions against KNA or its clients, which could have a material adverse effect on Kaplan’s business and results of operations.</w:t>
      </w:r>
    </w:p>
    <w:p>
      <w:pPr>
        <w:spacing w:after="0" w:line="123"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7"/>
          <w:szCs w:val="17"/>
          <w:b w:val="1"/>
          <w:bCs w:val="1"/>
          <w:i w:val="1"/>
          <w:iCs w:val="1"/>
          <w:color w:val="auto"/>
        </w:rPr>
      </w:pPr>
      <w:r>
        <w:rPr>
          <w:rFonts w:ascii="Arial" w:cs="Arial" w:eastAsia="Arial" w:hAnsi="Arial"/>
          <w:sz w:val="17"/>
          <w:szCs w:val="17"/>
          <w:b w:val="1"/>
          <w:bCs w:val="1"/>
          <w:color w:val="auto"/>
        </w:rPr>
        <w:t>Failure to Comply with the ED’s Title IV Misrepresentation Regulations Could Subject Kaplan to Liabilities, Sanctions and Fines.</w:t>
      </w:r>
    </w:p>
    <w:p>
      <w:pPr>
        <w:spacing w:after="0" w:line="15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A Title IV participating institution is required to comply with the ED regulations related to misrepresentations and with related federal and state laws. These laws and regulations are broad in scope and may extend to statements by servicers, such as KNA, that provide marketing or certain other services to such institutions. These laws and regulations may also apply to KNA’s employees and agents, with respect to statements addressing the nature of an institution’s programs, financial charges or the employability of its graduates. KNA provides certain marketing and other services to Title IV participating institutions. The failure to comply with these or other federal and state laws and regulations regarding misrepresentation and marketing practices could result in the imposition on KNA or its client institutions of fines, other sanctions, or liabilities, including federal student aid repayment obligations to the ED, the termination or limitation of Kaplan’s eligibility to provide services as a third-party servicer to Title IV participating institutions, the termination or limitation of a client institution’s eligibility to participate in the Title IV programs, or legal action by students or other third parties. A violation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or could result in termination by such client institutions of their services agreements with KNA.</w:t>
      </w:r>
    </w:p>
    <w:p>
      <w:pPr>
        <w:spacing w:after="0" w:line="110" w:lineRule="exact"/>
        <w:rPr>
          <w:sz w:val="20"/>
          <w:szCs w:val="20"/>
          <w:color w:val="auto"/>
        </w:rPr>
      </w:pPr>
    </w:p>
    <w:p>
      <w:pPr>
        <w:ind w:left="260" w:right="220" w:hanging="252"/>
        <w:spacing w:after="0" w:line="272" w:lineRule="auto"/>
        <w:tabs>
          <w:tab w:leader="none" w:pos="28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Reviews, Audits and Investigations Could Result in Findings of Noncompliance with Statutory and Regulatory Requirements and Result in Liabilities, Sanctions and Fines.</w:t>
      </w:r>
    </w:p>
    <w:p>
      <w:pPr>
        <w:spacing w:after="0" w:line="73"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KNA and its client institutions are 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the imposition of fines, liabilities, civil or criminal penalties or other sanctions against KNA and its client institutions, which could have an adverse effect on Kaplan’s financial results and operations. Separately, if KNA provides financial aid services to more than one Title IV participating institution, it will be required to arrange for an independent auditor to conduct an annual Title IV compliance audit of KNA’s compliance with applicable ED requirements. KNA’s client institutions are also required to arrange for an independent auditor to conduct an annual Title IV audit of their compliance with applicable ED requirements, including requirements related to services provided by KNA.</w:t>
      </w:r>
    </w:p>
    <w:p>
      <w:pPr>
        <w:spacing w:after="0" w:line="1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On September 3, 2015, Kaplan sold substantially all of the assets of the former KNA Campuses. As part of the transaction, similar to the transfer of KU, Kaplan retained liability for the pre-sale conduct of the KHE schools. Although Kaplan no longer owns KU or the former KHE Campuses, Kaplan may be liable to the current owners of KU and the former KHE Campuses, for the pre-sale conduct of the schools.</w:t>
      </w:r>
    </w:p>
    <w:p>
      <w:pPr>
        <w:spacing w:after="0" w:line="109"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Noncompliance with Regulations by KNA’s Client Institutions May Adversely Impact Kaplan’s Results of Operations.</w:t>
      </w:r>
    </w:p>
    <w:p>
      <w:pPr>
        <w:spacing w:after="0" w:line="14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KNA currently provides services to higher education institutions that are heavily regulated by federal and state laws and regulations and by accrediting bodies. Currently, a substantial portion of KNA’s revenue is attributable to service fees it receives under its agreement with Purdue Global, which are dependent upon revenue generated by Purdue Global and upon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26" w:name="page27"/>
    <w:bookmarkEnd w:id="26"/>
    <w:p>
      <w:pPr>
        <w:spacing w:after="0" w:line="222" w:lineRule="auto"/>
        <w:rPr>
          <w:sz w:val="20"/>
          <w:szCs w:val="20"/>
          <w:color w:val="auto"/>
        </w:rPr>
      </w:pPr>
      <w:r>
        <w:rPr>
          <w:rFonts w:ascii="Arial" w:cs="Arial" w:eastAsia="Arial" w:hAnsi="Arial"/>
          <w:sz w:val="18"/>
          <w:szCs w:val="18"/>
          <w:color w:val="auto"/>
        </w:rPr>
        <w:t>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 and programmatic accreditation. In addition, the Coronavirus Aid, Relief, and Economic Security (CARES) Act, the Consolidated Appropriations Act of 2021, and subsequent guidance from the ED have created changes in the administration of federal financial assistance programs, the interpretation of which may not yet be fully understood. 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lawsuits, program reviews or otherwise. If Purdue Global or another KNA client institution loses or has limits placed on its Title IV eligibility, accreditation or state licensure, or if Purdue Global or another KNA client institution is subject to fines, repayment obligations, or other adverse actions owing to its or Kaplan’s noncompliance with Title IV regulations, accreditor, or state agency requirements, or other state or federal laws, Kaplan’s financial results of operations could be adversely affected.</w:t>
      </w:r>
    </w:p>
    <w:p>
      <w:pPr>
        <w:spacing w:after="0" w:line="118"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92" w:lineRule="exact"/>
        <w:rPr>
          <w:sz w:val="20"/>
          <w:szCs w:val="20"/>
          <w:color w:val="auto"/>
        </w:rPr>
      </w:pPr>
    </w:p>
    <w:p>
      <w:pPr>
        <w:ind w:left="660" w:right="60" w:hanging="328"/>
        <w:spacing w:after="0" w:line="260"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KNA client institution loses or has limits placed on its Title IV eligibility, accreditation or state licensure;</w:t>
      </w:r>
    </w:p>
    <w:p>
      <w:pPr>
        <w:spacing w:after="0" w:line="91" w:lineRule="exact"/>
        <w:rPr>
          <w:rFonts w:ascii="Arial" w:cs="Arial" w:eastAsia="Arial" w:hAnsi="Arial"/>
          <w:sz w:val="18"/>
          <w:szCs w:val="18"/>
          <w:color w:val="auto"/>
        </w:rPr>
      </w:pPr>
    </w:p>
    <w:p>
      <w:pPr>
        <w:ind w:left="660" w:right="180" w:hanging="328"/>
        <w:spacing w:after="0" w:line="239"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reduction or loss in KNA’s revenues under the TOSA or other client agreements if Purdue Global or any other client institution is subject to fines, repayment obligations or other adverse actions owing to noncompliance by Purdue Global (or Kaplan) with Title IV, accreditor or state agency requirements;</w:t>
      </w:r>
    </w:p>
    <w:p>
      <w:pPr>
        <w:spacing w:after="0" w:line="110" w:lineRule="exact"/>
        <w:rPr>
          <w:rFonts w:ascii="Arial" w:cs="Arial" w:eastAsia="Arial" w:hAnsi="Arial"/>
          <w:sz w:val="18"/>
          <w:szCs w:val="18"/>
          <w:color w:val="auto"/>
        </w:rPr>
      </w:pPr>
    </w:p>
    <w:p>
      <w:pPr>
        <w:ind w:left="660" w:right="380" w:hanging="328"/>
        <w:spacing w:after="0" w:line="234"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10" w:lineRule="exact"/>
        <w:rPr>
          <w:rFonts w:ascii="Arial" w:cs="Arial" w:eastAsia="Arial" w:hAnsi="Arial"/>
          <w:sz w:val="18"/>
          <w:szCs w:val="18"/>
          <w:color w:val="auto"/>
        </w:rPr>
      </w:pPr>
    </w:p>
    <w:p>
      <w:pPr>
        <w:ind w:left="660" w:right="220" w:hanging="328"/>
        <w:spacing w:after="0" w:line="260"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KNA’s conduct.</w:t>
      </w:r>
    </w:p>
    <w:p>
      <w:pPr>
        <w:spacing w:after="0" w:line="89" w:lineRule="exact"/>
        <w:rPr>
          <w:rFonts w:ascii="Arial" w:cs="Arial" w:eastAsia="Arial" w:hAnsi="Arial"/>
          <w:sz w:val="18"/>
          <w:szCs w:val="18"/>
          <w:color w:val="auto"/>
        </w:rPr>
      </w:pPr>
    </w:p>
    <w:p>
      <w:pPr>
        <w:ind w:left="280" w:hanging="272"/>
        <w:spacing w:after="0"/>
        <w:tabs>
          <w:tab w:leader="none" w:pos="28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Kaplan May Fail to Realize the Anticipated Benefits of the Purdue Global Transaction.</w:t>
      </w:r>
    </w:p>
    <w:p>
      <w:pPr>
        <w:spacing w:after="0" w:line="14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 services can be provided in the manner and at the cost Kaplan anticipated and whether Purdue Global is able to realize anticipated student enrollment levels. If Kaplan is unable to effectively execute its post-transaction strategy, it may take longer than anticipated to achieve the benefits of the transaction or it may not realize those benefits at all.</w:t>
      </w:r>
    </w:p>
    <w:p>
      <w:pPr>
        <w:spacing w:after="0" w:line="109"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46"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111"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The laws, regulations and other requirements applicable to KNA or any KNA client institutions are subject to change and to interpretation. In addition, there are other factors related to Purdue Global’s and other client institutions’ compliance with federal, state and accrediting agency requirements—many of which are largely outside of Kaplan’s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7" w:name="page28"/>
    <w:bookmarkEnd w:id="27"/>
    <w:p>
      <w:pPr>
        <w:ind w:right="680"/>
        <w:spacing w:after="0" w:line="260" w:lineRule="auto"/>
        <w:rPr>
          <w:sz w:val="20"/>
          <w:szCs w:val="20"/>
          <w:color w:val="auto"/>
        </w:rPr>
      </w:pPr>
      <w:r>
        <w:rPr>
          <w:rFonts w:ascii="Arial" w:cs="Arial" w:eastAsia="Arial" w:hAnsi="Arial"/>
          <w:sz w:val="18"/>
          <w:szCs w:val="18"/>
          <w:color w:val="auto"/>
        </w:rPr>
        <w:t>control—that could have a material adverse effect on Purdue Global’s and other client institutions’ revenues and, in turn, on Kaplan’s operating results, including, for example:</w:t>
      </w:r>
    </w:p>
    <w:p>
      <w:pPr>
        <w:spacing w:after="0" w:line="90" w:lineRule="exact"/>
        <w:rPr>
          <w:sz w:val="20"/>
          <w:szCs w:val="20"/>
          <w:color w:val="auto"/>
        </w:rPr>
      </w:pPr>
    </w:p>
    <w:p>
      <w:pPr>
        <w:ind w:left="660" w:right="40"/>
        <w:spacing w:after="0" w:line="228" w:lineRule="auto"/>
        <w:rPr>
          <w:sz w:val="20"/>
          <w:szCs w:val="20"/>
          <w:color w:val="auto"/>
        </w:rPr>
      </w:pPr>
      <w:r>
        <w:rPr>
          <w:rFonts w:ascii="Arial" w:cs="Arial" w:eastAsia="Arial" w:hAnsi="Arial"/>
          <w:sz w:val="18"/>
          <w:szCs w:val="18"/>
          <w:b w:val="1"/>
          <w:bCs w:val="1"/>
          <w:color w:val="auto"/>
        </w:rPr>
        <w:t xml:space="preserve">Reduction in Title IV or other federal, state or private financial assistance: </w:t>
      </w:r>
      <w:r>
        <w:rPr>
          <w:rFonts w:ascii="Arial" w:cs="Arial" w:eastAsia="Arial" w:hAnsi="Arial"/>
          <w:sz w:val="18"/>
          <w:szCs w:val="18"/>
          <w:color w:val="auto"/>
        </w:rPr>
        <w:t>KNA receives revenue based on its agreements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client institutions and particularly revenue from Purdue Global under the TOSA. Purdue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effect on Kaplan’s business and results of operations.</w:t>
      </w:r>
    </w:p>
    <w:p>
      <w:pPr>
        <w:spacing w:after="0" w:line="109" w:lineRule="exact"/>
        <w:rPr>
          <w:sz w:val="20"/>
          <w:szCs w:val="20"/>
          <w:color w:val="auto"/>
        </w:rPr>
      </w:pPr>
    </w:p>
    <w:p>
      <w:pPr>
        <w:ind w:left="660" w:right="80"/>
        <w:spacing w:after="0" w:line="227" w:lineRule="auto"/>
        <w:rPr>
          <w:sz w:val="20"/>
          <w:szCs w:val="20"/>
          <w:color w:val="auto"/>
        </w:rPr>
      </w:pPr>
      <w:r>
        <w:rPr>
          <w:rFonts w:ascii="Arial" w:cs="Arial" w:eastAsia="Arial" w:hAnsi="Arial"/>
          <w:sz w:val="18"/>
          <w:szCs w:val="18"/>
          <w:b w:val="1"/>
          <w:bCs w:val="1"/>
          <w:color w:val="auto"/>
        </w:rPr>
        <w:t xml:space="preserve">Compliance reviews and litigation: </w:t>
      </w:r>
      <w:r>
        <w:rPr>
          <w:rFonts w:ascii="Arial" w:cs="Arial" w:eastAsia="Arial" w:hAnsi="Arial"/>
          <w:sz w:val="18"/>
          <w:szCs w:val="18"/>
          <w:color w:val="auto"/>
        </w:rPr>
        <w:t>Institutions participating in the Title IV programs, including Purdue Global and other client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and other client institutions also may be subject to various lawsuits and claims related to a variety of matters, including but not limited to alleged violations of federal and state laws and accrediting agency requirements. These compliance reviews and litigation matters could extend to activities conducted by KNA on behalf of Purdue Global or other client institutions and to KNA itself as a third-party servicer subject to Title IV regulations.</w:t>
      </w:r>
    </w:p>
    <w:p>
      <w:pPr>
        <w:spacing w:after="0" w:line="108" w:lineRule="exact"/>
        <w:rPr>
          <w:sz w:val="20"/>
          <w:szCs w:val="20"/>
          <w:color w:val="auto"/>
        </w:rPr>
      </w:pPr>
    </w:p>
    <w:p>
      <w:pPr>
        <w:ind w:left="660" w:right="20"/>
        <w:spacing w:after="0" w:line="222" w:lineRule="auto"/>
        <w:rPr>
          <w:sz w:val="20"/>
          <w:szCs w:val="20"/>
          <w:color w:val="auto"/>
        </w:rPr>
      </w:pPr>
      <w:r>
        <w:rPr>
          <w:rFonts w:ascii="Arial" w:cs="Arial" w:eastAsia="Arial" w:hAnsi="Arial"/>
          <w:sz w:val="18"/>
          <w:szCs w:val="18"/>
          <w:b w:val="1"/>
          <w:bCs w:val="1"/>
          <w:color w:val="auto"/>
        </w:rPr>
        <w:t xml:space="preserve">Legislative and regulatory change: </w:t>
      </w:r>
      <w:r>
        <w:rPr>
          <w:rFonts w:ascii="Arial" w:cs="Arial" w:eastAsia="Arial" w:hAnsi="Arial"/>
          <w:sz w:val="18"/>
          <w:szCs w:val="18"/>
          <w:color w:val="auto"/>
        </w:rPr>
        <w:t>Congress periodically revises the Higher Education Act and other laws and enacts new laws</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the Title IV programs and annually determines the funding level for each Title IV program and may make changes in the laws at any time. The ED and other federal and state agencies also may issue new regulations and guidance or change its interpretation of new regulations at any time. For example, on September 23, 2019, the ED released new final regulations affecting the ability of student borrowers to obtain discharges of their obligations to repay certain Title IV loans that were first disbursed on or after July 1, 2020, and loans disbursed between July 2017 and July 1, 2020. The new regulations, among other things, expand the ability of borrowers to obtain loan discharges based on substantial misrepresentations. Application of these regulations to Purdue Global or other client institutions could materially affect revenue and result in liabilities to the ED. In addition, application of these regulations to KNA for loans disbursed between July 1, 2017, and March 22, 2018, the close of the Purdue Global transaction, could materially affect Kaplan’s revenues. Additionally, changes to the ability of students to discharge loans owing to prior school closures could impose liability on Kaplan for loans made to students at institutions previously owned by Kaplan and closed during Kaplan’s ownership. ED also published final regulations on September 2, 2020, regarding distance education and various other matters. Any action by Congress or the ED that significantly reduces funding for Title IV programs or the ability of Purdue Global or other client institutions to receive funding through these programs could reduce Purdue Global’s or other client institutions’ enrollments and tuition revenues and, in turn, the revenues KNA receives under the TOSA or other agreements. Any action by Congress or the ED that impacts the ability of Purdue Global to contract with KNA to receive a share of revenue as deferred payment for the sale of KU or the ability of KNA to contract with any client institution to provide bundled services in exchange for a share of tuition revenue could require KNA to modify the TOSA, other agreements or its practices and could impact the revenues KNA may receive under such agreements. Congress, the ED and other federal and state regulators may create new laws or take actions that may require Purdue Global, other client institutions or KNA to modify practices in ways that could have a material adverse effect on Kaplan’s business and results of operations.</w:t>
      </w:r>
    </w:p>
    <w:p>
      <w:pPr>
        <w:spacing w:after="0" w:line="110" w:lineRule="exact"/>
        <w:rPr>
          <w:sz w:val="20"/>
          <w:szCs w:val="20"/>
          <w:color w:val="auto"/>
        </w:rPr>
      </w:pPr>
    </w:p>
    <w:p>
      <w:pPr>
        <w:ind w:left="660"/>
        <w:spacing w:after="0" w:line="224" w:lineRule="auto"/>
        <w:rPr>
          <w:sz w:val="20"/>
          <w:szCs w:val="20"/>
          <w:color w:val="auto"/>
        </w:rPr>
      </w:pPr>
      <w:r>
        <w:rPr>
          <w:rFonts w:ascii="Arial" w:cs="Arial" w:eastAsia="Arial" w:hAnsi="Arial"/>
          <w:sz w:val="18"/>
          <w:szCs w:val="18"/>
          <w:b w:val="1"/>
          <w:bCs w:val="1"/>
          <w:color w:val="auto"/>
        </w:rPr>
        <w:t xml:space="preserve">Increased regulatory scrutiny of postsecondary education and service providers: </w:t>
      </w:r>
      <w:r>
        <w:rPr>
          <w:rFonts w:ascii="Arial" w:cs="Arial" w:eastAsia="Arial" w:hAnsi="Arial"/>
          <w:sz w:val="18"/>
          <w:szCs w:val="18"/>
          <w:color w:val="auto"/>
        </w:rPr>
        <w:t>The increased scrutiny of online schools that</w:t>
      </w:r>
      <w:r>
        <w:rPr>
          <w:rFonts w:ascii="Arial" w:cs="Arial" w:eastAsia="Arial" w:hAnsi="Arial"/>
          <w:sz w:val="18"/>
          <w:szCs w:val="18"/>
          <w:b w:val="1"/>
          <w:bCs w:val="1"/>
          <w:color w:val="auto"/>
        </w:rPr>
        <w:t xml:space="preserve"> </w:t>
      </w:r>
      <w:r>
        <w:rPr>
          <w:rFonts w:ascii="Arial" w:cs="Arial" w:eastAsia="Arial" w:hAnsi="Arial"/>
          <w:sz w:val="18"/>
          <w:szCs w:val="18"/>
          <w:color w:val="auto"/>
        </w:rPr>
        <w:t>offer programs similar to those offered by Purdue Global or other client institutions and of service providers that provide services similar to Kaplan’s has resulted, and may continue to result, in additional enforcement actions, investigations and lawsuits by the ED, other federal agencies, Congress, state Attorneys General and state licensing agencies. Recent enforcement actions have resulted in substantial liabilities, restrictions and sanctions and in some cases have led to the loss of Title IV eligibility and closure of institutions. The change of control of the executive branch and Congress as a result of the recent federal election could increase the amount of regulation and scrutiny of service companies like Kaplan and online schools like Kaplan’s client institutions. This increased activity and other current and future activity may result in further legislation, rulemaking and other governmental actions affecting the amount of student financial assistance for which Purdue Global’s or other client institutions’ students are eligible, or Kaplan’s participation in Title IV programs as a third-party servicer to Purdue Global or such other client institutions. In addition, increased scrutiny and legislative proposals restricting the ability of entities like KNA that provide certain admissions related services to Title IV participating institutions under revenue sharing arrangements could impact KNA agreements. Such scrutiny could result in requests to Kaplan for information or negative publicity that could adversely affect KNA and its client institutions.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28" w:name="page29"/>
    <w:bookmarkEnd w:id="28"/>
    <w:p>
      <w:pPr>
        <w:ind w:left="260" w:right="140" w:hanging="252"/>
        <w:spacing w:after="0" w:line="272" w:lineRule="auto"/>
        <w:tabs>
          <w:tab w:leader="none" w:pos="28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and Increased Competition Could Reduce Demand for KNA Supplemental Education Test Preparation Offerings.</w:t>
      </w:r>
    </w:p>
    <w:p>
      <w:pPr>
        <w:spacing w:after="0" w:line="73"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KNA Supplemental Education Test Preparation provides courses that prepare students for a broad range of admissions examinations that are considered by colleges and graduate schools. Historically, colleges and graduate schools have required standardized tests as part of the admissions process. As a result of the COVID-19 pandemic, a number of colleges and graduate schools have waived standardized tests as part of the admissions process for the upcoming academic year or longer, admissions examinations have been postponed and KNA has provided students with an extension of time to access their programs so that students could continue their preparation. These changes have had a negative impact on KNA’s results of operations for the test preparation products. In addition, there had already been some movement away from the historical reliance on standardized admissions tests among certain colleges, which have phased out admissions tests, are in the process of phasing out admissions tests or have adopted “test-optional” admissions policies. Additionally, there is litigation pending against a public university regarding that university’s use of standardized test scores for admissions, alleging that the SAT and ACT admissions requirements discriminate against disabled applicants and those who cannot afford test preparation. In September 2020 the public university was enjoined from considering test scores (including scores received as optional submissions) in its admissions decisions during the pendency of the case. Any significant reduction in the use of standardized tests in the college or graduate school admissions processes, whether caused by the outcome of litigation or otherwise, could have an adverse effect on Kaplan’s operating results.</w:t>
      </w:r>
    </w:p>
    <w:p>
      <w:pPr>
        <w:spacing w:after="0" w:line="11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Additionally, KNA faces increased competition from competitors offering lower-cost or free test prep products that may be used by students to piece together alternatives to traditional comprehensive test prep programs. Kaplan’s operating results may be adversely affected if student demand for KNA’s traditional comprehensive programs shifts to KNA’s lower-cost, standalone offerings, or if competitors offer lower-cost, stand-alone offerings or free test prep products that are more attractive to students than KNA’s products.</w:t>
      </w:r>
    </w:p>
    <w:p>
      <w:pPr>
        <w:spacing w:after="0" w:line="109" w:lineRule="exact"/>
        <w:rPr>
          <w:sz w:val="20"/>
          <w:szCs w:val="20"/>
          <w:color w:val="auto"/>
        </w:rPr>
      </w:pPr>
    </w:p>
    <w:p>
      <w:pPr>
        <w:ind w:left="260" w:right="180" w:hanging="252"/>
        <w:spacing w:after="0" w:line="272" w:lineRule="auto"/>
        <w:tabs>
          <w:tab w:leader="none" w:pos="2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Postponement and Cancellation of Examinations and Changes in the Extent to Which Licensing and Proficiency Examinations Are Used to Qualify Individuals to Pursue Certain Careers Could Reduce Demand for Kaplan’s Offerings.</w:t>
      </w:r>
    </w:p>
    <w:p>
      <w:pPr>
        <w:spacing w:after="0" w:line="73"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 material portion of KNA’s and KI’s revenue comes from preparing individuals for licensing or technical proficiency examinations in various fields. Any significant relaxation or elimination of licensing or technical proficiency requirements in those fields served by KNA’s and KI’s businesses could negatively affect Kaplan’s operating results. As a result of the COVID-19 pandemic, a number of professional certification examinations have been cancelled or postponed and Kaplan has provided students with an extension of time to access their programs so that students could continue their preparation. These changes together with student decisions to defer preparation for exams entirely have had a negative impact on Kaplan’s results of operations.</w:t>
      </w:r>
    </w:p>
    <w:p>
      <w:pPr>
        <w:spacing w:after="0" w:line="109" w:lineRule="exact"/>
        <w:rPr>
          <w:sz w:val="20"/>
          <w:szCs w:val="20"/>
          <w:color w:val="auto"/>
        </w:rPr>
      </w:pPr>
    </w:p>
    <w:p>
      <w:pPr>
        <w:ind w:left="260" w:right="340" w:hanging="252"/>
        <w:spacing w:after="0" w:line="272" w:lineRule="auto"/>
        <w:tabs>
          <w:tab w:leader="none" w:pos="28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Liability under Real Estate Lease Guarantees for Certain Real Estate Leases that were Assigned to Education Corporation of America Could Have a Material Adverse Effect on the Company’s Results.</w:t>
      </w:r>
    </w:p>
    <w:p>
      <w:pPr>
        <w:spacing w:after="0" w:line="73" w:lineRule="exact"/>
        <w:rPr>
          <w:sz w:val="20"/>
          <w:szCs w:val="20"/>
          <w:color w:val="auto"/>
        </w:rPr>
      </w:pPr>
    </w:p>
    <w:p>
      <w:pPr>
        <w:ind w:left="260" w:right="140" w:hanging="242"/>
        <w:spacing w:after="0" w:line="224" w:lineRule="auto"/>
        <w:rPr>
          <w:sz w:val="20"/>
          <w:szCs w:val="20"/>
          <w:color w:val="auto"/>
        </w:rPr>
      </w:pPr>
      <w:r>
        <w:rPr>
          <w:rFonts w:ascii="Arial" w:cs="Arial" w:eastAsia="Arial" w:hAnsi="Arial"/>
          <w:sz w:val="18"/>
          <w:szCs w:val="18"/>
          <w:color w:val="222222"/>
        </w:rPr>
        <w:t xml:space="preserve">On September 3, 2015, Kaplan sold to ECA substantially all of the assets of the KHE Campuses. The transaction included the transfer of certain real estate leases that were guaranteed or purportedly guaranteed by Kaplan. </w:t>
      </w:r>
      <w:r>
        <w:rPr>
          <w:rFonts w:ascii="Arial" w:cs="Arial" w:eastAsia="Arial" w:hAnsi="Arial"/>
          <w:sz w:val="18"/>
          <w:szCs w:val="18"/>
          <w:color w:val="000000"/>
        </w:rPr>
        <w:t>ECA is currently in receivership, has terminated all</w:t>
      </w:r>
      <w:r>
        <w:rPr>
          <w:rFonts w:ascii="Arial" w:cs="Arial" w:eastAsia="Arial" w:hAnsi="Arial"/>
          <w:sz w:val="18"/>
          <w:szCs w:val="18"/>
          <w:color w:val="222222"/>
        </w:rPr>
        <w:t xml:space="preserve"> </w:t>
      </w:r>
      <w:r>
        <w:rPr>
          <w:rFonts w:ascii="Arial" w:cs="Arial" w:eastAsia="Arial" w:hAnsi="Arial"/>
          <w:sz w:val="18"/>
          <w:szCs w:val="18"/>
          <w:color w:val="000000"/>
        </w:rPr>
        <w:t>of its higher-education operations and has sold most, if not all, of its remaining assets (including New England College of Business). Additionally, the receiver has repudiated all of ECA’s real estate leases. Although ECA is required to indemnify Kaplan for any amounts Kaplan must pay due to ECA’s failure to fulfill its obligations under the real estate leases guaranteed by Kaplan, ECA’s current financial condition and the amount of secured and unsecured creditor claims outstanding against ECA make it unlikely that Kaplan will recover from ECA. If Kaplan is not successful in mitigating these liabilities, the Company’s results could be materially adversely impacted. In the second half of 2018, the Company recorded an estimated $17.5 million in losses on guarantor lease obligations in connection with this transaction in other non-operating expense. The Company recorded an additional estimated $1.1 million in non-operating expense in 2019 and $ 1 million in non-operating expense in 2020, in each case consisting of legal fees and lease costs. The Company continues to monitor the status of these obligations.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Television Broadcasting and Media Businesses</w:t>
      </w:r>
    </w:p>
    <w:p>
      <w:pPr>
        <w:spacing w:after="0" w:line="144" w:lineRule="exact"/>
        <w:rPr>
          <w:sz w:val="20"/>
          <w:szCs w:val="20"/>
          <w:color w:val="auto"/>
        </w:rPr>
      </w:pPr>
    </w:p>
    <w:p>
      <w:pPr>
        <w:ind w:left="260" w:right="140" w:hanging="252"/>
        <w:spacing w:after="0" w:line="272" w:lineRule="auto"/>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Could Adversely Affect the Profitability of Television Broadcasting.</w:t>
      </w:r>
    </w:p>
    <w:p>
      <w:pPr>
        <w:spacing w:after="0" w:line="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 could be adversely affected.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9" w:name="page30"/>
    <w:bookmarkEnd w:id="29"/>
    <w:p>
      <w:pPr>
        <w:ind w:left="260" w:right="380" w:hanging="252"/>
        <w:spacing w:after="0" w:line="272" w:lineRule="auto"/>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and Changing Consumer Behavior Could Adversely Affect the Company’s Operating Results.</w:t>
      </w:r>
    </w:p>
    <w:p>
      <w:pPr>
        <w:spacing w:after="0" w:line="7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Examples of such developments include online delivery of programming, technologies that enable users to fast-forward or skip advertisements and devices that allow users to consume content on demand and in remote locations while avoiding traditional commercial advertisements or cable and satellite subscriptions. Changing consumer behavior may also put pressure on the Company’s media businesses to change traditional distribution methods. The Company obtains significant revenue from its retransmission consent agreements with traditional cable and satellite distributors. These payments are on a per-subscriber basis and payments to the Company may decrease as customers “cut the cord” and cancel their cable and satellite subscriptions. The Company also receives payments for distribution of its stations’ signals on certain online “over-the-top” services, however these revenues may be less than those from traditional cable and satellite distribution. Anticipating and adapting to changes in technology and consumer behavior on a timely basis will affect the Company’s media businesses’ ability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w:t>
      </w:r>
    </w:p>
    <w:p>
      <w:pPr>
        <w:spacing w:after="0" w:line="110" w:lineRule="exact"/>
        <w:rPr>
          <w:sz w:val="20"/>
          <w:szCs w:val="20"/>
          <w:color w:val="auto"/>
        </w:rPr>
      </w:pPr>
    </w:p>
    <w:p>
      <w:pPr>
        <w:ind w:left="260" w:right="180" w:hanging="252"/>
        <w:spacing w:after="0" w:line="272"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73" w:lineRule="exact"/>
        <w:rPr>
          <w:sz w:val="20"/>
          <w:szCs w:val="20"/>
          <w:color w:val="auto"/>
        </w:rPr>
      </w:pPr>
    </w:p>
    <w:p>
      <w:pPr>
        <w:ind w:left="260" w:right="120" w:hanging="242"/>
        <w:spacing w:after="0" w:line="226"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In addition, changes to the FCC’s rules governing broadcast ownership may affect the Company’s ability to expand its television broadcasting business and/or may enable the Company’s competitors to improve their market positions through consolidation. More generally, all of the Company’s businesses could have their profitability or their competitive positions adversely affected by significant changes in applicable regulations.</w:t>
      </w:r>
    </w:p>
    <w:p>
      <w:pPr>
        <w:spacing w:after="0" w:line="113" w:lineRule="exact"/>
        <w:rPr>
          <w:sz w:val="20"/>
          <w:szCs w:val="20"/>
          <w:color w:val="auto"/>
        </w:rPr>
      </w:pPr>
    </w:p>
    <w:p>
      <w:pPr>
        <w:ind w:left="260" w:right="600" w:hanging="252"/>
        <w:spacing w:after="0" w:line="272"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Transition to the New Technical Standard for Broadcast Television Stations May Alter the Competitive Environment in the Company’s Stations’ Markets or Cause the Company to Incur Increased Costs.</w:t>
      </w:r>
    </w:p>
    <w:p>
      <w:pPr>
        <w:spacing w:after="0" w:line="7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cannot predict how the market will react to the new broadcast television station technical standard, ATSC 3.0, as the period for voluntary transition to the new standard has only recently begun, and some of the market rollouts originally planned for 2020 have been delayed by the COVID-19 pandemic. Equipment manufacturers began releasing certain TV set models with built-in ATSC 3.0-capable receivers in 2020, but ATSC 3.0-capable consumer devices are not yet widely available in the U.S. As part of the voluntary transition, many station groups are beginning to test ATSC 3.0 streams. Notably, there is a large consortium led by Pearl TV (of which GMG is a member) that has been leading test trials in the Phoenix, Detroit, Portland and other markets. Competing stations that transition to ATSC 3.0 may increase competition for the Company’s stations and/or create competitive pressure for the Company’s stations to launch ATSC 3.0 streams. As noted above, GMG’s WDIV station began broadcasting an ATSC 3.0 stream in December 2020. The transition to ATSC 3.0 may cause the Company to incur substantial costs over time. More generally, the deployment of ATSC 3.0 may have other material effects on the Company’s media businesses that cannot now be reliably predicted and that may have a material adverse effect on the Company’s operating results.</w:t>
      </w:r>
    </w:p>
    <w:p>
      <w:pPr>
        <w:spacing w:after="0" w:line="114"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146"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product claims is a time-consuming and expensive endeavor, regardless of the merits of the claims. In order to resolve such claims, the Company may have to change its method of doing business, enter into licensing agreements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the Company’s Healthcare Business</w:t>
      </w:r>
    </w:p>
    <w:p>
      <w:pPr>
        <w:spacing w:after="0" w:line="144" w:lineRule="exact"/>
        <w:rPr>
          <w:sz w:val="20"/>
          <w:szCs w:val="20"/>
          <w:color w:val="auto"/>
        </w:rPr>
      </w:pPr>
    </w:p>
    <w:p>
      <w:pPr>
        <w:ind w:left="260" w:right="200" w:hanging="252"/>
        <w:spacing w:after="0" w:line="272"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73"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a wide range of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cannot be predicted.</w:t>
      </w:r>
    </w:p>
    <w:p>
      <w:pPr>
        <w:spacing w:after="0" w:line="11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Reimbursement for services by third-party payers, including Medicare, Medicaid and private health insurance providers, may decline, while authorization, audit and compliance requirements continue to add to the cost of providing those services.</w:t>
      </w:r>
    </w:p>
    <w:p>
      <w:pPr>
        <w:spacing w:after="0" w:line="92"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Managed-care organizations, hospitals, physician practices and other third-party payers continue to consolidate in response to the evolving regulatory environment, thereby enhancing their ability to influence the delivery of healthcare services and decreasing the number of organizations serving patients. This consolidation could adversely impact Graham Healthcare Group’s businesses if they are unable to maintain their ability to participate in established networks. In addition, CSI Pharmacy faces risks from manufacturer supply shortages, competitive vertical integration and pricing power, and government intervention on drug pricing.</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GHG is also subject to periodic and routine reviews, audits and investigations by federal and state government agencies and private payers, which could result in negative findings that adversely impact the business. CMS increasingly uses third-party, for-profit contractors to conduct these reviews, many of which share in the amounts that CMS denies. These reviews, audits and investigations consume significant staff and financial resources and may take years to resolve.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Manufacturing Businesses</w:t>
      </w:r>
    </w:p>
    <w:p>
      <w:pPr>
        <w:spacing w:after="0" w:line="144" w:lineRule="exact"/>
        <w:rPr>
          <w:sz w:val="20"/>
          <w:szCs w:val="20"/>
          <w:color w:val="auto"/>
        </w:rPr>
      </w:pPr>
    </w:p>
    <w:p>
      <w:pPr>
        <w:ind w:left="260" w:right="240" w:hanging="252"/>
        <w:spacing w:after="0" w:line="272" w:lineRule="auto"/>
        <w:tabs>
          <w:tab w:leader="none" w:pos="2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Environmental, Health, Safety and Other Laws Applicable to the Company’s Manufacturing Operations Could Negatively Impact the Company</w:t>
      </w:r>
      <w:r>
        <w:rPr>
          <w:rFonts w:ascii="Arial" w:cs="Arial" w:eastAsia="Arial" w:hAnsi="Arial"/>
          <w:sz w:val="18"/>
          <w:szCs w:val="18"/>
          <w:color w:val="auto"/>
        </w:rPr>
        <w:t>’</w:t>
      </w:r>
      <w:r>
        <w:rPr>
          <w:rFonts w:ascii="Arial" w:cs="Arial" w:eastAsia="Arial" w:hAnsi="Arial"/>
          <w:sz w:val="18"/>
          <w:szCs w:val="18"/>
          <w:b w:val="1"/>
          <w:bCs w:val="1"/>
          <w:color w:val="auto"/>
        </w:rPr>
        <w:t>s Business.</w:t>
      </w:r>
    </w:p>
    <w:p>
      <w:pPr>
        <w:spacing w:after="0" w:line="73"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Company’s operations are subject to extensive federal, state and local laws and regulations relating to the environment, as well as health and workplace safety, including those set forth by the Occupational Safety and Health Administration (OSHA), the Environmental Protection Agency (EPA) and state and local regulatory authorities in the U.S. Such laws and regulations affect operations and require compliance with various environmental registrations, licenses, permits, inspections and other approvals. The Company incurs substantial costs to comply with these regulations, and any failure to comply may expose the Company to civil, criminal and administrative fees, fines, penalties and interruptions in operations that could have a material adverse impact on the Company’s results of operations, financial position or cash flows.</w:t>
      </w:r>
    </w:p>
    <w:p>
      <w:pPr>
        <w:spacing w:after="0" w:line="107"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14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 or the environment; or a suspension of operations. Insurance may not protect the Company against liability for certain kinds of events, including those involving pollution or losses resulting from business interruption. Any damages caused by the Company’s operations that are not covered by insurance, or are in excess of policy limits, could materially adversely affect the Company’s results of operations, financial position or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Restaurant and Automotive Businesses</w:t>
      </w:r>
    </w:p>
    <w:p>
      <w:pPr>
        <w:spacing w:after="0" w:line="144" w:lineRule="exact"/>
        <w:rPr>
          <w:sz w:val="20"/>
          <w:szCs w:val="20"/>
          <w:color w:val="auto"/>
        </w:rPr>
      </w:pPr>
    </w:p>
    <w:p>
      <w:pPr>
        <w:ind w:left="260" w:right="480" w:hanging="252"/>
        <w:spacing w:after="0" w:line="272" w:lineRule="auto"/>
        <w:tabs>
          <w:tab w:leader="none" w:pos="25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Recruit and Retain Employees in the Company’s Restaurants Could Adversely Impact the Company’s Restaurant Business.</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Historically, competition among restaurant companies for qualified management and staff has been very high. The Company’s ability to recruit and retain managers and staff to operate the Company’s restaurants is critical to a customer’s dining experience. Failure to recruit and retain employees, low levels of unemployment or high turnover levels could negatively affect the Company’s restaurant business.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1" w:name="page32"/>
    <w:bookmarkEnd w:id="31"/>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Food-Borne Illness Concerns and Damage to the Company’s Reputation Could Harm the Company’s Restaurant Business.</w:t>
      </w:r>
    </w:p>
    <w:p>
      <w:pPr>
        <w:spacing w:after="0" w:line="14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Historically, reports of food-borne illness or food safety issues, even if caused by food suppliers or distributors, have had negative effects on restaurant sales. Because food safety issues could be experienced at the source by food suppliers or distributors, food safety could, in part, be out of the Company’s control. Even instances of food-borne illness at a location served by one of the Company’s competitors could result in negative publicity regarding the food service industry generally and could negatively impact restaurant revenue. Regardless of the source or cause, negative publicity about food-borne illness or other food safety issues could adversely impact the Company’s reputation. Similarly, publicity about litigation, violence, complaints or government investigations could have a negative effect on restaurant sales.</w:t>
      </w:r>
    </w:p>
    <w:p>
      <w:pPr>
        <w:spacing w:after="0" w:line="109" w:lineRule="exact"/>
        <w:rPr>
          <w:sz w:val="20"/>
          <w:szCs w:val="20"/>
          <w:color w:val="auto"/>
        </w:rPr>
      </w:pPr>
    </w:p>
    <w:p>
      <w:pPr>
        <w:ind w:left="260" w:hanging="252"/>
        <w:spacing w:after="0" w:line="272"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Concentration of the Company’s Restaurants in the Washington, D.C. Region Subjects the Company's Restaurant Business to Regional Economic Conditions.</w:t>
      </w:r>
    </w:p>
    <w:p>
      <w:pPr>
        <w:spacing w:after="0" w:line="73"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concentration of the Company’s restaurants in the Washington, D.C. region subjects it to adverse economic conditions and trends in the region that are out of the Company's control. For example, increases in the level of unemployment, a temporary government shutdown or a decrease in tourism would decrease customers’ disposable income available for discretionary spending. These and other national, regional and local economic pressures could result in decreases in customer traffic and lower sales and profits.</w:t>
      </w:r>
    </w:p>
    <w:p>
      <w:pPr>
        <w:spacing w:after="0" w:line="109" w:lineRule="exact"/>
        <w:rPr>
          <w:sz w:val="20"/>
          <w:szCs w:val="20"/>
          <w:color w:val="auto"/>
        </w:rPr>
      </w:pPr>
    </w:p>
    <w:p>
      <w:pPr>
        <w:ind w:left="260" w:right="560" w:hanging="252"/>
        <w:spacing w:after="0" w:line="245"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Termination or Non-renewal of a Dealership Agreement by an Automobile Manufacturer and Limitations on the Company’s Ability to Acquire Additional Dealerships Could Adversely Affect the Company’s Automotive Business and Results of Operations.</w:t>
      </w:r>
    </w:p>
    <w:p>
      <w:pPr>
        <w:spacing w:after="0" w:line="9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Company’s automobile dealerships are dependent on maintaining strong relationships with manufacturers, and the Company’s ownership and operation of automobile dealerships is subject to its ability to comply with various requirements established by automobile manufacturers. The Company’s dealerships operate under separate agreements with each applicable automobile manufacturer. Manufacturers may terminate their agreements for a variety of reasons, including a dealership’s failure to meet a manufacturer’s standards for financial and sales performance, customer satisfaction, facilities and the quality of dealership management; and any unapproved change in ownership or management. These agreements also limit the Company’s ability to acquire multiple dealerships of the same brand within a particular market and preclude the Company from establishing new dealerships within an area already served by another dealer of the same vehicle brand. In addition, dealerships controlled by related parties of the management team operating the Company’s dealerships may restrict the Company’s ability to acquire new dealerships within an area in which such dealerships operate. Manufacturers also have the right of first refusal if the Company seeks to sell dealerships and may limit the Company’s ability to transfer ownership of a dealership without the prior approval of the manufacturer. Failure to maintain ownership of the dealerships in compliance with manufacturer agreements could constitute a breach of the agreements and could result in termination or non-renewal of existing dealer agreements. If one of the Company’s manufacturers does not renew its dealer agreement or terminates the agreement, the Company’s dealership would be unable to sell or distribute new vehicles or perform manufacturer authorized warranty service, which would adversely affect the Company’s automotive business.</w:t>
      </w:r>
    </w:p>
    <w:p>
      <w:pPr>
        <w:spacing w:after="0" w:line="110"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Negative Changes Affecting an Automobile Manufacturer Could Adversely Affect the Company’s Automotive Business.</w:t>
      </w:r>
    </w:p>
    <w:p>
      <w:pPr>
        <w:spacing w:after="0" w:line="146"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The Company’s dealerships are dependent on the products and services offered by the brand of automobiles that its dealerships sell. The ability of the Company’s dealerships to sell and service these brands may be adversely affected by negative conditions faced by manufacturers such as negative changes to a manufacturer’s financial condition, negative publicity concerning a manufacturer or vehicle model, declines in consumer demand or brand preferences, disruptions in production and delivery, including those caused by natural disasters or labor strikes, new laws or regulations, including more stringent fuel economy and greenhouse gas emission standards, and technological innovations in ride-sharing, electric vehicles and autonomous driving.</w:t>
      </w:r>
    </w:p>
    <w:p>
      <w:pPr>
        <w:spacing w:after="0" w:line="109" w:lineRule="exact"/>
        <w:rPr>
          <w:sz w:val="20"/>
          <w:szCs w:val="20"/>
          <w:color w:val="auto"/>
        </w:rPr>
      </w:pPr>
    </w:p>
    <w:p>
      <w:pPr>
        <w:ind w:left="260" w:right="860" w:hanging="252"/>
        <w:spacing w:after="0" w:line="272"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Changes to State Dealer Franchise Laws to Permit Manufacturers to Enter the Retail Market Directly and Technological Innovations Could Adversely Impact the Company’s Traditional Dealership Model.</w:t>
      </w:r>
    </w:p>
    <w:p>
      <w:pPr>
        <w:spacing w:after="0" w:line="73"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Changes to state dealer franchise laws to permit the sale of new vehicles without the involvement of franchised dealers could adversely affect the Company’s dealerships. Certain manufacturers have been challenging state dealer franchise laws in many states and some have expressed interest in selling directly to customers. The Company’s dealership model could be adversely affected if new vehicle sales are allowed to be conducted on the internet without the involvement of franchised dealers.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2" w:name="page33"/>
    <w:bookmarkEnd w:id="32"/>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Changes in a Manufacturer’s Incentive Programs Could Adversely Affect the Dealerships’ Sales Volume and Profit Margins.</w:t>
      </w:r>
    </w:p>
    <w:p>
      <w:pPr>
        <w:spacing w:after="0" w:line="14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Automobile manufacturers offer various marketing and sales incentive programs to promote and support new vehicle sales. These programs include customer rebates, dealer incentives on new vehicles, employee pricing, manufacturer floor plan interest assistance, advertising assistance and product warranties. A reduction or discontinuation of a manufacturer’s incentive programs could adversely affect vehicle demand and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Information Technology and Data Management</w:t>
      </w:r>
    </w:p>
    <w:p>
      <w:pPr>
        <w:spacing w:after="0" w:line="144" w:lineRule="exact"/>
        <w:rPr>
          <w:sz w:val="20"/>
          <w:szCs w:val="20"/>
          <w:color w:val="auto"/>
        </w:rPr>
      </w:pPr>
    </w:p>
    <w:p>
      <w:pPr>
        <w:ind w:left="260" w:right="680" w:hanging="252"/>
        <w:spacing w:after="0" w:line="272" w:lineRule="auto"/>
        <w:tabs>
          <w:tab w:leader="none" w:pos="2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System Disruptions and Security Threats to the Company’s Information Technology Infrastructure Could Have a Material Adverse Effect on Its Businesses and Results of Operations.</w:t>
      </w:r>
    </w:p>
    <w:p>
      <w:pPr>
        <w:spacing w:after="0" w:line="7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relies extensively on information technology systems, networks and services, including internet sites, data hosting and processing facilities and tools and other hardware, software and technical platforms, some of which are managed, hosted, provided and/or used by third parties or their vendors, to assist in conducting the Company’s business.</w:t>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systems and the third-party systems on which it relies are subject to damage or interruption from a number of causes, including power outages; computer and telecommunications failures; computer viruses; security breaches; cyberattacks, including the use of ransomware; catastrophic events such as fires, floods, earthquakes, tornadoes and hurricanes; infectious disease outbreaks (such as COVID-19); acts of war or terrorism; and design or usage errors by our employees, contractors or third-party service providers. Although the Company and the third-party service providers seek to maintain their respective systems effectively and to successfully address the risk of compromise of the integrity, security and consistent operations of these systems, such efforts may not be successful. As a result, the Company or its service providers could experience errors, interruptions, delays or cessations of service in key portions of the Company’s information technology infrastructure, which could significantly disrupt its operations and be costly, time-consuming and resource-intensive to remedy. To the extent that such vulnerabilities require remediation, such remedial measures could require significant resources and may not be implemented before such vulnerabilities are exploited. As the cybersecurity landscape evolves, the Company may also find it necessary to make significant further investments to protect data and infrastructure. Any of these events could have a material adverse effect on the Company’s businesses and results of operations.</w:t>
      </w:r>
    </w:p>
    <w:p>
      <w:pPr>
        <w:spacing w:after="0" w:line="11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Sustained or repeated system failures or security breaches that interrupt the Company’s ability to process information in a timely manner or that result in a breach of proprietary or personal information could have a material adverse effect on the Company’s operations and reputation.</w:t>
      </w:r>
    </w:p>
    <w:p>
      <w:pPr>
        <w:spacing w:after="0" w:line="109"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Failure to Comply with Privacy Laws or Regulations Could Have an Adverse Effect on the Company’s Businesses.</w:t>
      </w:r>
    </w:p>
    <w:p>
      <w:pPr>
        <w:spacing w:after="0" w:line="146"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Various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including the use of consumer data for marketing or advertising, that could result in exposure to material liability. For example, general data privacy regulations adopted by the European Union known as the General Data Protection Regulation (GDPR), became effective in May 2018. These regulations require companies to meet requirements regarding the handling of personal data, including its use, protection and transfer and the ability of persons whose data is stored to correct or delete such data about themselves. Failure to meet the GDPR could result in fines of up to 4% of the Company’s annual global revenues. Further, Brexit has created uncertainty with regard to the status of the U.K. as an “adequate country” for the purposes of data transfers outside the European Economic Area. It remains unclear how the U.K. data protection laws or regulations will develop in the medium to long term and how data transfers to and from the U.K. will be regulated. In addition to the GDPR in Europe, new privacy laws and regulations are rapidly developing elsewhere around the globe, including amendments to the scope, penalties and other provisions of existing data protection laws. Failure to comply with these international data protection laws and regulations could have a negative impact on the Company’s reputation and subject the Company to significant fines, penalties or other liabilities, all of which may increase the cost of operations, reduce customer growth, or otherwise harm the Company’s business.</w:t>
      </w:r>
    </w:p>
    <w:p>
      <w:pPr>
        <w:spacing w:after="0" w:line="11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California Consumer Privacy Act of 2018 (CCPA), which became effective on January 1, 2020, provides a new private right of action for data breaches and requires companies that process information on California residents to make new disclosures to consumers about their data collection, use and sharing practices and allows consumers to opt out of certain data sharing with third parties. The enforcement of the CCPA by the California Attorney General commenced on July 1, 2020. The CCPA has been amended on multiple occasions and it is not clear what, if any, additional modifications will be made to this legislation or how it will be interpreted and enforced. In November 2020, a new privacy law, the California Privacy Rights Act (CPRA) was approved by California voters, and modifies the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3" w:name="page34"/>
    <w:bookmarkEnd w:id="33"/>
    <w:p>
      <w:pPr>
        <w:ind w:right="20"/>
        <w:spacing w:after="0" w:line="229" w:lineRule="auto"/>
        <w:rPr>
          <w:sz w:val="20"/>
          <w:szCs w:val="20"/>
          <w:color w:val="auto"/>
        </w:rPr>
      </w:pPr>
      <w:r>
        <w:rPr>
          <w:rFonts w:ascii="Arial" w:cs="Arial" w:eastAsia="Arial" w:hAnsi="Arial"/>
          <w:sz w:val="18"/>
          <w:szCs w:val="18"/>
          <w:color w:val="auto"/>
        </w:rPr>
        <w:t>CCPA. This and similar laws proposed at the state and federal level could result in further uncertainty and cause the Company to incur additional costs and expenses in order to comply. Compliance with the GDPR, the CCPA, the CPRA and other applicable international and U.S. privacy laws can be costly and time-consuming. If the Company fails to properly respond to security breaches of its or its third-party’s information technology systems or fails to properly respond to consumer requests under these laws, the Company could experience damage to its reputation, adverse publicity, loss of consumer confidence, reduced sales and profits, complications in executing the Company’s growth initiatives and regulatory and legal risk, including criminal penalties or civil liabilities.</w:t>
      </w:r>
    </w:p>
    <w:p>
      <w:pPr>
        <w:spacing w:after="0" w:line="11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Claims of failure to comply with the Company’s privacy policies or applicable laws or regulations could form the basis of governmental or private party actions against the Company and could result in significant penalties. Additionally, evolving concerns regarding data privacy may cause the Company’s customers and potential customers to resist providing the data necessary to allow the Company to deliver its solutions effectively. Even the perception that personal information is not satisfactorily protected or does not meet regulatory requirements could inhibit sales and any failure to comply with such laws and regulations could lead to significant fines, penalties, or other liabilities. Such claims and actions could cause damage to the Company’s reputation and could have an adverse effect on the Company’s businesses.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44"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Successfully Integrate Acquired Businesses Could Negatively Affect the Company’s Business.</w:t>
      </w:r>
    </w:p>
    <w:p>
      <w:pPr>
        <w:spacing w:after="0" w:line="146"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liabilities associated with the acquired business. In May 2020, the Company acquired control of Framebridge, a custom framing service company, for cash and contingent consideration following a previous investment interest in Framebridge. Following the acquisition, the Company owns 93.4% of Framebridge. A failure to effectively manage growth and integrate acquired businesses such as Framebridge could have 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59" w:lineRule="exact"/>
        <w:rPr>
          <w:sz w:val="20"/>
          <w:szCs w:val="20"/>
          <w:color w:val="auto"/>
        </w:rPr>
      </w:pPr>
    </w:p>
    <w:p>
      <w:pPr>
        <w:ind w:left="260" w:right="240" w:hanging="252"/>
        <w:spacing w:after="0" w:line="272"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Changes in Business Conditions Have Caused and May in the Future Cause Goodwill and Other Intangible Assets to Become Impaired.</w:t>
      </w:r>
    </w:p>
    <w:p>
      <w:pPr>
        <w:spacing w:after="0" w:line="73"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Each of the Company’s businesses faces uncertainty in its business environment due to a variety of factors. In the first quarter of 2020, as a result of the uncertainty and challenging operating environment created by the COVID-19 pandemic, the Company performed an interim review of the goodwill, indefinite-lived intangibles and other long-lived assets of its restaurants and automotive dealership reporting units and asset groups. As a result of the impairment reviews, the Company recorded a $9.7 million goodwill and indefinite-lived intangible asset impairment charge at Clyde’s Restaurant Group and a $6.7 million indefinite-lived intangible asset impairment charge at the auto dealerships.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 The Company may experience other unforeseen circumstances that adversely affect the value of the Company’s goodwill or intangible assets and trigger an evaluation of the amount of the recorded goodwill and intangible assets. There also exists a reasonable possibility that changes to the discounted cash-flow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Company leases space for its corporate offices in Arlington, VA. The space consists of 33,815 square feet of office space, and the lease expires in 2024, subject to an option of the Company to extend.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34" w:name="page35"/>
    <w:bookmarkEnd w:id="34"/>
    <w:p>
      <w:pPr>
        <w:spacing w:after="0" w:line="229" w:lineRule="auto"/>
        <w:rPr>
          <w:sz w:val="20"/>
          <w:szCs w:val="20"/>
          <w:color w:val="auto"/>
        </w:rPr>
      </w:pPr>
      <w:r>
        <w:rPr>
          <w:rFonts w:ascii="Arial" w:cs="Arial" w:eastAsia="Arial" w:hAnsi="Arial"/>
          <w:sz w:val="18"/>
          <w:szCs w:val="18"/>
          <w:color w:val="auto"/>
        </w:rPr>
        <w:t>Directly or through its subsidiaries, Kaplan owns a total of four commercial properties: an approximately 26,000-square-foot six-story building located at 131 West 56th Street in New York City, used by KNA as an education center primarily for medical students; a redeveloped approximately 47,400-square-foot two-story building in Lincoln, NE, used by Purdue Global; an approximately 4,000-square-foot office condominium in Chapel Hill, NC, used by KNA; and an approximately 15,000-square-foot three-story building in Berkeley, CA, used by KNA and KI North America. KI has also entered into a 135-year lease of land in Liverpool, U.K., and has completed the construction of college and dormitory space there totaling approximately 138,000 square feet that opened in January 2020.</w:t>
      </w:r>
    </w:p>
    <w:p>
      <w:pPr>
        <w:spacing w:after="0" w:line="11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In the U.S., KNA leases two buildings, each approximately 96,900 square feet, located on adjacent lots in Fort Lauderdale, FL, used for corporate offices, data and call centers and employee-training facilities, which leases expire in 2024. In addition, KNA leases approximately 76,500 square feet in Chicago, IL, all of which has been subleased through the remainder of the lease term, which expires in 2022; a two-story, approximately 124,500-square-foot building in Orlando, FL, pursuant to a lease that expires in 2021, of which approximately 70,000 square feet have been subleased to third parties; 85,800 square feet of corporate office space in Plantation, FL, pursuant to a lease that expires in 2021; and two corporate offices, totaling approximately 64,100 square feet, in La Crosse, WI, under leases that expire in 2021. KNA has an additional 34 leases in the U.S., comprising approximately 188,500 square feet. KNA also delivers classes at schools, colleges, hotels and other premises for which KNA is not a leaseholder.</w:t>
      </w:r>
    </w:p>
    <w:p>
      <w:pPr>
        <w:spacing w:after="0" w:line="11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Kaplan, Inc. leases approximately 159,500 square feet in New York, NY, all which has been subleased to a third party through the remainder of the lease term, which expires in 2024; approximately 85,600 square feet in a separate building in New York, NY, pursuant to a lease that expires in 2021, of which 5,430 square feet is subleased to a third party; and approximately 23,400 square feet of office space in a building in Alpharetta, GA, pursuant to a lease that expires in 2021.</w:t>
      </w:r>
    </w:p>
    <w:p>
      <w:pPr>
        <w:spacing w:after="0" w:line="111"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In addition, the KI Languages business maintains 15 lease and real estate license agreements in the U.S., making up an aggregate of approximately 167,000 square feet of office and instructional space.</w:t>
      </w:r>
    </w:p>
    <w:p>
      <w:pPr>
        <w:spacing w:after="0" w:line="9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Overseas, Dublin Business School’s facilities in Dublin, Ireland, are located in five buildings, aggregating approximately 74,000 square feet of space, which are rented under leases expiring between 2024 and 2029. Kaplan Publishing has an office and distribution warehouse in Wokingham, Berkshire, U.K., of 27,000 square feet, under a lease expiring in 2027. Kaplan Financial’s largest leaseholds are office and instructional spaces in London, U.K., of 35,000 square feet expiring in 2033, and 50,600 square feet, comprising two leases, obtained in January 2015 and expiring in 2030; office and instructional space in Birmingham, U.K., of 19,450 square feet, expiring in 2027; two locations in Manchester, U.K. comprising an office for central support services of 12,606 square feet, expiring in 2027, and office and instructional space of 15,900 square feet, comprising four separate leases, expiring in 2022; office and instructional space in Singapore, of approximately140,000 square feet, comprising three separate leases and expiring between 2022 and 2023; and office and instructional space in Hong Kong of 35,781 square feet, comprising two leases expiring in 2022.</w:t>
      </w:r>
    </w:p>
    <w:p>
      <w:pPr>
        <w:spacing w:after="0" w:line="10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Palace House in London, U.K., is primarily occupied by the KI Pathways business and KI corporate offices with approximately 44,078 square feet, comprising several separate leases and expiring in 2032. The KI corporate offices were formerly housed in Kensington Village, in a 16,128-square foot space, pursuant to a lease that terminates at the end of February 2021.</w:t>
      </w:r>
    </w:p>
    <w:p>
      <w:pPr>
        <w:spacing w:after="0" w:line="11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Kaplan has leases expiring in 2027 for education space in Nottingham, U.K., totaling approximately 21,888 square feet. At the same time, the termination date for all leases in this building will be extended to 2027. In addition, Kaplan has entered into two separate leases in Glasgow, Scotland, for 58,000 square feet and 22,400 square feet, of dormitory space that was constructed and opened to students in 2012. These leases expire in 2032. In addition, Kaplan leases approximately 143,000 square feet of dormitory space as the main tenant of a student residential building in Nottingham, U.K. Kaplan has further entered into a lease for a residential college in Bournemouth, England, which comprises approximately 175,000 square feet. Kaplan has entered into a lease in Brighton, U.K., for dormitory space totaling 128,779 square feet, which expires in 2040. In Australia, Kaplan leases one location in Melbourne, with an aggregate of approximately 77,000 square feet; three locations in Sydney, of approximately 48,000 square feet; one location in Brisbane, of approximately 22,000 square feet; and three locations in Adelaide, of approximately 44,750 square feet. These leases expire at various times, from 2021 through 2031. Kaplan has exercised its option to extend the lease of the Melbourne site for a further 10 years, until April 2031. The University of Adelaide College (formerly Bradford College), in Adelaide, Australia, leases one location and has added an additional floor of approximately 11,000 square feet so that it now occupies an aggregate floor space of approximately 33,000 square feet, with leases expiring in November 2021. In New Zealand, Kaplan leases one location within the same campus of approximately 10,300 square feet which expires in 2021. All other Kaplan facilities in the U.S. and overseas (including administrative offices and instructional locations) occupy leased premises that are for less space than those described above.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5" w:name="page36"/>
    <w:bookmarkEnd w:id="35"/>
    <w:p>
      <w:pPr>
        <w:ind w:right="160"/>
        <w:spacing w:after="0" w:line="239" w:lineRule="auto"/>
        <w:rPr>
          <w:sz w:val="20"/>
          <w:szCs w:val="20"/>
          <w:color w:val="auto"/>
        </w:rPr>
      </w:pPr>
      <w:r>
        <w:rPr>
          <w:rFonts w:ascii="Arial" w:cs="Arial" w:eastAsia="Arial" w:hAnsi="Arial"/>
          <w:sz w:val="18"/>
          <w:szCs w:val="18"/>
          <w:color w:val="auto"/>
        </w:rPr>
        <w:t>The offices of the Company’s broadcasting operations are located in leased space in Chicago, IL. The operations of each of the Company’s television stations are owned by subsidiaries of the Company, as are the related tower sites, except in Houston, Orlando and Jacksonville, where the tower sites are 50% owned.</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corporate office of GHG is located in leased office space in Troy, MI. GHG also leases a small office in Nashville, TN. GHG leases small office spaces in Mechanicsburg, PA; Williamsport, PA; Harrisburg, PA; Kingston, PA; Milford, PA; Stroudsburg, PA; New Castle, PA; Warrendale, PA; Shiloh, IL; Marion, IL; Glen Carbon, IL; Troy, MI; Grand Rapids, MI; Lansing, MI; Lapeer, MI; Downers Grove, IL; and Nashville, TN. In addition, GHG leases space for a hospice inpatient unit in Wilkes-Barre, PA, and nursing offices at Edward and Elmhurst hospitals in northern Illinois. GHG also has leased office space in Mars, PA, which expires in 2022. GHG also owns property in Benton, IL.</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Forney has 20,000 square feet of corporate office space in Addison, TX, under a lease that expires in 2024. Forney’s manufacturing facility in Monterrey, Mexico, is in a building that contains 85,169 square feet of office and manufacturing space under a lease that expires in 2022. Forney leases an 8,000-square foot distribution center in Laredo, TX, under a lease that expires in August 2022. Forney also leases offices in Shanghai, China, under a lease that expires in August 2021.</w:t>
      </w:r>
    </w:p>
    <w:p>
      <w:pPr>
        <w:spacing w:after="0" w:line="11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Joyce/Dayton owns three properties: its corporate headquarters in Kettering, OH, and manufacturing facilities in Portland, IN, and Clayton, OH. It also leases a manufacturing facility in Newington, CT.</w:t>
      </w:r>
    </w:p>
    <w:p>
      <w:pPr>
        <w:spacing w:after="0" w:line="9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Dekko owns four U.S. properties: a 200,600-square foot manufacturing building in Garrett, IN; a 77,200-square foot manufacturing building in Avilla, IN; a 64,500-square foot manufacturing and warehouse space in Ardmore, AL; and a 61,750-square foot warehouse space in El Paso, TX. In addition, Dekko owns two buildings in Juarez, Mexico, one of which consists of 132,150 square feet of manufacturing and office space and the other consists of 65,111 square feet of manufacturing and office space. In the U.S., Dekko leases 72,000 square feet of headquarters and innovation center space in Fort Wayne, IN, under a lease that expires in 2029; 46,370 square feet of manufacturing and warehouse space in North Webster, IN, under a lease that expires in 2021; 30,000 square feet of warehouse space in Kendallville, IN, under a lease that expires in 2022; 33,208 square feet of manufacturing, warehouse and office space in Shelton, CT, under a lease that expires in 2021; 22,552 square feet of manufacturing warehouse and office space in Shelton, CT, under a lease that expires in 2024; 80,400 square feet of manufacturing, warehouse and office space in Fallston, NC, under a lease that expires in 2023; and 3,101 square feet of office space in Grand Rapids, MI, that expires in 2024.</w:t>
      </w:r>
    </w:p>
    <w:p>
      <w:pPr>
        <w:spacing w:after="0" w:line="112"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Hoover owns nine U.S. properties: a 29-acre site in Thomson, GA; a 35-acre site in Pine Bluff, AR; a 60-acre site in Milford, VA; a 15-acre site in Detroit, MI; a 14-acre site in Bakersfield, CA; a 17-acre site in Oxford, PA; a 15-acre site in Halifax, NC; an 11-acre site in Belington, WV; and a 65-acre site in Havana, FL. In addition, Hoover leases a 10-acre site in Winston, OR, on a long-term lease with renewal terms available through December 31, 2044. Hoover’s corporate, sales and accounting office, and research, engineering and development offices are also located on the Thomson, GA, campus.</w:t>
      </w:r>
    </w:p>
    <w:p>
      <w:pPr>
        <w:spacing w:after="0" w:line="111"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Clyde’s leases restaurant facilities in Maryland, Virginia and Washington, D.C., under non-cancellable lease agreements. The restaurant facilities average just over 15,000 square feet, ranging from 10,000 to 30,000 square feet. Renewal options are available on many of the leases for one or more periods of five to 10 years each. Final lease expiration dates range from 2020 to 2051. Many of the leases also require the payment of taxes and maintenance costs as well as additional rentals based on sales in excess of specified minimums.</w:t>
      </w:r>
    </w:p>
    <w:p>
      <w:pPr>
        <w:spacing w:after="0" w:line="111"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Graham Automotive leases 77,794 square feet of space in Rockville, MD, for its Lexus dealership under a lease that expires in September 2036, including renewal options. The Honda dealership leases 68,839 square feet of space in Tysons Corner, VA, under a lease that terminates November 30, 2023. That lease also has a partial lease termination option that could remove 14% of total space from the lease and a full lease termination option, both effective December 2020. The Jeep sales facility is currently under construction in Bethesda, MD, under a lease that terminates in July 2060, including renewal options. The Jeep service facility, which is currently under construction, is also located in Bethesda, MD. The Jeep service facility is under a lease that terminates in July 2060, including renewal options.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leases office space in Brooklyn, NY, and Washington, D.C.</w:t>
      </w:r>
    </w:p>
    <w:p>
      <w:pPr>
        <w:spacing w:after="0" w:line="144"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Code3 leases office space in Washington, D.C.; New York, NY; Los Angeles, CA; San Francisco, CA (currently being subleased) and Cleveland, OH.</w:t>
      </w:r>
    </w:p>
    <w:p>
      <w:pPr>
        <w:spacing w:after="0" w:line="9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Framebridge leases retail locations in Washington, D.C., Bethesda, MD, Brooklyn, NY, two locations in Atlanta, GA and two manufacturing facilities in Lexington, KY.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3. Legal Proceedings.</w:t>
      </w:r>
    </w:p>
    <w:p>
      <w:pPr>
        <w:spacing w:after="0" w:line="14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Information with respect to legal proceedings may be found in Note 18, "Contingencies and other commitments - Litigation, Legal and Other Matters" to the consolidated financial statements in Part II of this Annual Report, which is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660"/>
        <w:spacing w:after="0" w:line="408"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ind w:right="520"/>
        <w:spacing w:after="0" w:line="260"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9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At January 31, 2021, there were 27 holders of record of the Company’s Class A Common Stock and 372 holders of record of the Company’s Class B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44"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During the quarter ended December 31, 2020, the Company purchased shares of its Class B Common Stock as set forth in the following table: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80" w:type="dxa"/>
            <w:vAlign w:val="bottom"/>
          </w:tcPr>
          <w:p>
            <w:pPr>
              <w:jc w:val="center"/>
              <w:ind w:right="3"/>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4"/>
                <w:szCs w:val="14"/>
                <w:color w:val="auto"/>
              </w:rPr>
            </w:pPr>
          </w:p>
        </w:tc>
        <w:tc>
          <w:tcPr>
            <w:tcW w:w="1180" w:type="dxa"/>
            <w:vAlign w:val="bottom"/>
          </w:tcPr>
          <w:p>
            <w:pPr>
              <w:jc w:val="center"/>
              <w:ind w:right="283"/>
              <w:spacing w:after="0"/>
              <w:rPr>
                <w:sz w:val="20"/>
                <w:szCs w:val="20"/>
                <w:color w:val="auto"/>
              </w:rPr>
            </w:pPr>
            <w:r>
              <w:rPr>
                <w:rFonts w:ascii="Arial" w:cs="Arial" w:eastAsia="Arial" w:hAnsi="Arial"/>
                <w:sz w:val="14"/>
                <w:szCs w:val="14"/>
                <w:b w:val="1"/>
                <w:bCs w:val="1"/>
                <w:color w:val="auto"/>
              </w:rPr>
              <w:t>Average</w:t>
            </w:r>
          </w:p>
        </w:tc>
        <w:tc>
          <w:tcPr>
            <w:tcW w:w="2300" w:type="dxa"/>
            <w:vAlign w:val="bottom"/>
          </w:tcPr>
          <w:p>
            <w:pPr>
              <w:jc w:val="center"/>
              <w:ind w:right="3"/>
              <w:spacing w:after="0"/>
              <w:rPr>
                <w:sz w:val="20"/>
                <w:szCs w:val="20"/>
                <w:color w:val="auto"/>
              </w:rPr>
            </w:pPr>
            <w:r>
              <w:rPr>
                <w:rFonts w:ascii="Arial" w:cs="Arial" w:eastAsia="Arial" w:hAnsi="Arial"/>
                <w:sz w:val="14"/>
                <w:szCs w:val="14"/>
                <w:b w:val="1"/>
                <w:bCs w:val="1"/>
                <w:color w:val="auto"/>
              </w:rPr>
              <w:t>Total Number of Shares</w:t>
            </w:r>
          </w:p>
        </w:tc>
        <w:tc>
          <w:tcPr>
            <w:tcW w:w="2600" w:type="dxa"/>
            <w:vAlign w:val="bottom"/>
          </w:tcPr>
          <w:p>
            <w:pPr>
              <w:jc w:val="center"/>
              <w:ind w:left="24"/>
              <w:spacing w:after="0"/>
              <w:rPr>
                <w:sz w:val="20"/>
                <w:szCs w:val="20"/>
                <w:color w:val="auto"/>
              </w:rPr>
            </w:pPr>
            <w:r>
              <w:rPr>
                <w:rFonts w:ascii="Arial" w:cs="Arial" w:eastAsia="Arial" w:hAnsi="Arial"/>
                <w:sz w:val="14"/>
                <w:szCs w:val="14"/>
                <w:b w:val="1"/>
                <w:bCs w:val="1"/>
                <w:color w:val="auto"/>
              </w:rPr>
              <w:t>Maximum Number of Shares That</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2"/>
                <w:szCs w:val="12"/>
                <w:color w:val="auto"/>
              </w:rPr>
            </w:pPr>
          </w:p>
        </w:tc>
        <w:tc>
          <w:tcPr>
            <w:tcW w:w="1180" w:type="dxa"/>
            <w:vAlign w:val="bottom"/>
          </w:tcPr>
          <w:p>
            <w:pPr>
              <w:jc w:val="center"/>
              <w:ind w:right="283"/>
              <w:spacing w:after="0" w:line="149" w:lineRule="exact"/>
              <w:rPr>
                <w:sz w:val="20"/>
                <w:szCs w:val="20"/>
                <w:color w:val="auto"/>
              </w:rPr>
            </w:pPr>
            <w:r>
              <w:rPr>
                <w:rFonts w:ascii="Arial" w:cs="Arial" w:eastAsia="Arial" w:hAnsi="Arial"/>
                <w:sz w:val="14"/>
                <w:szCs w:val="14"/>
                <w:b w:val="1"/>
                <w:bCs w:val="1"/>
                <w:color w:val="auto"/>
              </w:rPr>
              <w:t>Price Paid</w:t>
            </w:r>
          </w:p>
        </w:tc>
        <w:tc>
          <w:tcPr>
            <w:tcW w:w="230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rPr>
              <w:t>Purchased as Part of</w:t>
            </w:r>
          </w:p>
        </w:tc>
        <w:tc>
          <w:tcPr>
            <w:tcW w:w="260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rPr>
              <w:t>May Yet Be Purchased Under the</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5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b w:val="1"/>
                <w:bCs w:val="1"/>
                <w:color w:val="auto"/>
              </w:rPr>
              <w:t>per Share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60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October</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448,399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November</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37,410</w:t>
            </w:r>
          </w:p>
        </w:tc>
        <w:tc>
          <w:tcPr>
            <w:tcW w:w="240" w:type="dxa"/>
            <w:vAlign w:val="bottom"/>
          </w:tcPr>
          <w:p>
            <w:pPr>
              <w:spacing w:after="0"/>
              <w:rPr>
                <w:sz w:val="19"/>
                <w:szCs w:val="19"/>
                <w:color w:val="auto"/>
              </w:rPr>
            </w:pPr>
          </w:p>
        </w:tc>
        <w:tc>
          <w:tcPr>
            <w:tcW w:w="1180" w:type="dxa"/>
            <w:vAlign w:val="bottom"/>
          </w:tcPr>
          <w:p>
            <w:pPr>
              <w:jc w:val="right"/>
              <w:ind w:right="143"/>
              <w:spacing w:after="0"/>
              <w:rPr>
                <w:sz w:val="20"/>
                <w:szCs w:val="20"/>
                <w:color w:val="auto"/>
              </w:rPr>
            </w:pPr>
            <w:r>
              <w:rPr>
                <w:rFonts w:ascii="Arial" w:cs="Arial" w:eastAsia="Arial" w:hAnsi="Arial"/>
                <w:sz w:val="16"/>
                <w:szCs w:val="16"/>
                <w:color w:val="auto"/>
              </w:rPr>
              <w:t>455.66</w:t>
            </w:r>
          </w:p>
        </w:tc>
        <w:tc>
          <w:tcPr>
            <w:tcW w:w="2300" w:type="dxa"/>
            <w:vAlign w:val="bottom"/>
          </w:tcPr>
          <w:p>
            <w:pPr>
              <w:jc w:val="right"/>
              <w:ind w:right="3"/>
              <w:spacing w:after="0"/>
              <w:rPr>
                <w:sz w:val="20"/>
                <w:szCs w:val="20"/>
                <w:color w:val="auto"/>
              </w:rPr>
            </w:pPr>
            <w:r>
              <w:rPr>
                <w:rFonts w:ascii="Arial" w:cs="Arial" w:eastAsia="Arial" w:hAnsi="Arial"/>
                <w:sz w:val="16"/>
                <w:szCs w:val="16"/>
                <w:color w:val="auto"/>
              </w:rPr>
              <w:t>37,410</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410,989</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color w:val="auto"/>
              </w:rPr>
              <w:t>December</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46,838</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461.75</w:t>
            </w:r>
          </w:p>
        </w:tc>
        <w:tc>
          <w:tcPr>
            <w:tcW w:w="2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46,838</w:t>
            </w:r>
          </w:p>
        </w:tc>
        <w:tc>
          <w:tcPr>
            <w:tcW w:w="2600" w:type="dxa"/>
            <w:vAlign w:val="bottom"/>
          </w:tcPr>
          <w:p>
            <w:pPr>
              <w:jc w:val="right"/>
              <w:ind w:right="4"/>
              <w:spacing w:after="0"/>
              <w:rPr>
                <w:sz w:val="20"/>
                <w:szCs w:val="20"/>
                <w:color w:val="auto"/>
              </w:rPr>
            </w:pPr>
            <w:r>
              <w:rPr>
                <w:rFonts w:ascii="Arial" w:cs="Arial" w:eastAsia="Arial" w:hAnsi="Arial"/>
                <w:sz w:val="16"/>
                <w:szCs w:val="16"/>
                <w:color w:val="auto"/>
              </w:rPr>
              <w:t>364,151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54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84,248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459.04</w:t>
            </w:r>
          </w:p>
        </w:tc>
        <w:tc>
          <w:tcPr>
            <w:tcW w:w="2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84,248</w:t>
            </w: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3600" w:type="dxa"/>
            <w:vAlign w:val="bottom"/>
            <w:gridSpan w:val="2"/>
          </w:tcPr>
          <w:p>
            <w:pPr>
              <w:jc w:val="right"/>
              <w:ind w:right="2562"/>
              <w:spacing w:after="0"/>
              <w:rPr>
                <w:sz w:val="20"/>
                <w:szCs w:val="20"/>
                <w:color w:val="auto"/>
              </w:rPr>
            </w:pPr>
            <w:r>
              <w:rPr>
                <w:rFonts w:ascii="Arial" w:cs="Arial" w:eastAsia="Arial" w:hAnsi="Arial"/>
                <w:sz w:val="14"/>
                <w:szCs w:val="14"/>
                <w:color w:val="auto"/>
              </w:rPr>
              <w:t>____________</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300"/>
        <w:spacing w:after="0" w:line="266" w:lineRule="auto"/>
        <w:rPr>
          <w:sz w:val="20"/>
          <w:szCs w:val="20"/>
          <w:color w:val="auto"/>
        </w:rPr>
      </w:pPr>
      <w:r>
        <w:rPr>
          <w:rFonts w:ascii="Arial" w:cs="Arial" w:eastAsia="Arial" w:hAnsi="Arial"/>
          <w:sz w:val="12"/>
          <w:szCs w:val="12"/>
          <w:color w:val="auto"/>
        </w:rPr>
        <w:t>*On September 10. 2020, the Company’s Board of Directors authorized the Company to purchase, on the open market or otherwise, up to 500,000 shares of its Class B Common Stock. No shares remained under the previous authorization. There is no expiration date for this authorization. All purchases made during the quarter ended December 31, 2020, were open market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44"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a composite group of education and television broadcasting companies. The Standard &amp; Poor’s 500 Stock Index is comprised of 500 U.S. companies in the industrial, transportation, utilities and financial industries and is weighted by market capitalization. The custom peer group of composite companies includes Adtalem Global Education Inc., Chegg, Inc., The E.W. Scripps Company, Grand Canyon Education Inc., Meredith Corporation, New Oriental Education &amp; Technology Group Inc., Pearson plc and Tegna Inc. The graph reflects the investment of $100 on December 31, 2015, in the Company’s Class B Common Stock, the Standard &amp; Poor’s 500 Stock Index and the custom peer group index of composite companies. For purposes of this graph, it has been assumed that dividends were reinvested on the date paid in the case of the Company, and on a quarterly basis in the case of the Standard &amp; Poor’s 500 Index and the custom peer group index of composite companies.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680085</wp:posOffset>
            </wp:positionV>
            <wp:extent cx="5306060" cy="3429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30606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2015</w:t>
            </w: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color w:val="auto"/>
              </w:rPr>
              <w:t>2016</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2017</w:t>
            </w:r>
          </w:p>
        </w:tc>
        <w:tc>
          <w:tcPr>
            <w:tcW w:w="10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2018</w:t>
            </w: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2019</w:t>
            </w:r>
          </w:p>
        </w:tc>
        <w:tc>
          <w:tcPr>
            <w:tcW w:w="9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2020</w:t>
            </w:r>
          </w:p>
        </w:tc>
      </w:tr>
      <w:tr>
        <w:trPr>
          <w:trHeight w:val="212"/>
        </w:trPr>
        <w:tc>
          <w:tcPr>
            <w:tcW w:w="3460" w:type="dxa"/>
            <w:vAlign w:val="bottom"/>
          </w:tcPr>
          <w:p>
            <w:pPr>
              <w:ind w:left="20"/>
              <w:spacing w:after="0"/>
              <w:rPr>
                <w:sz w:val="20"/>
                <w:szCs w:val="20"/>
                <w:color w:val="auto"/>
              </w:rPr>
            </w:pPr>
            <w:r>
              <w:rPr>
                <w:rFonts w:ascii="Arial" w:cs="Arial" w:eastAsia="Arial" w:hAnsi="Arial"/>
                <w:sz w:val="15"/>
                <w:szCs w:val="15"/>
                <w:color w:val="auto"/>
              </w:rPr>
              <w:t>Graham Holdings Company</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106.64</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117.36</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135.88</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136.65</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115.72</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S&amp;P 500 Index</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111.96</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136.40</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130.42</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171.49</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203.04</w:t>
            </w:r>
          </w:p>
        </w:tc>
      </w:tr>
      <w:tr>
        <w:trPr>
          <w:trHeight w:val="216"/>
        </w:trPr>
        <w:tc>
          <w:tcPr>
            <w:tcW w:w="3460" w:type="dxa"/>
            <w:vAlign w:val="bottom"/>
          </w:tcPr>
          <w:p>
            <w:pPr>
              <w:ind w:left="20"/>
              <w:spacing w:after="0"/>
              <w:rPr>
                <w:sz w:val="20"/>
                <w:szCs w:val="20"/>
                <w:color w:val="auto"/>
              </w:rPr>
            </w:pPr>
            <w:r>
              <w:rPr>
                <w:rFonts w:ascii="Arial" w:cs="Arial" w:eastAsia="Arial" w:hAnsi="Arial"/>
                <w:sz w:val="15"/>
                <w:szCs w:val="15"/>
                <w:color w:val="auto"/>
              </w:rPr>
              <w:t>Composite Peer Group</w:t>
            </w:r>
          </w:p>
        </w:tc>
        <w:tc>
          <w:tcPr>
            <w:tcW w:w="2380" w:type="dxa"/>
            <w:vAlign w:val="bottom"/>
          </w:tcPr>
          <w:p>
            <w:pPr>
              <w:jc w:val="right"/>
              <w:ind w:right="185"/>
              <w:spacing w:after="0"/>
              <w:rPr>
                <w:sz w:val="20"/>
                <w:szCs w:val="20"/>
                <w:color w:val="auto"/>
              </w:rPr>
            </w:pPr>
            <w:r>
              <w:rPr>
                <w:rFonts w:ascii="Arial" w:cs="Arial" w:eastAsia="Arial" w:hAnsi="Arial"/>
                <w:sz w:val="15"/>
                <w:szCs w:val="15"/>
                <w:color w:val="auto"/>
              </w:rPr>
              <w:t>100.00</w:t>
            </w:r>
          </w:p>
        </w:tc>
        <w:tc>
          <w:tcPr>
            <w:tcW w:w="1120" w:type="dxa"/>
            <w:vAlign w:val="bottom"/>
          </w:tcPr>
          <w:p>
            <w:pPr>
              <w:jc w:val="right"/>
              <w:ind w:right="185"/>
              <w:spacing w:after="0"/>
              <w:rPr>
                <w:sz w:val="20"/>
                <w:szCs w:val="20"/>
                <w:color w:val="auto"/>
              </w:rPr>
            </w:pPr>
            <w:r>
              <w:rPr>
                <w:rFonts w:ascii="Arial" w:cs="Arial" w:eastAsia="Arial" w:hAnsi="Arial"/>
                <w:sz w:val="15"/>
                <w:szCs w:val="15"/>
                <w:color w:val="auto"/>
              </w:rPr>
              <w:t>117.24</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162.28</w:t>
            </w:r>
          </w:p>
        </w:tc>
        <w:tc>
          <w:tcPr>
            <w:tcW w:w="1080" w:type="dxa"/>
            <w:vAlign w:val="bottom"/>
          </w:tcPr>
          <w:p>
            <w:pPr>
              <w:jc w:val="right"/>
              <w:ind w:right="185"/>
              <w:spacing w:after="0"/>
              <w:rPr>
                <w:sz w:val="20"/>
                <w:szCs w:val="20"/>
                <w:color w:val="auto"/>
              </w:rPr>
            </w:pPr>
            <w:r>
              <w:rPr>
                <w:rFonts w:ascii="Arial" w:cs="Arial" w:eastAsia="Arial" w:hAnsi="Arial"/>
                <w:sz w:val="15"/>
                <w:szCs w:val="15"/>
                <w:color w:val="auto"/>
              </w:rPr>
              <w:t>149.88</w:t>
            </w:r>
          </w:p>
        </w:tc>
        <w:tc>
          <w:tcPr>
            <w:tcW w:w="1100" w:type="dxa"/>
            <w:vAlign w:val="bottom"/>
          </w:tcPr>
          <w:p>
            <w:pPr>
              <w:jc w:val="right"/>
              <w:ind w:right="185"/>
              <w:spacing w:after="0"/>
              <w:rPr>
                <w:sz w:val="20"/>
                <w:szCs w:val="20"/>
                <w:color w:val="auto"/>
              </w:rPr>
            </w:pPr>
            <w:r>
              <w:rPr>
                <w:rFonts w:ascii="Arial" w:cs="Arial" w:eastAsia="Arial" w:hAnsi="Arial"/>
                <w:sz w:val="15"/>
                <w:szCs w:val="15"/>
                <w:color w:val="auto"/>
              </w:rPr>
              <w:t>187.06</w:t>
            </w:r>
          </w:p>
        </w:tc>
        <w:tc>
          <w:tcPr>
            <w:tcW w:w="940" w:type="dxa"/>
            <w:vAlign w:val="bottom"/>
          </w:tcPr>
          <w:p>
            <w:pPr>
              <w:jc w:val="right"/>
              <w:ind w:right="5"/>
              <w:spacing w:after="0"/>
              <w:rPr>
                <w:sz w:val="20"/>
                <w:szCs w:val="20"/>
                <w:color w:val="auto"/>
              </w:rPr>
            </w:pPr>
            <w:r>
              <w:rPr>
                <w:rFonts w:ascii="Arial" w:cs="Arial" w:eastAsia="Arial" w:hAnsi="Arial"/>
                <w:sz w:val="15"/>
                <w:szCs w:val="15"/>
                <w:b w:val="1"/>
                <w:bCs w:val="1"/>
                <w:color w:val="auto"/>
              </w:rPr>
              <w:t>256.12</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early adopted the recent amendment to Regulation S-K, Item 301, which eliminates Selected Financial Data.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42 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6"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$573.1 million at December 31, 2020.</w:t>
      </w:r>
    </w:p>
    <w:p>
      <w:pPr>
        <w:spacing w:after="0" w:line="11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 manages the risk associated with interest rate movements through the use of a combination of variable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fixed-rate debt.</w:t>
      </w:r>
    </w:p>
    <w:p>
      <w:pPr>
        <w:spacing w:after="0" w:line="9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At December 31, 2020, the Company had $400 million principal amount of 5.75% unsecured fixed-rate notes due June 1, 2026 (the Notes). At December 31, 2020, the aggregate fair value of the Notes, based upon quoted market prices, was $421.7 million. There were no earnings or liquidity risks associated with the Company’s Notes. The fair value of the Notes varies with fluctuations in market interest rates. A 100 basis point decrease in market interest rates would increase the fair value of the Notes by $ 13.3 million at December 31, 2020 using a yield to par call. A 100 basis point increase in market interest rates would decrease the fair value of the Notes by $12.8 million at December 31, 2020, using a yield to par call. The Company also had approximately $14 million of other fixed-rate</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debt, primarily relating to the healthcare business (see Note 11).</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At December 31, 2020, the Company had approximately $129 million of variable-rate debt, including floor plan facility obligations. Approximately $25 million of this debt is hedged by an interest rate swap. The Company is subject to earnings and liquidity risks for changes in the interest rate on the unhedged portion of this debt. A 100 basis point increase in the applicable LIBOR rates for the unhedged portions of our variable-rate debt would increase annual interest expense by approximately $1.0 million.</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Because the United Kingdom Financial Conduct Authority, which regulates LIBOR, announced the desire to phase out the use of LIBOR by the end of 2021, current and future borrowings by the Company could be subject to reference rates other than LIBOR.</w:t>
      </w:r>
    </w:p>
    <w:p>
      <w:pPr>
        <w:spacing w:after="0" w:line="9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primary exposure relates to the exchange rate between the U.S. dollar and the British pound, the Australian dollar, and the Singapore dollar. In 2020, 2019 and 2018 the Company reported foreign currency losses of $2.2 million, $1.1 million and $3.8 million, respectively.</w:t>
      </w:r>
    </w:p>
    <w:p>
      <w:pPr>
        <w:spacing w:after="0" w:line="111" w:lineRule="exact"/>
        <w:rPr>
          <w:sz w:val="20"/>
          <w:szCs w:val="20"/>
          <w:color w:val="auto"/>
        </w:rPr>
      </w:pPr>
    </w:p>
    <w:p>
      <w:pPr>
        <w:jc w:val="both"/>
        <w:ind w:right="200"/>
        <w:spacing w:after="0" w:line="239" w:lineRule="auto"/>
        <w:rPr>
          <w:sz w:val="20"/>
          <w:szCs w:val="20"/>
          <w:color w:val="auto"/>
        </w:rPr>
      </w:pPr>
      <w:r>
        <w:rPr>
          <w:rFonts w:ascii="Arial" w:cs="Arial" w:eastAsia="Arial" w:hAnsi="Arial"/>
          <w:sz w:val="18"/>
          <w:szCs w:val="18"/>
          <w:color w:val="auto"/>
        </w:rPr>
        <w:t>If the values of the British pound, the Australian dollar, and Singapore dollar relative to the U.S. dollar had been 10% lower than the values that prevailed during 2020, the Company’s pre-tax income for 2020 would have been approximately $13 million lower. Conversely, if such values had been 10% higher, the Company’s reported pre-tax income for 2020 would have been approximately $13 million higher.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6"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See the Company’s Consolidated Financial Statements at December 31, 2020, and for the periods then ended, together with the report of PricewaterhouseCoopers LLP thereon and the information contained in Note 20 to said Consolidated Financial Statements titled “Summary of Quarterly Operating Results and Comprehensive Income (Unaudited),” which are included in this Annual Report on Form 10-K and listed in the index to financial information on page 42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 controls and procedures (as defined in Exchange Act Rules 13a-15(e) and 15d-15(e)), as of December 31, 2020.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2020.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Management has concluded that as of December 31, 2020, the Company’s internal control over financial reporting was effective based on these criteria.</w:t>
      </w:r>
    </w:p>
    <w:p>
      <w:pPr>
        <w:spacing w:after="0" w:line="111" w:lineRule="exact"/>
        <w:rPr>
          <w:sz w:val="20"/>
          <w:szCs w:val="20"/>
          <w:color w:val="auto"/>
        </w:rPr>
      </w:pPr>
    </w:p>
    <w:p>
      <w:pPr>
        <w:ind w:right="1440"/>
        <w:spacing w:after="0" w:line="260"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PricewaterhouseCoopers LLP, an independent registered public accounting firm, as stated in their report included herein.</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2020, that has materially affected, or is reasonably likely to materially affect, the Company’s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6"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2021 Annual Meeting of Stockholders is incorporated herein by reference thereto.</w:t>
      </w:r>
    </w:p>
    <w:p>
      <w:pPr>
        <w:spacing w:after="0" w:line="11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June 6, 2020,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2021 Annual Meeting of Stockholders is incorporated herein by reference thereto.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3"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2021 Annual Meeting of Stockholders is incorporated herein by reference thereto.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2021 Annual Meeting of Stockholders is incorporated herein by reference thereto.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2021 Annual Meeting of Stockholders is incorporated herein by reference thereto.</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90" w:lineRule="exact"/>
        <w:rPr>
          <w:sz w:val="20"/>
          <w:szCs w:val="20"/>
          <w:color w:val="auto"/>
        </w:rPr>
      </w:pPr>
    </w:p>
    <w:p>
      <w:pPr>
        <w:ind w:left="860" w:hanging="407"/>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42 hereof.</w:t>
      </w:r>
    </w:p>
    <w:p>
      <w:pPr>
        <w:spacing w:after="0" w:line="90" w:lineRule="exact"/>
        <w:rPr>
          <w:rFonts w:ascii="Arial" w:cs="Arial" w:eastAsia="Arial" w:hAnsi="Arial"/>
          <w:sz w:val="18"/>
          <w:szCs w:val="18"/>
          <w:color w:val="auto"/>
        </w:rPr>
      </w:pPr>
    </w:p>
    <w:p>
      <w:pPr>
        <w:ind w:left="860" w:hanging="407"/>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39 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80" w:type="dxa"/>
            <w:vAlign w:val="bottom"/>
            <w:gridSpan w:val="30"/>
          </w:tcPr>
          <w:p>
            <w:pPr>
              <w:ind w:left="200"/>
              <w:spacing w:after="0"/>
              <w:rPr>
                <w:sz w:val="20"/>
                <w:szCs w:val="20"/>
                <w:color w:val="auto"/>
              </w:rPr>
            </w:pPr>
            <w:r>
              <w:rPr>
                <w:rFonts w:ascii="Arial" w:cs="Arial" w:eastAsia="Arial" w:hAnsi="Arial"/>
                <w:sz w:val="18"/>
                <w:szCs w:val="18"/>
                <w:b w:val="1"/>
                <w:bCs w:val="1"/>
                <w:color w:val="auto"/>
              </w:rPr>
              <w:t>INDEX TO EXHIBITS</w:t>
            </w:r>
          </w:p>
        </w:tc>
      </w:tr>
      <w:tr>
        <w:trPr>
          <w:trHeight w:val="365"/>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29"/>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399"/>
        </w:trPr>
        <w:tc>
          <w:tcPr>
            <w:tcW w:w="1340" w:type="dxa"/>
            <w:vAlign w:val="bottom"/>
          </w:tcPr>
          <w:p>
            <w:pPr>
              <w:ind w:left="20"/>
              <w:spacing w:after="0"/>
              <w:rPr>
                <w:sz w:val="20"/>
                <w:szCs w:val="20"/>
                <w:color w:val="auto"/>
              </w:rPr>
            </w:pPr>
            <w:r>
              <w:rPr>
                <w:rFonts w:ascii="Arial" w:cs="Arial" w:eastAsia="Arial" w:hAnsi="Arial"/>
                <w:sz w:val="17"/>
                <w:szCs w:val="17"/>
                <w:color w:val="auto"/>
              </w:rPr>
              <w:t>2.1</w:t>
            </w:r>
          </w:p>
        </w:tc>
        <w:tc>
          <w:tcPr>
            <w:tcW w:w="9900" w:type="dxa"/>
            <w:vAlign w:val="bottom"/>
            <w:gridSpan w:val="34"/>
          </w:tcPr>
          <w:p>
            <w:pPr>
              <w:spacing w:after="0"/>
              <w:rPr>
                <w:rFonts w:ascii="Arial" w:cs="Arial" w:eastAsia="Arial" w:hAnsi="Arial"/>
                <w:sz w:val="17"/>
                <w:szCs w:val="17"/>
                <w:color w:val="0000FF"/>
              </w:rPr>
            </w:pPr>
            <w:hyperlink r:id="rId52">
              <w:r>
                <w:rPr>
                  <w:rFonts w:ascii="Arial" w:cs="Arial" w:eastAsia="Arial" w:hAnsi="Arial"/>
                  <w:sz w:val="17"/>
                  <w:szCs w:val="17"/>
                  <w:color w:val="0000FF"/>
                </w:rPr>
                <w:t>Contribution and Transfer Agreement, dated April 27, 2017, by and among Kaplan Higher Education, LLC, Iowa College</w:t>
              </w:r>
            </w:hyperlink>
          </w:p>
        </w:tc>
      </w:tr>
      <w:tr>
        <w:trPr>
          <w:trHeight w:val="155"/>
        </w:trPr>
        <w:tc>
          <w:tcPr>
            <w:tcW w:w="1340" w:type="dxa"/>
            <w:vAlign w:val="bottom"/>
          </w:tcPr>
          <w:p>
            <w:pPr>
              <w:spacing w:after="0"/>
              <w:rPr>
                <w:sz w:val="13"/>
                <w:szCs w:val="13"/>
                <w:color w:val="auto"/>
              </w:rPr>
            </w:pPr>
          </w:p>
        </w:tc>
        <w:tc>
          <w:tcPr>
            <w:tcW w:w="9060" w:type="dxa"/>
            <w:vAlign w:val="bottom"/>
            <w:tcBorders>
              <w:top w:val="single" w:sz="8" w:color="0000FF"/>
            </w:tcBorders>
            <w:gridSpan w:val="12"/>
          </w:tcPr>
          <w:p>
            <w:pPr>
              <w:spacing w:after="0" w:line="155" w:lineRule="exact"/>
              <w:rPr>
                <w:rFonts w:ascii="Arial" w:cs="Arial" w:eastAsia="Arial" w:hAnsi="Arial"/>
                <w:sz w:val="17"/>
                <w:szCs w:val="17"/>
                <w:color w:val="0000FF"/>
              </w:rPr>
            </w:pPr>
            <w:hyperlink r:id="rId52">
              <w:r>
                <w:rPr>
                  <w:rFonts w:ascii="Arial" w:cs="Arial" w:eastAsia="Arial" w:hAnsi="Arial"/>
                  <w:sz w:val="17"/>
                  <w:szCs w:val="17"/>
                  <w:color w:val="0000FF"/>
                </w:rPr>
                <w:t>Acquisition, LLC, Purdue University and Purdue New U, Inc. (incorporated by reference to Exhibit 2.1 to the Company’s</w:t>
              </w:r>
            </w:hyperlink>
          </w:p>
        </w:tc>
        <w:tc>
          <w:tcPr>
            <w:tcW w:w="840" w:type="dxa"/>
            <w:vAlign w:val="bottom"/>
            <w:gridSpan w:val="22"/>
          </w:tcPr>
          <w:p>
            <w:pPr>
              <w:spacing w:after="0" w:line="155" w:lineRule="exact"/>
              <w:rPr>
                <w:rFonts w:ascii="Arial" w:cs="Arial" w:eastAsia="Arial" w:hAnsi="Arial"/>
                <w:sz w:val="17"/>
                <w:szCs w:val="17"/>
                <w:color w:val="0000FF"/>
              </w:rPr>
            </w:pPr>
            <w:hyperlink r:id="rId52">
              <w:r>
                <w:rPr>
                  <w:rFonts w:ascii="Arial" w:cs="Arial" w:eastAsia="Arial" w:hAnsi="Arial"/>
                  <w:sz w:val="17"/>
                  <w:szCs w:val="17"/>
                  <w:color w:val="0000FF"/>
                </w:rPr>
                <w:t>Current</w:t>
              </w:r>
            </w:hyperlink>
          </w:p>
        </w:tc>
      </w:tr>
      <w:tr>
        <w:trPr>
          <w:trHeight w:val="155"/>
        </w:trPr>
        <w:tc>
          <w:tcPr>
            <w:tcW w:w="134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4"/>
          </w:tcPr>
          <w:p>
            <w:pPr>
              <w:spacing w:after="0" w:line="155" w:lineRule="exact"/>
              <w:rPr>
                <w:rFonts w:ascii="Arial" w:cs="Arial" w:eastAsia="Arial" w:hAnsi="Arial"/>
                <w:sz w:val="17"/>
                <w:szCs w:val="17"/>
                <w:color w:val="0000FF"/>
              </w:rPr>
            </w:pPr>
            <w:hyperlink r:id="rId52">
              <w:r>
                <w:rPr>
                  <w:rFonts w:ascii="Arial" w:cs="Arial" w:eastAsia="Arial" w:hAnsi="Arial"/>
                  <w:sz w:val="17"/>
                  <w:szCs w:val="17"/>
                  <w:color w:val="0000FF"/>
                </w:rPr>
                <w:t>Report on Form 8-K filed April 27, 2017).**</w:t>
              </w:r>
            </w:hyperlink>
          </w:p>
        </w:tc>
        <w:tc>
          <w:tcPr>
            <w:tcW w:w="64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3.1</w:t>
            </w:r>
          </w:p>
        </w:tc>
        <w:tc>
          <w:tcPr>
            <w:tcW w:w="9900" w:type="dxa"/>
            <w:vAlign w:val="bottom"/>
            <w:gridSpan w:val="34"/>
          </w:tcPr>
          <w:p>
            <w:pPr>
              <w:spacing w:after="0"/>
              <w:rPr>
                <w:rFonts w:ascii="Arial" w:cs="Arial" w:eastAsia="Arial" w:hAnsi="Arial"/>
                <w:sz w:val="17"/>
                <w:szCs w:val="17"/>
                <w:color w:val="0000FF"/>
              </w:rPr>
            </w:pPr>
            <w:hyperlink r:id="rId53">
              <w:r>
                <w:rPr>
                  <w:rFonts w:ascii="Arial" w:cs="Arial" w:eastAsia="Arial" w:hAnsi="Arial"/>
                  <w:sz w:val="17"/>
                  <w:szCs w:val="17"/>
                  <w:color w:val="0000FF"/>
                </w:rPr>
                <w:t>Restated Certificate of Incorporation of the Company dated November 13, 2003 (incorporated by reference to Exhibit 3.1 to the</w:t>
              </w:r>
            </w:hyperlink>
          </w:p>
        </w:tc>
      </w:tr>
      <w:tr>
        <w:trPr>
          <w:trHeight w:val="155"/>
        </w:trPr>
        <w:tc>
          <w:tcPr>
            <w:tcW w:w="134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8"/>
          </w:tcPr>
          <w:p>
            <w:pPr>
              <w:spacing w:after="0" w:line="155" w:lineRule="exact"/>
              <w:rPr>
                <w:rFonts w:ascii="Arial" w:cs="Arial" w:eastAsia="Arial" w:hAnsi="Arial"/>
                <w:sz w:val="17"/>
                <w:szCs w:val="17"/>
                <w:color w:val="0000FF"/>
              </w:rPr>
            </w:pPr>
            <w:hyperlink r:id="rId53">
              <w:r>
                <w:rPr>
                  <w:rFonts w:ascii="Arial" w:cs="Arial" w:eastAsia="Arial" w:hAnsi="Arial"/>
                  <w:sz w:val="17"/>
                  <w:szCs w:val="17"/>
                  <w:color w:val="0000FF"/>
                </w:rPr>
                <w:t>Company’s Annual Report on Form 10-K for the fiscal year ended December 28, 2003).</w:t>
              </w:r>
            </w:hyperlink>
          </w:p>
        </w:tc>
        <w:tc>
          <w:tcPr>
            <w:tcW w:w="29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3.2</w:t>
            </w:r>
          </w:p>
        </w:tc>
        <w:tc>
          <w:tcPr>
            <w:tcW w:w="9900" w:type="dxa"/>
            <w:vAlign w:val="bottom"/>
            <w:gridSpan w:val="34"/>
          </w:tcPr>
          <w:p>
            <w:pPr>
              <w:spacing w:after="0"/>
              <w:rPr>
                <w:rFonts w:ascii="Arial" w:cs="Arial" w:eastAsia="Arial" w:hAnsi="Arial"/>
                <w:sz w:val="17"/>
                <w:szCs w:val="17"/>
                <w:color w:val="0000FF"/>
              </w:rPr>
            </w:pPr>
            <w:hyperlink r:id="rId54">
              <w:r>
                <w:rPr>
                  <w:rFonts w:ascii="Arial" w:cs="Arial" w:eastAsia="Arial" w:hAnsi="Arial"/>
                  <w:sz w:val="17"/>
                  <w:szCs w:val="17"/>
                  <w:color w:val="0000FF"/>
                </w:rPr>
                <w:t>Certificate of Amendment, effective November 29, 2013, to the Restated Certificate of Incorporation of the Company (incorporated</w:t>
              </w:r>
            </w:hyperlink>
          </w:p>
        </w:tc>
      </w:tr>
      <w:tr>
        <w:trPr>
          <w:trHeight w:val="156"/>
        </w:trPr>
        <w:tc>
          <w:tcPr>
            <w:tcW w:w="134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0"/>
          </w:tcPr>
          <w:p>
            <w:pPr>
              <w:spacing w:after="0" w:line="155" w:lineRule="exact"/>
              <w:rPr>
                <w:rFonts w:ascii="Arial" w:cs="Arial" w:eastAsia="Arial" w:hAnsi="Arial"/>
                <w:sz w:val="17"/>
                <w:szCs w:val="17"/>
                <w:color w:val="0000FF"/>
              </w:rPr>
            </w:pPr>
            <w:hyperlink r:id="rId54">
              <w:r>
                <w:rPr>
                  <w:rFonts w:ascii="Arial" w:cs="Arial" w:eastAsia="Arial" w:hAnsi="Arial"/>
                  <w:sz w:val="17"/>
                  <w:szCs w:val="17"/>
                  <w:color w:val="0000FF"/>
                </w:rPr>
                <w:t>by reference to Exhibit 3.1 to the Company’s Current Report on Form 8-K filed November 29, 2013).</w:t>
              </w:r>
            </w:hyperlink>
          </w:p>
        </w:tc>
        <w:tc>
          <w:tcPr>
            <w:tcW w:w="22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340" w:type="dxa"/>
            <w:vAlign w:val="bottom"/>
          </w:tcPr>
          <w:p>
            <w:pPr>
              <w:ind w:left="20"/>
              <w:spacing w:after="0"/>
              <w:rPr>
                <w:sz w:val="20"/>
                <w:szCs w:val="20"/>
                <w:color w:val="auto"/>
              </w:rPr>
            </w:pPr>
            <w:r>
              <w:rPr>
                <w:rFonts w:ascii="Arial" w:cs="Arial" w:eastAsia="Arial" w:hAnsi="Arial"/>
                <w:sz w:val="17"/>
                <w:szCs w:val="17"/>
                <w:color w:val="auto"/>
              </w:rPr>
              <w:t>3.3</w:t>
            </w:r>
          </w:p>
        </w:tc>
        <w:tc>
          <w:tcPr>
            <w:tcW w:w="9900" w:type="dxa"/>
            <w:vAlign w:val="bottom"/>
            <w:gridSpan w:val="34"/>
          </w:tcPr>
          <w:p>
            <w:pPr>
              <w:spacing w:after="0"/>
              <w:rPr>
                <w:rFonts w:ascii="Arial" w:cs="Arial" w:eastAsia="Arial" w:hAnsi="Arial"/>
                <w:sz w:val="17"/>
                <w:szCs w:val="17"/>
                <w:color w:val="0000FF"/>
              </w:rPr>
            </w:pPr>
            <w:hyperlink r:id="rId55">
              <w:r>
                <w:rPr>
                  <w:rFonts w:ascii="Arial" w:cs="Arial" w:eastAsia="Arial" w:hAnsi="Arial"/>
                  <w:sz w:val="17"/>
                  <w:szCs w:val="17"/>
                  <w:color w:val="0000FF"/>
                </w:rPr>
                <w:t>By-Laws of the Company as amended and restated through November 29, 2013 (incorporated by reference to Exhibit 3.2 to the</w:t>
              </w:r>
            </w:hyperlink>
          </w:p>
        </w:tc>
      </w:tr>
      <w:tr>
        <w:trPr>
          <w:trHeight w:val="156"/>
        </w:trPr>
        <w:tc>
          <w:tcPr>
            <w:tcW w:w="1340" w:type="dxa"/>
            <w:vAlign w:val="bottom"/>
          </w:tcPr>
          <w:p>
            <w:pPr>
              <w:spacing w:after="0"/>
              <w:rPr>
                <w:sz w:val="13"/>
                <w:szCs w:val="13"/>
                <w:color w:val="auto"/>
              </w:rPr>
            </w:pPr>
          </w:p>
        </w:tc>
        <w:tc>
          <w:tcPr>
            <w:tcW w:w="9680" w:type="dxa"/>
            <w:vAlign w:val="bottom"/>
            <w:tcBorders>
              <w:top w:val="single" w:sz="8" w:color="0000FF"/>
            </w:tcBorders>
            <w:gridSpan w:val="23"/>
          </w:tcPr>
          <w:p>
            <w:pPr>
              <w:spacing w:after="0" w:line="155" w:lineRule="exact"/>
              <w:rPr>
                <w:rFonts w:ascii="Arial" w:cs="Arial" w:eastAsia="Arial" w:hAnsi="Arial"/>
                <w:sz w:val="17"/>
                <w:szCs w:val="17"/>
                <w:color w:val="0000FF"/>
              </w:rPr>
            </w:pPr>
            <w:hyperlink r:id="rId55">
              <w:r>
                <w:rPr>
                  <w:rFonts w:ascii="Arial" w:cs="Arial" w:eastAsia="Arial" w:hAnsi="Arial"/>
                  <w:sz w:val="17"/>
                  <w:szCs w:val="17"/>
                  <w:color w:val="0000FF"/>
                </w:rPr>
                <w:t>Company’s Current Report on Form 8-K filed November 29,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40" w:type="dxa"/>
            <w:vAlign w:val="bottom"/>
          </w:tcPr>
          <w:p>
            <w:pPr>
              <w:ind w:left="20"/>
              <w:spacing w:after="0"/>
              <w:rPr>
                <w:sz w:val="20"/>
                <w:szCs w:val="20"/>
                <w:color w:val="auto"/>
              </w:rPr>
            </w:pPr>
            <w:r>
              <w:rPr>
                <w:rFonts w:ascii="Arial" w:cs="Arial" w:eastAsia="Arial" w:hAnsi="Arial"/>
                <w:sz w:val="17"/>
                <w:szCs w:val="17"/>
                <w:color w:val="auto"/>
              </w:rPr>
              <w:t>4.1</w:t>
            </w:r>
          </w:p>
        </w:tc>
        <w:tc>
          <w:tcPr>
            <w:tcW w:w="9900" w:type="dxa"/>
            <w:vAlign w:val="bottom"/>
            <w:gridSpan w:val="34"/>
          </w:tcPr>
          <w:p>
            <w:pPr>
              <w:spacing w:after="0"/>
              <w:rPr>
                <w:rFonts w:ascii="Arial" w:cs="Arial" w:eastAsia="Arial" w:hAnsi="Arial"/>
                <w:sz w:val="17"/>
                <w:szCs w:val="17"/>
                <w:color w:val="0000FF"/>
              </w:rPr>
            </w:pPr>
            <w:hyperlink r:id="rId56">
              <w:r>
                <w:rPr>
                  <w:rFonts w:ascii="Arial" w:cs="Arial" w:eastAsia="Arial" w:hAnsi="Arial"/>
                  <w:sz w:val="17"/>
                  <w:szCs w:val="17"/>
                  <w:color w:val="0000FF"/>
                </w:rPr>
                <w:t>Senior Notes Indenture dated as of May 30, 2018, between the Company and The Bank of New York Mellon Trust Company, N.A.,</w:t>
              </w:r>
            </w:hyperlink>
          </w:p>
        </w:tc>
      </w:tr>
      <w:tr>
        <w:trPr>
          <w:trHeight w:val="224"/>
        </w:trPr>
        <w:tc>
          <w:tcPr>
            <w:tcW w:w="1340" w:type="dxa"/>
            <w:vAlign w:val="bottom"/>
          </w:tcPr>
          <w:p>
            <w:pPr>
              <w:spacing w:after="0"/>
              <w:rPr>
                <w:sz w:val="19"/>
                <w:szCs w:val="19"/>
                <w:color w:val="auto"/>
              </w:rPr>
            </w:pPr>
          </w:p>
        </w:tc>
        <w:tc>
          <w:tcPr>
            <w:tcW w:w="9860" w:type="dxa"/>
            <w:vAlign w:val="bottom"/>
            <w:tcBorders>
              <w:top w:val="single" w:sz="8" w:color="0000FF"/>
            </w:tcBorders>
            <w:gridSpan w:val="32"/>
          </w:tcPr>
          <w:p>
            <w:pPr>
              <w:spacing w:after="0"/>
              <w:rPr>
                <w:rFonts w:ascii="Arial" w:cs="Arial" w:eastAsia="Arial" w:hAnsi="Arial"/>
                <w:sz w:val="17"/>
                <w:szCs w:val="17"/>
                <w:u w:val="single" w:color="auto"/>
                <w:color w:val="0000FF"/>
              </w:rPr>
            </w:pPr>
            <w:hyperlink r:id="rId56">
              <w:r>
                <w:rPr>
                  <w:rFonts w:ascii="Arial" w:cs="Arial" w:eastAsia="Arial" w:hAnsi="Arial"/>
                  <w:sz w:val="17"/>
                  <w:szCs w:val="17"/>
                  <w:u w:val="single" w:color="auto"/>
                  <w:color w:val="0000FF"/>
                </w:rPr>
                <w:t>as Trustee (incorporated by reference to Exhibit 4.1 to the Company’s Current Report on Form 8-K dated May 30, 2018).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1340" w:type="dxa"/>
            <w:vAlign w:val="bottom"/>
          </w:tcPr>
          <w:p>
            <w:pPr>
              <w:ind w:left="20"/>
              <w:spacing w:after="0"/>
              <w:rPr>
                <w:sz w:val="20"/>
                <w:szCs w:val="20"/>
                <w:color w:val="auto"/>
              </w:rPr>
            </w:pPr>
            <w:r>
              <w:rPr>
                <w:rFonts w:ascii="Arial" w:cs="Arial" w:eastAsia="Arial" w:hAnsi="Arial"/>
                <w:sz w:val="17"/>
                <w:szCs w:val="17"/>
                <w:color w:val="auto"/>
              </w:rPr>
              <w:t>4.2</w:t>
            </w:r>
          </w:p>
        </w:tc>
        <w:tc>
          <w:tcPr>
            <w:tcW w:w="9900" w:type="dxa"/>
            <w:vAlign w:val="bottom"/>
            <w:gridSpan w:val="34"/>
          </w:tcPr>
          <w:p>
            <w:pPr>
              <w:spacing w:after="0"/>
              <w:rPr>
                <w:rFonts w:ascii="Arial" w:cs="Arial" w:eastAsia="Arial" w:hAnsi="Arial"/>
                <w:sz w:val="17"/>
                <w:szCs w:val="17"/>
                <w:color w:val="0000FF"/>
              </w:rPr>
            </w:pPr>
            <w:hyperlink r:id="rId57">
              <w:r>
                <w:rPr>
                  <w:rFonts w:ascii="Arial" w:cs="Arial" w:eastAsia="Arial" w:hAnsi="Arial"/>
                  <w:sz w:val="17"/>
                  <w:szCs w:val="17"/>
                  <w:color w:val="0000FF"/>
                </w:rPr>
                <w:t>First Supplemental Indenture, dated as of March 24, 2020, among Graham Healthcare Group, Inc., a Delaware corporation, a</w:t>
              </w:r>
            </w:hyperlink>
          </w:p>
        </w:tc>
      </w:tr>
      <w:tr>
        <w:trPr>
          <w:trHeight w:val="142"/>
        </w:trPr>
        <w:tc>
          <w:tcPr>
            <w:tcW w:w="1340" w:type="dxa"/>
            <w:vAlign w:val="bottom"/>
          </w:tcPr>
          <w:p>
            <w:pPr>
              <w:spacing w:after="0"/>
              <w:rPr>
                <w:sz w:val="12"/>
                <w:szCs w:val="12"/>
                <w:color w:val="auto"/>
              </w:rPr>
            </w:pPr>
          </w:p>
        </w:tc>
        <w:tc>
          <w:tcPr>
            <w:tcW w:w="9480" w:type="dxa"/>
            <w:vAlign w:val="bottom"/>
            <w:tcBorders>
              <w:top w:val="single" w:sz="8" w:color="0000FF"/>
            </w:tcBorders>
            <w:gridSpan w:val="16"/>
          </w:tcPr>
          <w:p>
            <w:pPr>
              <w:spacing w:after="0" w:line="142" w:lineRule="exact"/>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subsidiary of the Company, and The Bank of New York Mellon Trust Company, N.A., as trustee (incorporated by reference to</w:t>
              </w:r>
            </w:hyperlink>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189"/>
        </w:trPr>
        <w:tc>
          <w:tcPr>
            <w:tcW w:w="1340" w:type="dxa"/>
            <w:vAlign w:val="bottom"/>
          </w:tcPr>
          <w:p>
            <w:pPr>
              <w:spacing w:after="0"/>
              <w:rPr>
                <w:sz w:val="16"/>
                <w:szCs w:val="16"/>
                <w:color w:val="auto"/>
              </w:rPr>
            </w:pPr>
          </w:p>
        </w:tc>
        <w:tc>
          <w:tcPr>
            <w:tcW w:w="9900" w:type="dxa"/>
            <w:vAlign w:val="bottom"/>
            <w:gridSpan w:val="34"/>
          </w:tcPr>
          <w:p>
            <w:pPr>
              <w:spacing w:after="0" w:line="189" w:lineRule="exact"/>
              <w:rPr>
                <w:rFonts w:ascii="Arial" w:cs="Arial" w:eastAsia="Arial" w:hAnsi="Arial"/>
                <w:sz w:val="17"/>
                <w:szCs w:val="17"/>
                <w:color w:val="0000FF"/>
              </w:rPr>
            </w:pPr>
            <w:hyperlink r:id="rId56">
              <w:r>
                <w:rPr>
                  <w:rFonts w:ascii="Arial" w:cs="Arial" w:eastAsia="Arial" w:hAnsi="Arial"/>
                  <w:sz w:val="17"/>
                  <w:szCs w:val="17"/>
                  <w:color w:val="0000FF"/>
                </w:rPr>
                <w:t xml:space="preserve">Exhibit 4.1 to the Company’s </w:t>
              </w:r>
              <w:r>
                <w:rPr>
                  <w:rFonts w:ascii="Arial" w:cs="Arial" w:eastAsia="Arial" w:hAnsi="Arial"/>
                  <w:sz w:val="17"/>
                  <w:szCs w:val="17"/>
                  <w:u w:val="single" w:color="auto"/>
                  <w:color w:val="0000FF"/>
                </w:rPr>
                <w:t>Quarterly Report on Form 10-Q for the quarter ended March 31, 2020)</w:t>
              </w:r>
            </w:hyperlink>
            <w:hyperlink r:id="rId57">
              <w:r>
                <w:rPr>
                  <w:rFonts w:ascii="Arial" w:cs="Arial" w:eastAsia="Arial" w:hAnsi="Arial"/>
                  <w:sz w:val="17"/>
                  <w:szCs w:val="17"/>
                  <w:u w:val="single" w:color="auto"/>
                  <w:color w:val="0000FF"/>
                </w:rPr>
                <w:t>.</w:t>
              </w:r>
            </w:hyperlink>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40" w:type="dxa"/>
            <w:vAlign w:val="bottom"/>
          </w:tcPr>
          <w:p>
            <w:pPr>
              <w:ind w:left="20"/>
              <w:spacing w:after="0"/>
              <w:rPr>
                <w:sz w:val="20"/>
                <w:szCs w:val="20"/>
                <w:color w:val="auto"/>
              </w:rPr>
            </w:pPr>
            <w:r>
              <w:rPr>
                <w:rFonts w:ascii="Arial" w:cs="Arial" w:eastAsia="Arial" w:hAnsi="Arial"/>
                <w:sz w:val="17"/>
                <w:szCs w:val="17"/>
                <w:color w:val="auto"/>
              </w:rPr>
              <w:t>4.3</w:t>
            </w:r>
          </w:p>
        </w:tc>
        <w:tc>
          <w:tcPr>
            <w:tcW w:w="9900" w:type="dxa"/>
            <w:vAlign w:val="bottom"/>
            <w:gridSpan w:val="34"/>
          </w:tcPr>
          <w:p>
            <w:pPr>
              <w:spacing w:after="0"/>
              <w:rPr>
                <w:rFonts w:ascii="Arial" w:cs="Arial" w:eastAsia="Arial" w:hAnsi="Arial"/>
                <w:sz w:val="17"/>
                <w:szCs w:val="17"/>
                <w:color w:val="0000FF"/>
              </w:rPr>
            </w:pPr>
            <w:hyperlink r:id="rId58">
              <w:r>
                <w:rPr>
                  <w:rFonts w:ascii="Arial" w:cs="Arial" w:eastAsia="Arial" w:hAnsi="Arial"/>
                  <w:sz w:val="17"/>
                  <w:szCs w:val="17"/>
                  <w:u w:val="single" w:color="auto"/>
                  <w:color w:val="0000FF"/>
                </w:rPr>
                <w:t>Description of the Company’s Securities (incorporated by reference to Exhibit 4.2</w:t>
              </w:r>
              <w:r>
                <w:rPr>
                  <w:rFonts w:ascii="Arial" w:cs="Arial" w:eastAsia="Arial" w:hAnsi="Arial"/>
                  <w:sz w:val="17"/>
                  <w:szCs w:val="17"/>
                  <w:color w:val="0000FF"/>
                </w:rPr>
                <w:t xml:space="preserve"> to the Company’s Annual Report on Form 10-K</w:t>
              </w:r>
            </w:hyperlink>
          </w:p>
        </w:tc>
      </w:tr>
      <w:tr>
        <w:trPr>
          <w:trHeight w:val="156"/>
        </w:trPr>
        <w:tc>
          <w:tcPr>
            <w:tcW w:w="1340" w:type="dxa"/>
            <w:vAlign w:val="bottom"/>
          </w:tcPr>
          <w:p>
            <w:pPr>
              <w:spacing w:after="0"/>
              <w:rPr>
                <w:sz w:val="13"/>
                <w:szCs w:val="13"/>
                <w:color w:val="auto"/>
              </w:rPr>
            </w:pPr>
          </w:p>
        </w:tc>
        <w:tc>
          <w:tcPr>
            <w:tcW w:w="6120" w:type="dxa"/>
            <w:vAlign w:val="bottom"/>
            <w:gridSpan w:val="7"/>
          </w:tcPr>
          <w:p>
            <w:pPr>
              <w:spacing w:after="0" w:line="155" w:lineRule="exact"/>
              <w:rPr>
                <w:rFonts w:ascii="Arial" w:cs="Arial" w:eastAsia="Arial" w:hAnsi="Arial"/>
                <w:sz w:val="17"/>
                <w:szCs w:val="17"/>
                <w:color w:val="0000FF"/>
              </w:rPr>
            </w:pPr>
            <w:hyperlink r:id="rId58">
              <w:r>
                <w:rPr>
                  <w:rFonts w:ascii="Arial" w:cs="Arial" w:eastAsia="Arial" w:hAnsi="Arial"/>
                  <w:sz w:val="17"/>
                  <w:szCs w:val="17"/>
                  <w:color w:val="0000FF"/>
                </w:rPr>
                <w:t>for the fiscal year ended December 31, 20</w:t>
              </w:r>
              <w:r>
                <w:rPr>
                  <w:rFonts w:ascii="Arial" w:cs="Arial" w:eastAsia="Arial" w:hAnsi="Arial"/>
                  <w:sz w:val="17"/>
                  <w:szCs w:val="17"/>
                  <w:u w:val="single" w:color="auto"/>
                  <w:color w:val="0000FF"/>
                </w:rPr>
                <w:t>19).</w:t>
              </w:r>
            </w:hyperlink>
          </w:p>
        </w:tc>
        <w:tc>
          <w:tcPr>
            <w:tcW w:w="1340" w:type="dxa"/>
            <w:vAlign w:val="bottom"/>
            <w:tcBorders>
              <w:top w:val="single" w:sz="8" w:color="0000FF"/>
            </w:tcBorders>
            <w:gridSpan w:val="2"/>
          </w:tcPr>
          <w:p>
            <w:pPr>
              <w:spacing w:after="0"/>
              <w:rPr>
                <w:sz w:val="13"/>
                <w:szCs w:val="13"/>
                <w:color w:val="auto"/>
              </w:rPr>
            </w:pPr>
          </w:p>
        </w:tc>
        <w:tc>
          <w:tcPr>
            <w:tcW w:w="1380" w:type="dxa"/>
            <w:vAlign w:val="bottom"/>
            <w:tcBorders>
              <w:top w:val="single" w:sz="8" w:color="0000FF"/>
            </w:tcBorders>
            <w:gridSpan w:val="2"/>
          </w:tcPr>
          <w:p>
            <w:pPr>
              <w:spacing w:after="0"/>
              <w:rPr>
                <w:sz w:val="13"/>
                <w:szCs w:val="13"/>
                <w:color w:val="auto"/>
              </w:rPr>
            </w:pPr>
          </w:p>
        </w:tc>
        <w:tc>
          <w:tcPr>
            <w:tcW w:w="34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10.1</w:t>
            </w:r>
          </w:p>
        </w:tc>
        <w:tc>
          <w:tcPr>
            <w:tcW w:w="9900" w:type="dxa"/>
            <w:vAlign w:val="bottom"/>
            <w:gridSpan w:val="34"/>
          </w:tcPr>
          <w:p>
            <w:pPr>
              <w:spacing w:after="0"/>
              <w:rPr>
                <w:rFonts w:ascii="Arial" w:cs="Arial" w:eastAsia="Arial" w:hAnsi="Arial"/>
                <w:sz w:val="17"/>
                <w:szCs w:val="17"/>
                <w:color w:val="0000FF"/>
              </w:rPr>
            </w:pPr>
            <w:hyperlink r:id="rId59">
              <w:r>
                <w:rPr>
                  <w:rFonts w:ascii="Arial" w:cs="Arial" w:eastAsia="Arial" w:hAnsi="Arial"/>
                  <w:sz w:val="17"/>
                  <w:szCs w:val="17"/>
                  <w:color w:val="0000FF"/>
                </w:rPr>
                <w:t>Amended and Restated Five Year Credit Agreement, dated as of May 30, 2018, among the Company, and the foreign borrowers</w:t>
              </w:r>
            </w:hyperlink>
          </w:p>
        </w:tc>
      </w:tr>
      <w:tr>
        <w:trPr>
          <w:trHeight w:val="155"/>
        </w:trPr>
        <w:tc>
          <w:tcPr>
            <w:tcW w:w="13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4"/>
          </w:tcPr>
          <w:p>
            <w:pPr>
              <w:spacing w:after="0" w:line="155" w:lineRule="exact"/>
              <w:rPr>
                <w:rFonts w:ascii="Arial" w:cs="Arial" w:eastAsia="Arial" w:hAnsi="Arial"/>
                <w:sz w:val="17"/>
                <w:szCs w:val="17"/>
                <w:color w:val="0000FF"/>
              </w:rPr>
            </w:pPr>
            <w:hyperlink r:id="rId59">
              <w:r>
                <w:rPr>
                  <w:rFonts w:ascii="Arial" w:cs="Arial" w:eastAsia="Arial" w:hAnsi="Arial"/>
                  <w:sz w:val="17"/>
                  <w:szCs w:val="17"/>
                  <w:color w:val="0000FF"/>
                </w:rPr>
                <w:t>from time to time party thereto, and certain of its domestic subsidiaries as guarantors, the several lenders from time to time party</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40" w:type="dxa"/>
            <w:vAlign w:val="bottom"/>
          </w:tcPr>
          <w:p>
            <w:pPr>
              <w:spacing w:after="0"/>
              <w:rPr>
                <w:sz w:val="13"/>
                <w:szCs w:val="13"/>
                <w:color w:val="auto"/>
              </w:rPr>
            </w:pPr>
          </w:p>
        </w:tc>
        <w:tc>
          <w:tcPr>
            <w:tcW w:w="9720" w:type="dxa"/>
            <w:vAlign w:val="bottom"/>
            <w:tcBorders>
              <w:bottom w:val="single" w:sz="8" w:color="0000FF"/>
            </w:tcBorders>
            <w:gridSpan w:val="25"/>
          </w:tcPr>
          <w:p>
            <w:pPr>
              <w:spacing w:after="0" w:line="155" w:lineRule="exact"/>
              <w:rPr>
                <w:rFonts w:ascii="Arial" w:cs="Arial" w:eastAsia="Arial" w:hAnsi="Arial"/>
                <w:sz w:val="17"/>
                <w:szCs w:val="17"/>
                <w:color w:val="0000FF"/>
                <w:w w:val="99"/>
              </w:rPr>
            </w:pPr>
            <w:hyperlink r:id="rId59">
              <w:r>
                <w:rPr>
                  <w:rFonts w:ascii="Arial" w:cs="Arial" w:eastAsia="Arial" w:hAnsi="Arial"/>
                  <w:sz w:val="17"/>
                  <w:szCs w:val="17"/>
                  <w:color w:val="0000FF"/>
                  <w:w w:val="99"/>
                </w:rPr>
                <w:t>thereto, Wells Fargo Bank, National Association, as Administrative Agent and JPMorgan Chase Bank, N.A., as Syndication Agent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24"/>
        </w:trPr>
        <w:tc>
          <w:tcPr>
            <w:tcW w:w="1340" w:type="dxa"/>
            <w:vAlign w:val="bottom"/>
          </w:tcPr>
          <w:p>
            <w:pPr>
              <w:spacing w:after="0"/>
              <w:rPr>
                <w:sz w:val="19"/>
                <w:szCs w:val="19"/>
                <w:color w:val="auto"/>
              </w:rPr>
            </w:pPr>
          </w:p>
        </w:tc>
        <w:tc>
          <w:tcPr>
            <w:tcW w:w="9780" w:type="dxa"/>
            <w:vAlign w:val="bottom"/>
            <w:gridSpan w:val="28"/>
          </w:tcPr>
          <w:p>
            <w:pPr>
              <w:spacing w:after="0"/>
              <w:rPr>
                <w:rFonts w:ascii="Arial" w:cs="Arial" w:eastAsia="Arial" w:hAnsi="Arial"/>
                <w:sz w:val="17"/>
                <w:szCs w:val="17"/>
                <w:u w:val="single" w:color="auto"/>
                <w:color w:val="0000FF"/>
              </w:rPr>
            </w:pPr>
            <w:hyperlink r:id="rId59">
              <w:r>
                <w:rPr>
                  <w:rFonts w:ascii="Arial" w:cs="Arial" w:eastAsia="Arial" w:hAnsi="Arial"/>
                  <w:sz w:val="17"/>
                  <w:szCs w:val="17"/>
                  <w:u w:val="single" w:color="auto"/>
                  <w:color w:val="0000FF"/>
                </w:rPr>
                <w:t>(incorporated by reference to Exhibit 4.2 to the Company’s Quarterly Report on Form 10-Q for the quarter ended June 30, 2018).</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323"/>
        </w:trPr>
        <w:tc>
          <w:tcPr>
            <w:tcW w:w="1340" w:type="dxa"/>
            <w:vAlign w:val="bottom"/>
          </w:tcPr>
          <w:p>
            <w:pPr>
              <w:ind w:left="20"/>
              <w:spacing w:after="0"/>
              <w:rPr>
                <w:sz w:val="20"/>
                <w:szCs w:val="20"/>
                <w:color w:val="auto"/>
              </w:rPr>
            </w:pPr>
            <w:r>
              <w:rPr>
                <w:rFonts w:ascii="Arial" w:cs="Arial" w:eastAsia="Arial" w:hAnsi="Arial"/>
                <w:sz w:val="17"/>
                <w:szCs w:val="17"/>
                <w:color w:val="auto"/>
              </w:rPr>
              <w:t>10.2</w:t>
            </w:r>
          </w:p>
        </w:tc>
        <w:tc>
          <w:tcPr>
            <w:tcW w:w="9240" w:type="dxa"/>
            <w:vAlign w:val="bottom"/>
            <w:tcBorders>
              <w:bottom w:val="single" w:sz="8" w:color="0000FF"/>
            </w:tcBorders>
            <w:gridSpan w:val="14"/>
          </w:tcPr>
          <w:p>
            <w:pPr>
              <w:spacing w:after="0"/>
              <w:rPr>
                <w:rFonts w:ascii="Arial" w:cs="Arial" w:eastAsia="Arial" w:hAnsi="Arial"/>
                <w:sz w:val="17"/>
                <w:szCs w:val="17"/>
                <w:color w:val="0000FF"/>
              </w:rPr>
            </w:pPr>
            <w:hyperlink r:id="rId60">
              <w:r>
                <w:rPr>
                  <w:rFonts w:ascii="Arial" w:cs="Arial" w:eastAsia="Arial" w:hAnsi="Arial"/>
                  <w:sz w:val="17"/>
                  <w:szCs w:val="17"/>
                  <w:color w:val="0000FF"/>
                </w:rPr>
                <w:t>Transition and Operations Support Agreement, dated March 22, 2018, by and among Kaplan Higher Education, LLC, Iowa</w:t>
              </w:r>
            </w:hyperlink>
          </w:p>
        </w:tc>
        <w:tc>
          <w:tcPr>
            <w:tcW w:w="660" w:type="dxa"/>
            <w:vAlign w:val="bottom"/>
            <w:gridSpan w:val="20"/>
          </w:tcPr>
          <w:p>
            <w:pPr>
              <w:spacing w:after="0"/>
              <w:rPr>
                <w:sz w:val="24"/>
                <w:szCs w:val="24"/>
                <w:color w:val="auto"/>
              </w:rPr>
            </w:pPr>
          </w:p>
        </w:tc>
      </w:tr>
      <w:tr>
        <w:trPr>
          <w:trHeight w:val="155"/>
        </w:trPr>
        <w:tc>
          <w:tcPr>
            <w:tcW w:w="1340" w:type="dxa"/>
            <w:vAlign w:val="bottom"/>
          </w:tcPr>
          <w:p>
            <w:pPr>
              <w:spacing w:after="0"/>
              <w:rPr>
                <w:sz w:val="13"/>
                <w:szCs w:val="13"/>
                <w:color w:val="auto"/>
              </w:rPr>
            </w:pPr>
          </w:p>
        </w:tc>
        <w:tc>
          <w:tcPr>
            <w:tcW w:w="9900" w:type="dxa"/>
            <w:vAlign w:val="bottom"/>
            <w:gridSpan w:val="34"/>
          </w:tcPr>
          <w:p>
            <w:pPr>
              <w:spacing w:after="0" w:line="155" w:lineRule="exact"/>
              <w:rPr>
                <w:rFonts w:ascii="Arial" w:cs="Arial" w:eastAsia="Arial" w:hAnsi="Arial"/>
                <w:sz w:val="17"/>
                <w:szCs w:val="17"/>
                <w:color w:val="0000FF"/>
              </w:rPr>
            </w:pPr>
            <w:hyperlink r:id="rId60">
              <w:r>
                <w:rPr>
                  <w:rFonts w:ascii="Arial" w:cs="Arial" w:eastAsia="Arial" w:hAnsi="Arial"/>
                  <w:sz w:val="17"/>
                  <w:szCs w:val="17"/>
                  <w:color w:val="0000FF"/>
                </w:rPr>
                <w:t>College Acquisition, LLC and Purdue University Global, Inc., with Purdue University as a party to the Transition and Operations</w:t>
              </w:r>
            </w:hyperlink>
          </w:p>
        </w:tc>
      </w:tr>
      <w:tr>
        <w:trPr>
          <w:trHeight w:val="155"/>
        </w:trPr>
        <w:tc>
          <w:tcPr>
            <w:tcW w:w="1340" w:type="dxa"/>
            <w:vAlign w:val="bottom"/>
          </w:tcPr>
          <w:p>
            <w:pPr>
              <w:spacing w:after="0"/>
              <w:rPr>
                <w:sz w:val="13"/>
                <w:szCs w:val="13"/>
                <w:color w:val="auto"/>
              </w:rPr>
            </w:pPr>
          </w:p>
        </w:tc>
        <w:tc>
          <w:tcPr>
            <w:tcW w:w="9600" w:type="dxa"/>
            <w:vAlign w:val="bottom"/>
            <w:tcBorders>
              <w:top w:val="single" w:sz="8" w:color="0000FF"/>
            </w:tcBorders>
            <w:gridSpan w:val="19"/>
          </w:tcPr>
          <w:p>
            <w:pPr>
              <w:spacing w:after="0" w:line="155" w:lineRule="exact"/>
              <w:rPr>
                <w:rFonts w:ascii="Arial" w:cs="Arial" w:eastAsia="Arial" w:hAnsi="Arial"/>
                <w:sz w:val="17"/>
                <w:szCs w:val="17"/>
                <w:color w:val="0000FF"/>
              </w:rPr>
            </w:pPr>
            <w:hyperlink r:id="rId60">
              <w:r>
                <w:rPr>
                  <w:rFonts w:ascii="Arial" w:cs="Arial" w:eastAsia="Arial" w:hAnsi="Arial"/>
                  <w:sz w:val="17"/>
                  <w:szCs w:val="17"/>
                  <w:color w:val="0000FF"/>
                </w:rPr>
                <w:t>Support Agreement solely for the purposes of being bound by the Purdue Provisions (as defined therein) (incorporated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9"/>
          </w:tcPr>
          <w:p>
            <w:pPr>
              <w:spacing w:after="0" w:line="155" w:lineRule="exact"/>
              <w:rPr>
                <w:rFonts w:ascii="Arial" w:cs="Arial" w:eastAsia="Arial" w:hAnsi="Arial"/>
                <w:sz w:val="17"/>
                <w:szCs w:val="17"/>
                <w:color w:val="0000FF"/>
              </w:rPr>
            </w:pPr>
            <w:hyperlink r:id="rId60">
              <w:r>
                <w:rPr>
                  <w:rFonts w:ascii="Arial" w:cs="Arial" w:eastAsia="Arial" w:hAnsi="Arial"/>
                  <w:sz w:val="17"/>
                  <w:szCs w:val="17"/>
                  <w:color w:val="0000FF"/>
                </w:rPr>
                <w:t>reference to Exhibit 10.1 to the Company’s Current Report on Form 8-K dated March 22, 2018).**+</w:t>
              </w:r>
            </w:hyperlink>
          </w:p>
        </w:tc>
        <w:tc>
          <w:tcPr>
            <w:tcW w:w="172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10.3</w:t>
            </w:r>
          </w:p>
        </w:tc>
        <w:tc>
          <w:tcPr>
            <w:tcW w:w="9900" w:type="dxa"/>
            <w:vAlign w:val="bottom"/>
            <w:gridSpan w:val="34"/>
          </w:tcPr>
          <w:p>
            <w:pPr>
              <w:spacing w:after="0"/>
              <w:rPr>
                <w:rFonts w:ascii="Arial" w:cs="Arial" w:eastAsia="Arial" w:hAnsi="Arial"/>
                <w:sz w:val="17"/>
                <w:szCs w:val="17"/>
                <w:color w:val="0000FF"/>
              </w:rPr>
            </w:pPr>
            <w:hyperlink r:id="rId61">
              <w:r>
                <w:rPr>
                  <w:rFonts w:ascii="Arial" w:cs="Arial" w:eastAsia="Arial" w:hAnsi="Arial"/>
                  <w:sz w:val="17"/>
                  <w:szCs w:val="17"/>
                  <w:color w:val="0000FF"/>
                </w:rPr>
                <w:t>First Amendment, dated as of July 29, 2019, to the Transition and Operations Support Agreement, dated March 22, 2018, by and</w:t>
              </w:r>
            </w:hyperlink>
          </w:p>
        </w:tc>
      </w:tr>
      <w:tr>
        <w:trPr>
          <w:trHeight w:val="155"/>
        </w:trPr>
        <w:tc>
          <w:tcPr>
            <w:tcW w:w="134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7"/>
          </w:tcPr>
          <w:p>
            <w:pPr>
              <w:spacing w:after="0" w:line="155" w:lineRule="exact"/>
              <w:rPr>
                <w:rFonts w:ascii="Arial" w:cs="Arial" w:eastAsia="Arial" w:hAnsi="Arial"/>
                <w:sz w:val="17"/>
                <w:szCs w:val="17"/>
                <w:color w:val="0000FF"/>
              </w:rPr>
            </w:pPr>
            <w:hyperlink r:id="rId61">
              <w:r>
                <w:rPr>
                  <w:rFonts w:ascii="Arial" w:cs="Arial" w:eastAsia="Arial" w:hAnsi="Arial"/>
                  <w:sz w:val="17"/>
                  <w:szCs w:val="17"/>
                  <w:color w:val="0000FF"/>
                </w:rPr>
                <w:t>among Kaplan Higher Education, LLC, Iowa College Acquisition, LLC and Purdue University Global, Inc. (the “First Amendment”),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40" w:type="dxa"/>
            <w:vAlign w:val="bottom"/>
          </w:tcPr>
          <w:p>
            <w:pPr>
              <w:spacing w:after="0"/>
              <w:rPr>
                <w:sz w:val="13"/>
                <w:szCs w:val="13"/>
                <w:color w:val="auto"/>
              </w:rPr>
            </w:pPr>
          </w:p>
        </w:tc>
        <w:tc>
          <w:tcPr>
            <w:tcW w:w="9800" w:type="dxa"/>
            <w:vAlign w:val="bottom"/>
            <w:tcBorders>
              <w:bottom w:val="single" w:sz="8" w:color="0000FF"/>
            </w:tcBorders>
            <w:gridSpan w:val="29"/>
          </w:tcPr>
          <w:p>
            <w:pPr>
              <w:spacing w:after="0" w:line="155" w:lineRule="exact"/>
              <w:rPr>
                <w:rFonts w:ascii="Arial" w:cs="Arial" w:eastAsia="Arial" w:hAnsi="Arial"/>
                <w:sz w:val="17"/>
                <w:szCs w:val="17"/>
                <w:color w:val="0000FF"/>
              </w:rPr>
            </w:pPr>
            <w:hyperlink r:id="rId61">
              <w:r>
                <w:rPr>
                  <w:rFonts w:ascii="Arial" w:cs="Arial" w:eastAsia="Arial" w:hAnsi="Arial"/>
                  <w:sz w:val="17"/>
                  <w:szCs w:val="17"/>
                  <w:color w:val="0000FF"/>
                </w:rPr>
                <w:t>with The Trustees of Purdue University as a party to the First Amendment solely for the purposes of continuing to be bound by the</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340" w:type="dxa"/>
            <w:vAlign w:val="bottom"/>
          </w:tcPr>
          <w:p>
            <w:pPr>
              <w:spacing w:after="0"/>
              <w:rPr>
                <w:sz w:val="12"/>
                <w:szCs w:val="12"/>
                <w:color w:val="auto"/>
              </w:rPr>
            </w:pPr>
          </w:p>
        </w:tc>
        <w:tc>
          <w:tcPr>
            <w:tcW w:w="9820" w:type="dxa"/>
            <w:vAlign w:val="bottom"/>
            <w:gridSpan w:val="30"/>
          </w:tcPr>
          <w:p>
            <w:pPr>
              <w:spacing w:after="0" w:line="142" w:lineRule="exact"/>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Purdue Provisions (as defined therein) (incorporated by reference to Exhibit 10.1 to the Company’s Quarterly Report on Form 10-</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31"/>
        </w:trPr>
        <w:tc>
          <w:tcPr>
            <w:tcW w:w="1340" w:type="dxa"/>
            <w:vAlign w:val="bottom"/>
          </w:tcPr>
          <w:p>
            <w:pPr>
              <w:spacing w:after="0"/>
              <w:rPr>
                <w:sz w:val="20"/>
                <w:szCs w:val="20"/>
                <w:color w:val="auto"/>
              </w:rPr>
            </w:pPr>
          </w:p>
        </w:tc>
        <w:tc>
          <w:tcPr>
            <w:tcW w:w="9900" w:type="dxa"/>
            <w:vAlign w:val="bottom"/>
            <w:gridSpan w:val="34"/>
          </w:tcPr>
          <w:p>
            <w:pPr>
              <w:spacing w:after="0"/>
              <w:rPr>
                <w:rFonts w:ascii="Arial" w:cs="Arial" w:eastAsia="Arial" w:hAnsi="Arial"/>
                <w:sz w:val="17"/>
                <w:szCs w:val="17"/>
                <w:u w:val="single" w:color="auto"/>
                <w:color w:val="0000FF"/>
              </w:rPr>
            </w:pPr>
            <w:hyperlink r:id="rId61">
              <w:r>
                <w:rPr>
                  <w:rFonts w:ascii="Arial" w:cs="Arial" w:eastAsia="Arial" w:hAnsi="Arial"/>
                  <w:sz w:val="17"/>
                  <w:szCs w:val="17"/>
                  <w:u w:val="single" w:color="auto"/>
                  <w:color w:val="0000FF"/>
                </w:rPr>
                <w:t>Q for the quarter ended September 30, 2019).+</w:t>
              </w:r>
            </w:hyperlink>
          </w:p>
        </w:tc>
      </w:tr>
      <w:tr>
        <w:trPr>
          <w:trHeight w:val="350"/>
        </w:trPr>
        <w:tc>
          <w:tcPr>
            <w:tcW w:w="1340" w:type="dxa"/>
            <w:vAlign w:val="bottom"/>
          </w:tcPr>
          <w:p>
            <w:pPr>
              <w:ind w:left="20"/>
              <w:spacing w:after="0"/>
              <w:rPr>
                <w:sz w:val="20"/>
                <w:szCs w:val="20"/>
                <w:color w:val="auto"/>
              </w:rPr>
            </w:pPr>
            <w:r>
              <w:rPr>
                <w:rFonts w:ascii="Arial" w:cs="Arial" w:eastAsia="Arial" w:hAnsi="Arial"/>
                <w:sz w:val="17"/>
                <w:szCs w:val="17"/>
                <w:color w:val="auto"/>
              </w:rPr>
              <w:t>10.4</w:t>
            </w:r>
          </w:p>
        </w:tc>
        <w:tc>
          <w:tcPr>
            <w:tcW w:w="9900" w:type="dxa"/>
            <w:vAlign w:val="bottom"/>
            <w:gridSpan w:val="34"/>
          </w:tcPr>
          <w:p>
            <w:pPr>
              <w:spacing w:after="0"/>
              <w:rPr>
                <w:rFonts w:ascii="Arial" w:cs="Arial" w:eastAsia="Arial" w:hAnsi="Arial"/>
                <w:sz w:val="17"/>
                <w:szCs w:val="17"/>
                <w:color w:val="0000FF"/>
              </w:rPr>
            </w:pPr>
            <w:hyperlink r:id="rId62">
              <w:r>
                <w:rPr>
                  <w:rFonts w:ascii="Arial" w:cs="Arial" w:eastAsia="Arial" w:hAnsi="Arial"/>
                  <w:sz w:val="17"/>
                  <w:szCs w:val="17"/>
                  <w:color w:val="0000FF"/>
                </w:rPr>
                <w:t>Graham Holdings Company 2012 Incentive Compensation Plan, as amended and restated effective November 29, 2013, as</w:t>
              </w:r>
            </w:hyperlink>
          </w:p>
        </w:tc>
      </w:tr>
      <w:tr>
        <w:trPr>
          <w:trHeight w:val="155"/>
        </w:trPr>
        <w:tc>
          <w:tcPr>
            <w:tcW w:w="134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5" w:lineRule="exact"/>
              <w:rPr>
                <w:rFonts w:ascii="Arial" w:cs="Arial" w:eastAsia="Arial" w:hAnsi="Arial"/>
                <w:sz w:val="17"/>
                <w:szCs w:val="17"/>
                <w:color w:val="0000FF"/>
                <w:w w:val="99"/>
              </w:rPr>
            </w:pPr>
            <w:hyperlink r:id="rId62">
              <w:r>
                <w:rPr>
                  <w:rFonts w:ascii="Arial" w:cs="Arial" w:eastAsia="Arial" w:hAnsi="Arial"/>
                  <w:sz w:val="17"/>
                  <w:szCs w:val="17"/>
                  <w:color w:val="0000FF"/>
                  <w:w w:val="99"/>
                </w:rPr>
                <w:t>adjusted to reflect the spin-off of Cable ONE (incorporated by reference to Exhibit 10.1 to Company’s Annual Report on Form</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17"/>
          </w:tcPr>
          <w:p>
            <w:pPr>
              <w:spacing w:after="0" w:line="155" w:lineRule="exact"/>
              <w:rPr>
                <w:rFonts w:ascii="Arial" w:cs="Arial" w:eastAsia="Arial" w:hAnsi="Arial"/>
                <w:sz w:val="17"/>
                <w:szCs w:val="17"/>
                <w:color w:val="0000FF"/>
              </w:rPr>
            </w:pPr>
            <w:hyperlink r:id="rId62">
              <w:r>
                <w:rPr>
                  <w:rFonts w:ascii="Arial" w:cs="Arial" w:eastAsia="Arial" w:hAnsi="Arial"/>
                  <w:sz w:val="17"/>
                  <w:szCs w:val="17"/>
                  <w:color w:val="0000FF"/>
                </w:rPr>
                <w:t>10-K</w:t>
              </w:r>
            </w:hyperlink>
          </w:p>
        </w:tc>
      </w:tr>
      <w:tr>
        <w:trPr>
          <w:trHeight w:val="155"/>
        </w:trPr>
        <w:tc>
          <w:tcPr>
            <w:tcW w:w="1340" w:type="dxa"/>
            <w:vAlign w:val="bottom"/>
          </w:tcPr>
          <w:p>
            <w:pPr>
              <w:spacing w:after="0"/>
              <w:rPr>
                <w:sz w:val="13"/>
                <w:szCs w:val="13"/>
                <w:color w:val="auto"/>
              </w:rPr>
            </w:pPr>
          </w:p>
        </w:tc>
        <w:tc>
          <w:tcPr>
            <w:tcW w:w="9880" w:type="dxa"/>
            <w:vAlign w:val="bottom"/>
            <w:tcBorders>
              <w:top w:val="single" w:sz="8" w:color="0000FF"/>
            </w:tcBorders>
            <w:gridSpan w:val="33"/>
          </w:tcPr>
          <w:p>
            <w:pPr>
              <w:spacing w:after="0" w:line="155" w:lineRule="exact"/>
              <w:rPr>
                <w:rFonts w:ascii="Arial" w:cs="Arial" w:eastAsia="Arial" w:hAnsi="Arial"/>
                <w:sz w:val="17"/>
                <w:szCs w:val="17"/>
                <w:color w:val="0000FF"/>
              </w:rPr>
            </w:pPr>
            <w:hyperlink r:id="rId62">
              <w:r>
                <w:rPr>
                  <w:rFonts w:ascii="Arial" w:cs="Arial" w:eastAsia="Arial" w:hAnsi="Arial"/>
                  <w:sz w:val="17"/>
                  <w:szCs w:val="17"/>
                  <w:color w:val="0000FF"/>
                </w:rPr>
                <w:t>for the fiscal year ended December 31, 2015)</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72"/>
        </w:trPr>
        <w:tc>
          <w:tcPr>
            <w:tcW w:w="1340" w:type="dxa"/>
            <w:vAlign w:val="bottom"/>
          </w:tcPr>
          <w:p>
            <w:pPr>
              <w:ind w:left="20"/>
              <w:spacing w:after="0"/>
              <w:rPr>
                <w:sz w:val="20"/>
                <w:szCs w:val="20"/>
                <w:color w:val="auto"/>
              </w:rPr>
            </w:pPr>
            <w:r>
              <w:rPr>
                <w:rFonts w:ascii="Arial" w:cs="Arial" w:eastAsia="Arial" w:hAnsi="Arial"/>
                <w:sz w:val="17"/>
                <w:szCs w:val="17"/>
                <w:color w:val="auto"/>
              </w:rPr>
              <w:t>10.5</w:t>
            </w:r>
          </w:p>
        </w:tc>
        <w:tc>
          <w:tcPr>
            <w:tcW w:w="9500" w:type="dxa"/>
            <w:vAlign w:val="bottom"/>
            <w:tcBorders>
              <w:bottom w:val="single" w:sz="8" w:color="0000FF"/>
            </w:tcBorders>
            <w:gridSpan w:val="17"/>
          </w:tcPr>
          <w:p>
            <w:pPr>
              <w:spacing w:after="0"/>
              <w:rPr>
                <w:rFonts w:ascii="Arial" w:cs="Arial" w:eastAsia="Arial" w:hAnsi="Arial"/>
                <w:sz w:val="17"/>
                <w:szCs w:val="17"/>
                <w:color w:val="0000FF"/>
              </w:rPr>
            </w:pPr>
            <w:hyperlink r:id="rId63">
              <w:r>
                <w:rPr>
                  <w:rFonts w:ascii="Arial" w:cs="Arial" w:eastAsia="Arial" w:hAnsi="Arial"/>
                  <w:sz w:val="17"/>
                  <w:szCs w:val="17"/>
                  <w:color w:val="0000FF"/>
                </w:rPr>
                <w:t>Washington Post Company Stock Option Plan as amended and restated effective May 31, 2003 (incorporated by reference to</w:t>
              </w:r>
            </w:hyperlink>
          </w:p>
        </w:tc>
        <w:tc>
          <w:tcPr>
            <w:tcW w:w="400" w:type="dxa"/>
            <w:vAlign w:val="bottom"/>
            <w:gridSpan w:val="17"/>
          </w:tcPr>
          <w:p>
            <w:pPr>
              <w:spacing w:after="0"/>
              <w:rPr>
                <w:sz w:val="24"/>
                <w:szCs w:val="24"/>
                <w:color w:val="auto"/>
              </w:rPr>
            </w:pPr>
          </w:p>
        </w:tc>
      </w:tr>
      <w:tr>
        <w:trPr>
          <w:trHeight w:val="224"/>
        </w:trPr>
        <w:tc>
          <w:tcPr>
            <w:tcW w:w="1340" w:type="dxa"/>
            <w:vAlign w:val="bottom"/>
          </w:tcPr>
          <w:p>
            <w:pPr>
              <w:spacing w:after="0"/>
              <w:rPr>
                <w:sz w:val="19"/>
                <w:szCs w:val="19"/>
                <w:color w:val="auto"/>
              </w:rPr>
            </w:pPr>
          </w:p>
        </w:tc>
        <w:tc>
          <w:tcPr>
            <w:tcW w:w="9900" w:type="dxa"/>
            <w:vAlign w:val="bottom"/>
            <w:gridSpan w:val="34"/>
          </w:tcPr>
          <w:p>
            <w:pPr>
              <w:spacing w:after="0"/>
              <w:rPr>
                <w:rFonts w:ascii="Arial" w:cs="Arial" w:eastAsia="Arial" w:hAnsi="Arial"/>
                <w:sz w:val="17"/>
                <w:szCs w:val="17"/>
                <w:color w:val="0000FF"/>
              </w:rPr>
            </w:pPr>
            <w:hyperlink r:id="rId63">
              <w:r>
                <w:rPr>
                  <w:rFonts w:ascii="Arial" w:cs="Arial" w:eastAsia="Arial" w:hAnsi="Arial"/>
                  <w:sz w:val="17"/>
                  <w:szCs w:val="17"/>
                  <w:u w:val="single" w:color="auto"/>
                  <w:color w:val="0000FF"/>
                </w:rPr>
                <w:t>Exhibit 10.1 to The Washington Post Company’s Quarterly Report on Form 10-Q for the quarter ended September 28, 2003).</w:t>
              </w:r>
              <w:r>
                <w:rPr>
                  <w:rFonts w:ascii="Arial" w:cs="Arial" w:eastAsia="Arial" w:hAnsi="Arial"/>
                  <w:sz w:val="17"/>
                  <w:szCs w:val="17"/>
                  <w:color w:val="000000"/>
                </w:rPr>
                <w:t>*</w:t>
              </w:r>
            </w:hyperlink>
          </w:p>
        </w:tc>
      </w:tr>
      <w:tr>
        <w:trPr>
          <w:trHeight w:val="323"/>
        </w:trPr>
        <w:tc>
          <w:tcPr>
            <w:tcW w:w="1340" w:type="dxa"/>
            <w:vAlign w:val="bottom"/>
          </w:tcPr>
          <w:p>
            <w:pPr>
              <w:ind w:left="20"/>
              <w:spacing w:after="0"/>
              <w:rPr>
                <w:sz w:val="20"/>
                <w:szCs w:val="20"/>
                <w:color w:val="auto"/>
              </w:rPr>
            </w:pPr>
            <w:r>
              <w:rPr>
                <w:rFonts w:ascii="Arial" w:cs="Arial" w:eastAsia="Arial" w:hAnsi="Arial"/>
                <w:sz w:val="17"/>
                <w:szCs w:val="17"/>
                <w:color w:val="auto"/>
              </w:rPr>
              <w:t>10.6</w:t>
            </w:r>
          </w:p>
        </w:tc>
        <w:tc>
          <w:tcPr>
            <w:tcW w:w="9900" w:type="dxa"/>
            <w:vAlign w:val="bottom"/>
            <w:gridSpan w:val="34"/>
          </w:tcPr>
          <w:p>
            <w:pPr>
              <w:spacing w:after="0"/>
              <w:rPr>
                <w:rFonts w:ascii="Arial" w:cs="Arial" w:eastAsia="Arial" w:hAnsi="Arial"/>
                <w:sz w:val="17"/>
                <w:szCs w:val="17"/>
                <w:color w:val="0000FF"/>
              </w:rPr>
            </w:pPr>
            <w:hyperlink r:id="rId64">
              <w:r>
                <w:rPr>
                  <w:rFonts w:ascii="Arial" w:cs="Arial" w:eastAsia="Arial" w:hAnsi="Arial"/>
                  <w:sz w:val="17"/>
                  <w:szCs w:val="17"/>
                  <w:color w:val="0000FF"/>
                </w:rPr>
                <w:t>Graham Holdings Company Supplemental Executive Retirement Plan as amended and restated effective December 10, 2013</w:t>
              </w:r>
            </w:hyperlink>
          </w:p>
        </w:tc>
      </w:tr>
      <w:tr>
        <w:trPr>
          <w:trHeight w:val="155"/>
        </w:trPr>
        <w:tc>
          <w:tcPr>
            <w:tcW w:w="1340" w:type="dxa"/>
            <w:vAlign w:val="bottom"/>
          </w:tcPr>
          <w:p>
            <w:pPr>
              <w:spacing w:after="0"/>
              <w:rPr>
                <w:sz w:val="13"/>
                <w:szCs w:val="13"/>
                <w:color w:val="auto"/>
              </w:rPr>
            </w:pPr>
          </w:p>
        </w:tc>
        <w:tc>
          <w:tcPr>
            <w:tcW w:w="9500" w:type="dxa"/>
            <w:vAlign w:val="bottom"/>
            <w:tcBorders>
              <w:top w:val="single" w:sz="8" w:color="0000FF"/>
            </w:tcBorders>
            <w:gridSpan w:val="17"/>
          </w:tcPr>
          <w:p>
            <w:pPr>
              <w:spacing w:after="0" w:line="155" w:lineRule="exact"/>
              <w:rPr>
                <w:rFonts w:ascii="Arial" w:cs="Arial" w:eastAsia="Arial" w:hAnsi="Arial"/>
                <w:sz w:val="17"/>
                <w:szCs w:val="17"/>
                <w:color w:val="0000FF"/>
              </w:rPr>
            </w:pPr>
            <w:hyperlink r:id="rId64">
              <w:r>
                <w:rPr>
                  <w:rFonts w:ascii="Arial" w:cs="Arial" w:eastAsia="Arial" w:hAnsi="Arial"/>
                  <w:sz w:val="17"/>
                  <w:szCs w:val="17"/>
                  <w:color w:val="0000FF"/>
                </w:rPr>
                <w:t>(incorporated by reference to Exhibit 10.3 to the Company’s Annual Report on Form 10-K for the fiscal year ended December</w:t>
              </w:r>
            </w:hyperlink>
          </w:p>
        </w:tc>
        <w:tc>
          <w:tcPr>
            <w:tcW w:w="400" w:type="dxa"/>
            <w:vAlign w:val="bottom"/>
            <w:gridSpan w:val="17"/>
          </w:tcPr>
          <w:p>
            <w:pPr>
              <w:jc w:val="right"/>
              <w:ind w:right="160"/>
              <w:spacing w:after="0" w:line="155" w:lineRule="exact"/>
              <w:rPr>
                <w:rFonts w:ascii="Arial" w:cs="Arial" w:eastAsia="Arial" w:hAnsi="Arial"/>
                <w:sz w:val="17"/>
                <w:szCs w:val="17"/>
                <w:color w:val="0000FF"/>
                <w:w w:val="92"/>
              </w:rPr>
            </w:pPr>
            <w:hyperlink r:id="rId64">
              <w:r>
                <w:rPr>
                  <w:rFonts w:ascii="Arial" w:cs="Arial" w:eastAsia="Arial" w:hAnsi="Arial"/>
                  <w:sz w:val="17"/>
                  <w:szCs w:val="17"/>
                  <w:color w:val="0000FF"/>
                  <w:w w:val="92"/>
                </w:rPr>
                <w:t>31,</w:t>
              </w:r>
            </w:hyperlink>
          </w:p>
        </w:tc>
      </w:tr>
      <w:tr>
        <w:trPr>
          <w:trHeight w:val="155"/>
        </w:trPr>
        <w:tc>
          <w:tcPr>
            <w:tcW w:w="1340" w:type="dxa"/>
            <w:vAlign w:val="bottom"/>
          </w:tcPr>
          <w:p>
            <w:pPr>
              <w:spacing w:after="0"/>
              <w:rPr>
                <w:sz w:val="13"/>
                <w:szCs w:val="13"/>
                <w:color w:val="auto"/>
              </w:rPr>
            </w:pPr>
          </w:p>
        </w:tc>
        <w:tc>
          <w:tcPr>
            <w:tcW w:w="2220" w:type="dxa"/>
            <w:vAlign w:val="bottom"/>
            <w:tcBorders>
              <w:top w:val="single" w:sz="8" w:color="0000FF"/>
            </w:tcBorders>
            <w:gridSpan w:val="2"/>
          </w:tcPr>
          <w:p>
            <w:pPr>
              <w:spacing w:after="0" w:line="155" w:lineRule="exact"/>
              <w:rPr>
                <w:rFonts w:ascii="Arial" w:cs="Arial" w:eastAsia="Arial" w:hAnsi="Arial"/>
                <w:sz w:val="17"/>
                <w:szCs w:val="17"/>
                <w:color w:val="0000FF"/>
              </w:rPr>
            </w:pPr>
            <w:hyperlink r:id="rId64">
              <w:r>
                <w:rPr>
                  <w:rFonts w:ascii="Arial" w:cs="Arial" w:eastAsia="Arial" w:hAnsi="Arial"/>
                  <w:sz w:val="17"/>
                  <w:szCs w:val="17"/>
                  <w:color w:val="0000FF"/>
                </w:rPr>
                <w:t>2013).</w:t>
              </w:r>
              <w:r>
                <w:rPr>
                  <w:rFonts w:ascii="Arial" w:cs="Arial" w:eastAsia="Arial" w:hAnsi="Arial"/>
                  <w:sz w:val="17"/>
                  <w:szCs w:val="17"/>
                  <w:color w:val="000000"/>
                </w:rPr>
                <w:t>*</w:t>
              </w:r>
            </w:hyperlink>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340" w:type="dxa"/>
            <w:vAlign w:val="bottom"/>
            <w:gridSpan w:val="10"/>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371"/>
        </w:trPr>
        <w:tc>
          <w:tcPr>
            <w:tcW w:w="1340" w:type="dxa"/>
            <w:vAlign w:val="bottom"/>
          </w:tcPr>
          <w:p>
            <w:pPr>
              <w:ind w:left="20"/>
              <w:spacing w:after="0"/>
              <w:rPr>
                <w:sz w:val="20"/>
                <w:szCs w:val="20"/>
                <w:color w:val="auto"/>
              </w:rPr>
            </w:pPr>
            <w:r>
              <w:rPr>
                <w:rFonts w:ascii="Arial" w:cs="Arial" w:eastAsia="Arial" w:hAnsi="Arial"/>
                <w:sz w:val="17"/>
                <w:szCs w:val="17"/>
                <w:color w:val="auto"/>
              </w:rPr>
              <w:t>10.7</w:t>
            </w:r>
          </w:p>
        </w:tc>
        <w:tc>
          <w:tcPr>
            <w:tcW w:w="9900" w:type="dxa"/>
            <w:vAlign w:val="bottom"/>
            <w:gridSpan w:val="34"/>
          </w:tcPr>
          <w:p>
            <w:pPr>
              <w:spacing w:after="0"/>
              <w:rPr>
                <w:rFonts w:ascii="Arial" w:cs="Arial" w:eastAsia="Arial" w:hAnsi="Arial"/>
                <w:sz w:val="17"/>
                <w:szCs w:val="17"/>
                <w:color w:val="0000FF"/>
              </w:rPr>
            </w:pPr>
            <w:hyperlink r:id="rId65">
              <w:r>
                <w:rPr>
                  <w:rFonts w:ascii="Arial" w:cs="Arial" w:eastAsia="Arial" w:hAnsi="Arial"/>
                  <w:sz w:val="17"/>
                  <w:szCs w:val="17"/>
                  <w:color w:val="0000FF"/>
                </w:rPr>
                <w:t>Amendment No. 1 to Graham Holdings Company Supplemental Executive Retirement Plan, effective March 31, 2014</w:t>
              </w:r>
            </w:hyperlink>
          </w:p>
        </w:tc>
      </w:tr>
      <w:tr>
        <w:trPr>
          <w:trHeight w:val="156"/>
        </w:trPr>
        <w:tc>
          <w:tcPr>
            <w:tcW w:w="1340" w:type="dxa"/>
            <w:vAlign w:val="bottom"/>
          </w:tcPr>
          <w:p>
            <w:pPr>
              <w:spacing w:after="0"/>
              <w:rPr>
                <w:sz w:val="13"/>
                <w:szCs w:val="13"/>
                <w:color w:val="auto"/>
              </w:rPr>
            </w:pPr>
          </w:p>
        </w:tc>
        <w:tc>
          <w:tcPr>
            <w:tcW w:w="8840" w:type="dxa"/>
            <w:vAlign w:val="bottom"/>
            <w:tcBorders>
              <w:top w:val="single" w:sz="8" w:color="0000FF"/>
            </w:tcBorders>
            <w:gridSpan w:val="11"/>
          </w:tcPr>
          <w:p>
            <w:pPr>
              <w:spacing w:after="0" w:line="155" w:lineRule="exact"/>
              <w:rPr>
                <w:rFonts w:ascii="Arial" w:cs="Arial" w:eastAsia="Arial" w:hAnsi="Arial"/>
                <w:sz w:val="17"/>
                <w:szCs w:val="17"/>
                <w:color w:val="0000FF"/>
              </w:rPr>
            </w:pPr>
            <w:hyperlink r:id="rId65">
              <w:r>
                <w:rPr>
                  <w:rFonts w:ascii="Arial" w:cs="Arial" w:eastAsia="Arial" w:hAnsi="Arial"/>
                  <w:sz w:val="17"/>
                  <w:szCs w:val="17"/>
                  <w:color w:val="0000FF"/>
                </w:rPr>
                <w:t>(incorporated by reference to Exhibit 10.4 to the Company’s Annual Report on Form 10-K for the fiscal year ended</w:t>
              </w:r>
            </w:hyperlink>
          </w:p>
        </w:tc>
        <w:tc>
          <w:tcPr>
            <w:tcW w:w="1060" w:type="dxa"/>
            <w:vAlign w:val="bottom"/>
            <w:gridSpan w:val="23"/>
          </w:tcPr>
          <w:p>
            <w:pPr>
              <w:jc w:val="right"/>
              <w:ind w:right="160"/>
              <w:spacing w:after="0" w:line="155" w:lineRule="exact"/>
              <w:rPr>
                <w:rFonts w:ascii="Arial" w:cs="Arial" w:eastAsia="Arial" w:hAnsi="Arial"/>
                <w:sz w:val="17"/>
                <w:szCs w:val="17"/>
                <w:color w:val="0000FF"/>
                <w:w w:val="82"/>
              </w:rPr>
            </w:pPr>
            <w:hyperlink r:id="rId65">
              <w:r>
                <w:rPr>
                  <w:rFonts w:ascii="Arial" w:cs="Arial" w:eastAsia="Arial" w:hAnsi="Arial"/>
                  <w:sz w:val="17"/>
                  <w:szCs w:val="17"/>
                  <w:color w:val="0000FF"/>
                  <w:w w:val="82"/>
                </w:rPr>
                <w:t>December 31,</w:t>
              </w:r>
            </w:hyperlink>
          </w:p>
        </w:tc>
      </w:tr>
      <w:tr>
        <w:trPr>
          <w:trHeight w:val="155"/>
        </w:trPr>
        <w:tc>
          <w:tcPr>
            <w:tcW w:w="1340" w:type="dxa"/>
            <w:vAlign w:val="bottom"/>
          </w:tcPr>
          <w:p>
            <w:pPr>
              <w:spacing w:after="0"/>
              <w:rPr>
                <w:sz w:val="13"/>
                <w:szCs w:val="13"/>
                <w:color w:val="auto"/>
              </w:rPr>
            </w:pPr>
          </w:p>
        </w:tc>
        <w:tc>
          <w:tcPr>
            <w:tcW w:w="2220" w:type="dxa"/>
            <w:vAlign w:val="bottom"/>
            <w:tcBorders>
              <w:top w:val="single" w:sz="8" w:color="0000FF"/>
            </w:tcBorders>
            <w:gridSpan w:val="2"/>
          </w:tcPr>
          <w:p>
            <w:pPr>
              <w:spacing w:after="0" w:line="155" w:lineRule="exact"/>
              <w:rPr>
                <w:rFonts w:ascii="Arial" w:cs="Arial" w:eastAsia="Arial" w:hAnsi="Arial"/>
                <w:sz w:val="17"/>
                <w:szCs w:val="17"/>
                <w:color w:val="0000FF"/>
              </w:rPr>
            </w:pPr>
            <w:hyperlink r:id="rId65">
              <w:r>
                <w:rPr>
                  <w:rFonts w:ascii="Arial" w:cs="Arial" w:eastAsia="Arial" w:hAnsi="Arial"/>
                  <w:sz w:val="17"/>
                  <w:szCs w:val="17"/>
                  <w:color w:val="0000FF"/>
                </w:rPr>
                <w:t>2014).</w:t>
              </w:r>
              <w:r>
                <w:rPr>
                  <w:rFonts w:ascii="Arial" w:cs="Arial" w:eastAsia="Arial" w:hAnsi="Arial"/>
                  <w:sz w:val="17"/>
                  <w:szCs w:val="17"/>
                  <w:color w:val="000000"/>
                </w:rPr>
                <w:t>*</w:t>
              </w:r>
            </w:hyperlink>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12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371"/>
        </w:trPr>
        <w:tc>
          <w:tcPr>
            <w:tcW w:w="1340" w:type="dxa"/>
            <w:vAlign w:val="bottom"/>
          </w:tcPr>
          <w:p>
            <w:pPr>
              <w:ind w:left="20"/>
              <w:spacing w:after="0"/>
              <w:rPr>
                <w:sz w:val="20"/>
                <w:szCs w:val="20"/>
                <w:color w:val="auto"/>
              </w:rPr>
            </w:pPr>
            <w:r>
              <w:rPr>
                <w:rFonts w:ascii="Arial" w:cs="Arial" w:eastAsia="Arial" w:hAnsi="Arial"/>
                <w:sz w:val="17"/>
                <w:szCs w:val="17"/>
                <w:color w:val="auto"/>
              </w:rPr>
              <w:t>10.8</w:t>
            </w:r>
          </w:p>
        </w:tc>
        <w:tc>
          <w:tcPr>
            <w:tcW w:w="9900" w:type="dxa"/>
            <w:vAlign w:val="bottom"/>
            <w:gridSpan w:val="34"/>
          </w:tcPr>
          <w:p>
            <w:pPr>
              <w:spacing w:after="0"/>
              <w:rPr>
                <w:rFonts w:ascii="Arial" w:cs="Arial" w:eastAsia="Arial" w:hAnsi="Arial"/>
                <w:sz w:val="17"/>
                <w:szCs w:val="17"/>
                <w:color w:val="0000FF"/>
              </w:rPr>
            </w:pPr>
            <w:hyperlink r:id="rId66">
              <w:r>
                <w:rPr>
                  <w:rFonts w:ascii="Arial" w:cs="Arial" w:eastAsia="Arial" w:hAnsi="Arial"/>
                  <w:sz w:val="17"/>
                  <w:szCs w:val="17"/>
                  <w:color w:val="0000FF"/>
                </w:rPr>
                <w:t>Graham Holdings Company Deferred Compensation Plan as amended and restated effective January 1, 2014 (incorporated by</w:t>
              </w:r>
            </w:hyperlink>
          </w:p>
        </w:tc>
      </w:tr>
      <w:tr>
        <w:trPr>
          <w:trHeight w:val="224"/>
        </w:trPr>
        <w:tc>
          <w:tcPr>
            <w:tcW w:w="1340" w:type="dxa"/>
            <w:vAlign w:val="bottom"/>
          </w:tcPr>
          <w:p>
            <w:pPr>
              <w:spacing w:after="0"/>
              <w:rPr>
                <w:sz w:val="19"/>
                <w:szCs w:val="19"/>
                <w:color w:val="auto"/>
              </w:rPr>
            </w:pPr>
          </w:p>
        </w:tc>
        <w:tc>
          <w:tcPr>
            <w:tcW w:w="9620" w:type="dxa"/>
            <w:vAlign w:val="bottom"/>
            <w:tcBorders>
              <w:top w:val="single" w:sz="8" w:color="0000FF"/>
            </w:tcBorders>
            <w:gridSpan w:val="20"/>
          </w:tcPr>
          <w:p>
            <w:pPr>
              <w:spacing w:after="0"/>
              <w:rPr>
                <w:rFonts w:ascii="Arial" w:cs="Arial" w:eastAsia="Arial" w:hAnsi="Arial"/>
                <w:sz w:val="17"/>
                <w:szCs w:val="17"/>
                <w:u w:val="single" w:color="auto"/>
                <w:color w:val="0000FF"/>
              </w:rPr>
            </w:pPr>
            <w:hyperlink r:id="rId66">
              <w:r>
                <w:rPr>
                  <w:rFonts w:ascii="Arial" w:cs="Arial" w:eastAsia="Arial" w:hAnsi="Arial"/>
                  <w:sz w:val="17"/>
                  <w:szCs w:val="17"/>
                  <w:u w:val="single" w:color="auto"/>
                  <w:color w:val="0000FF"/>
                </w:rPr>
                <w:t>reference to Exhibit 10.4 to Company’s Annual Report on Form 10-K for the fiscal year ended December 31, 2013).</w:t>
              </w:r>
              <w:r>
                <w:rPr>
                  <w:rFonts w:ascii="Arial" w:cs="Arial" w:eastAsia="Arial" w:hAnsi="Arial"/>
                  <w:sz w:val="17"/>
                  <w:szCs w:val="17"/>
                  <w:u w:val="single" w:color="auto"/>
                  <w:color w:val="000000"/>
                </w:rPr>
                <w:t>*</w:t>
              </w:r>
            </w:hyperlink>
          </w:p>
        </w:tc>
        <w:tc>
          <w:tcPr>
            <w:tcW w:w="20" w:type="dxa"/>
            <w:vAlign w:val="bottom"/>
          </w:tcPr>
          <w:p>
            <w:pPr>
              <w:spacing w:after="0"/>
              <w:rPr>
                <w:sz w:val="19"/>
                <w:szCs w:val="19"/>
                <w:color w:val="auto"/>
              </w:rPr>
            </w:pPr>
          </w:p>
        </w:tc>
        <w:tc>
          <w:tcPr>
            <w:tcW w:w="260" w:type="dxa"/>
            <w:vAlign w:val="bottom"/>
            <w:gridSpan w:val="13"/>
          </w:tcPr>
          <w:p>
            <w:pPr>
              <w:spacing w:after="0"/>
              <w:rPr>
                <w:sz w:val="19"/>
                <w:szCs w:val="19"/>
                <w:color w:val="auto"/>
              </w:rPr>
            </w:pPr>
          </w:p>
        </w:tc>
      </w:tr>
      <w:tr>
        <w:trPr>
          <w:trHeight w:val="323"/>
        </w:trPr>
        <w:tc>
          <w:tcPr>
            <w:tcW w:w="1340" w:type="dxa"/>
            <w:vAlign w:val="bottom"/>
          </w:tcPr>
          <w:p>
            <w:pPr>
              <w:ind w:left="20"/>
              <w:spacing w:after="0"/>
              <w:rPr>
                <w:sz w:val="20"/>
                <w:szCs w:val="20"/>
                <w:color w:val="auto"/>
              </w:rPr>
            </w:pPr>
            <w:r>
              <w:rPr>
                <w:rFonts w:ascii="Arial" w:cs="Arial" w:eastAsia="Arial" w:hAnsi="Arial"/>
                <w:sz w:val="17"/>
                <w:szCs w:val="17"/>
                <w:color w:val="auto"/>
              </w:rPr>
              <w:t>10.9</w:t>
            </w:r>
          </w:p>
        </w:tc>
        <w:tc>
          <w:tcPr>
            <w:tcW w:w="9900" w:type="dxa"/>
            <w:vAlign w:val="bottom"/>
            <w:gridSpan w:val="34"/>
          </w:tcPr>
          <w:p>
            <w:pPr>
              <w:spacing w:after="0"/>
              <w:rPr>
                <w:rFonts w:ascii="Arial" w:cs="Arial" w:eastAsia="Arial" w:hAnsi="Arial"/>
                <w:sz w:val="17"/>
                <w:szCs w:val="17"/>
                <w:color w:val="0000FF"/>
              </w:rPr>
            </w:pPr>
            <w:hyperlink r:id="rId67">
              <w:r>
                <w:rPr>
                  <w:rFonts w:ascii="Arial" w:cs="Arial" w:eastAsia="Arial" w:hAnsi="Arial"/>
                  <w:sz w:val="17"/>
                  <w:szCs w:val="17"/>
                  <w:color w:val="0000FF"/>
                </w:rPr>
                <w:t>Letter Agreement between the Company and Timothy J. O’Shaughnessy, dated October 20, 2014 (incorporated by reference to</w:t>
              </w:r>
            </w:hyperlink>
          </w:p>
        </w:tc>
      </w:tr>
      <w:tr>
        <w:trPr>
          <w:trHeight w:val="224"/>
        </w:trPr>
        <w:tc>
          <w:tcPr>
            <w:tcW w:w="1340" w:type="dxa"/>
            <w:vAlign w:val="bottom"/>
          </w:tcPr>
          <w:p>
            <w:pPr>
              <w:spacing w:after="0"/>
              <w:rPr>
                <w:sz w:val="19"/>
                <w:szCs w:val="19"/>
                <w:color w:val="auto"/>
              </w:rPr>
            </w:pPr>
          </w:p>
        </w:tc>
        <w:tc>
          <w:tcPr>
            <w:tcW w:w="9640" w:type="dxa"/>
            <w:vAlign w:val="bottom"/>
            <w:tcBorders>
              <w:top w:val="single" w:sz="8" w:color="0000FF"/>
            </w:tcBorders>
            <w:gridSpan w:val="21"/>
          </w:tcPr>
          <w:p>
            <w:pPr>
              <w:spacing w:after="0"/>
              <w:rPr>
                <w:rFonts w:ascii="Arial" w:cs="Arial" w:eastAsia="Arial" w:hAnsi="Arial"/>
                <w:sz w:val="17"/>
                <w:szCs w:val="17"/>
                <w:u w:val="single" w:color="auto"/>
                <w:color w:val="0000FF"/>
              </w:rPr>
            </w:pPr>
            <w:hyperlink r:id="rId67">
              <w:r>
                <w:rPr>
                  <w:rFonts w:ascii="Arial" w:cs="Arial" w:eastAsia="Arial" w:hAnsi="Arial"/>
                  <w:sz w:val="17"/>
                  <w:szCs w:val="17"/>
                  <w:u w:val="single" w:color="auto"/>
                  <w:color w:val="0000FF"/>
                </w:rPr>
                <w:t>Exhibit 10.6 to the Company’s Annual Report on Form 10-K for the fiscal year ended December 31, 2014).</w:t>
              </w:r>
              <w:r>
                <w:rPr>
                  <w:rFonts w:ascii="Arial" w:cs="Arial" w:eastAsia="Arial" w:hAnsi="Arial"/>
                  <w:sz w:val="17"/>
                  <w:szCs w:val="17"/>
                  <w:u w:val="single" w:color="auto"/>
                  <w:color w:val="000000"/>
                </w:rPr>
                <w:t>*</w:t>
              </w:r>
            </w:hyperlink>
          </w:p>
        </w:tc>
        <w:tc>
          <w:tcPr>
            <w:tcW w:w="260" w:type="dxa"/>
            <w:vAlign w:val="bottom"/>
            <w:gridSpan w:val="13"/>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1033"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41" w:name="page42"/>
    <w:bookmarkEnd w:id="41"/>
    <w:p>
      <w:pPr>
        <w:ind w:left="20"/>
        <w:spacing w:after="0"/>
        <w:tabs>
          <w:tab w:leader="none" w:pos="586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60"/>
          </w:cols>
          <w:pgMar w:left="320" w:top="1096" w:right="519" w:bottom="1440" w:gutter="0" w:footer="0" w:header="0"/>
        </w:sect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auto"/>
              </w:rPr>
              <w:t>10.10</w:t>
            </w:r>
          </w:p>
        </w:tc>
        <w:tc>
          <w:tcPr>
            <w:tcW w:w="9720" w:type="dxa"/>
            <w:vAlign w:val="bottom"/>
            <w:gridSpan w:val="9"/>
          </w:tcPr>
          <w:p>
            <w:pPr>
              <w:spacing w:after="0"/>
              <w:rPr>
                <w:rFonts w:ascii="Arial" w:cs="Arial" w:eastAsia="Arial" w:hAnsi="Arial"/>
                <w:sz w:val="17"/>
                <w:szCs w:val="17"/>
                <w:color w:val="0000FF"/>
              </w:rPr>
            </w:pPr>
            <w:hyperlink r:id="rId70">
              <w:r>
                <w:rPr>
                  <w:rFonts w:ascii="Arial" w:cs="Arial" w:eastAsia="Arial" w:hAnsi="Arial"/>
                  <w:sz w:val="17"/>
                  <w:szCs w:val="17"/>
                  <w:color w:val="0000FF"/>
                </w:rPr>
                <w:t>Letter Agreement between the Company and Andrew S. Rosen, dated April 7, 2014 (incorporated by reference to Exhibit 10.1 to</w:t>
              </w:r>
            </w:hyperlink>
          </w:p>
        </w:tc>
      </w:tr>
      <w:tr>
        <w:trPr>
          <w:trHeight w:val="155"/>
        </w:trPr>
        <w:tc>
          <w:tcPr>
            <w:tcW w:w="132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4"/>
          </w:tcPr>
          <w:p>
            <w:pPr>
              <w:spacing w:after="0" w:line="155" w:lineRule="exact"/>
              <w:rPr>
                <w:rFonts w:ascii="Arial" w:cs="Arial" w:eastAsia="Arial" w:hAnsi="Arial"/>
                <w:sz w:val="17"/>
                <w:szCs w:val="17"/>
                <w:color w:val="0000FF"/>
              </w:rPr>
            </w:pPr>
            <w:hyperlink r:id="rId70">
              <w:r>
                <w:rPr>
                  <w:rFonts w:ascii="Arial" w:cs="Arial" w:eastAsia="Arial" w:hAnsi="Arial"/>
                  <w:sz w:val="17"/>
                  <w:szCs w:val="17"/>
                  <w:color w:val="0000FF"/>
                </w:rPr>
                <w:t>the Company’s Quarterly Report on Form 10-Q for the quarter ended March 31, 2015).*</w:t>
              </w:r>
            </w:hyperlink>
          </w:p>
        </w:tc>
        <w:tc>
          <w:tcPr>
            <w:tcW w:w="30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372"/>
        </w:trPr>
        <w:tc>
          <w:tcPr>
            <w:tcW w:w="1320" w:type="dxa"/>
            <w:vAlign w:val="bottom"/>
          </w:tcPr>
          <w:p>
            <w:pPr>
              <w:spacing w:after="0"/>
              <w:rPr>
                <w:sz w:val="20"/>
                <w:szCs w:val="20"/>
                <w:color w:val="auto"/>
              </w:rPr>
            </w:pPr>
            <w:r>
              <w:rPr>
                <w:rFonts w:ascii="Arial" w:cs="Arial" w:eastAsia="Arial" w:hAnsi="Arial"/>
                <w:sz w:val="17"/>
                <w:szCs w:val="17"/>
                <w:color w:val="auto"/>
              </w:rPr>
              <w:t>10.11</w:t>
            </w:r>
          </w:p>
        </w:tc>
        <w:tc>
          <w:tcPr>
            <w:tcW w:w="9720" w:type="dxa"/>
            <w:vAlign w:val="bottom"/>
            <w:tcBorders>
              <w:bottom w:val="single" w:sz="8" w:color="0000FF"/>
            </w:tcBorders>
            <w:gridSpan w:val="9"/>
          </w:tcPr>
          <w:p>
            <w:pPr>
              <w:spacing w:after="0"/>
              <w:rPr>
                <w:rFonts w:ascii="Arial" w:cs="Arial" w:eastAsia="Arial" w:hAnsi="Arial"/>
                <w:sz w:val="17"/>
                <w:szCs w:val="17"/>
                <w:color w:val="0000FF"/>
              </w:rPr>
            </w:pPr>
            <w:hyperlink r:id="rId71">
              <w:r>
                <w:rPr>
                  <w:rFonts w:ascii="Arial" w:cs="Arial" w:eastAsia="Arial" w:hAnsi="Arial"/>
                  <w:sz w:val="17"/>
                  <w:szCs w:val="17"/>
                  <w:color w:val="0000FF"/>
                </w:rPr>
                <w:t>Letter Agreement between the Company and Jacob M. Maas, dated August 24, 2015 (incorporated by reference to Exhibit 10.10</w:t>
              </w:r>
            </w:hyperlink>
          </w:p>
        </w:tc>
      </w:tr>
      <w:tr>
        <w:trPr>
          <w:trHeight w:val="156"/>
        </w:trPr>
        <w:tc>
          <w:tcPr>
            <w:tcW w:w="1320" w:type="dxa"/>
            <w:vAlign w:val="bottom"/>
          </w:tcPr>
          <w:p>
            <w:pPr>
              <w:spacing w:after="0"/>
              <w:rPr>
                <w:sz w:val="13"/>
                <w:szCs w:val="13"/>
                <w:color w:val="auto"/>
              </w:rPr>
            </w:pPr>
          </w:p>
        </w:tc>
        <w:tc>
          <w:tcPr>
            <w:tcW w:w="7160" w:type="dxa"/>
            <w:vAlign w:val="bottom"/>
            <w:tcBorders>
              <w:bottom w:val="single" w:sz="8" w:color="0000FF"/>
            </w:tcBorders>
            <w:gridSpan w:val="6"/>
          </w:tcPr>
          <w:p>
            <w:pPr>
              <w:spacing w:after="0" w:line="155" w:lineRule="exact"/>
              <w:rPr>
                <w:rFonts w:ascii="Arial" w:cs="Arial" w:eastAsia="Arial" w:hAnsi="Arial"/>
                <w:sz w:val="17"/>
                <w:szCs w:val="17"/>
                <w:color w:val="0000FF"/>
              </w:rPr>
            </w:pPr>
            <w:hyperlink r:id="rId71">
              <w:r>
                <w:rPr>
                  <w:rFonts w:ascii="Arial" w:cs="Arial" w:eastAsia="Arial" w:hAnsi="Arial"/>
                  <w:sz w:val="17"/>
                  <w:szCs w:val="17"/>
                  <w:color w:val="0000FF"/>
                </w:rPr>
                <w:t>to the Company’s Annual Report on Form 10-K for the fiscal year ended December 31, 2018).*</w:t>
              </w:r>
            </w:hyperlink>
          </w:p>
        </w:tc>
        <w:tc>
          <w:tcPr>
            <w:tcW w:w="2560" w:type="dxa"/>
            <w:vAlign w:val="bottom"/>
            <w:gridSpan w:val="3"/>
          </w:tcPr>
          <w:p>
            <w:pPr>
              <w:spacing w:after="0"/>
              <w:rPr>
                <w:sz w:val="13"/>
                <w:szCs w:val="13"/>
                <w:color w:val="auto"/>
              </w:rPr>
            </w:pPr>
          </w:p>
        </w:tc>
      </w:tr>
      <w:tr>
        <w:trPr>
          <w:trHeight w:val="371"/>
        </w:trPr>
        <w:tc>
          <w:tcPr>
            <w:tcW w:w="1320" w:type="dxa"/>
            <w:vAlign w:val="bottom"/>
          </w:tcPr>
          <w:p>
            <w:pPr>
              <w:spacing w:after="0"/>
              <w:rPr>
                <w:sz w:val="20"/>
                <w:szCs w:val="20"/>
                <w:color w:val="auto"/>
              </w:rPr>
            </w:pPr>
            <w:r>
              <w:rPr>
                <w:rFonts w:ascii="Arial" w:cs="Arial" w:eastAsia="Arial" w:hAnsi="Arial"/>
                <w:sz w:val="17"/>
                <w:szCs w:val="17"/>
                <w:color w:val="auto"/>
              </w:rPr>
              <w:t>10.12</w:t>
            </w:r>
          </w:p>
        </w:tc>
        <w:tc>
          <w:tcPr>
            <w:tcW w:w="9720" w:type="dxa"/>
            <w:vAlign w:val="bottom"/>
            <w:gridSpan w:val="9"/>
          </w:tcPr>
          <w:p>
            <w:pPr>
              <w:spacing w:after="0"/>
              <w:rPr>
                <w:rFonts w:ascii="Arial" w:cs="Arial" w:eastAsia="Arial" w:hAnsi="Arial"/>
                <w:sz w:val="17"/>
                <w:szCs w:val="17"/>
                <w:color w:val="0000FF"/>
              </w:rPr>
            </w:pPr>
            <w:hyperlink r:id="rId72">
              <w:r>
                <w:rPr>
                  <w:rFonts w:ascii="Arial" w:cs="Arial" w:eastAsia="Arial" w:hAnsi="Arial"/>
                  <w:sz w:val="17"/>
                  <w:szCs w:val="17"/>
                  <w:u w:val="single" w:color="auto"/>
                  <w:color w:val="0000FF"/>
                </w:rPr>
                <w:t>Consulting Agreement</w:t>
              </w:r>
              <w:r>
                <w:rPr>
                  <w:rFonts w:ascii="Arial" w:cs="Arial" w:eastAsia="Arial" w:hAnsi="Arial"/>
                  <w:sz w:val="17"/>
                  <w:szCs w:val="17"/>
                  <w:color w:val="0000FF"/>
                </w:rPr>
                <w:t xml:space="preserve"> between the </w:t>
              </w:r>
              <w:r>
                <w:rPr>
                  <w:rFonts w:ascii="Arial" w:cs="Arial" w:eastAsia="Arial" w:hAnsi="Arial"/>
                  <w:sz w:val="17"/>
                  <w:szCs w:val="17"/>
                  <w:u w:val="single" w:color="auto"/>
                  <w:color w:val="0000FF"/>
                </w:rPr>
                <w:t>Company and Denise Demeter, dated December 15, 2020</w:t>
              </w:r>
              <w:r>
                <w:rPr>
                  <w:rFonts w:ascii="Arial" w:cs="Arial" w:eastAsia="Arial" w:hAnsi="Arial"/>
                  <w:sz w:val="17"/>
                  <w:szCs w:val="17"/>
                  <w:color w:val="0000FF"/>
                </w:rPr>
                <w:t xml:space="preserve"> (incorporated by reference to</w:t>
              </w:r>
            </w:hyperlink>
          </w:p>
        </w:tc>
      </w:tr>
      <w:tr>
        <w:trPr>
          <w:trHeight w:val="20"/>
        </w:trPr>
        <w:tc>
          <w:tcPr>
            <w:tcW w:w="1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9720" w:type="dxa"/>
            <w:vAlign w:val="bottom"/>
            <w:gridSpan w:val="9"/>
          </w:tcPr>
          <w:p>
            <w:pPr>
              <w:spacing w:after="0" w:line="155" w:lineRule="exact"/>
              <w:rPr>
                <w:rFonts w:ascii="Arial" w:cs="Arial" w:eastAsia="Arial" w:hAnsi="Arial"/>
                <w:sz w:val="17"/>
                <w:szCs w:val="17"/>
                <w:color w:val="0000FF"/>
              </w:rPr>
            </w:pPr>
            <w:hyperlink r:id="rId72">
              <w:r>
                <w:rPr>
                  <w:rFonts w:ascii="Arial" w:cs="Arial" w:eastAsia="Arial" w:hAnsi="Arial"/>
                  <w:sz w:val="17"/>
                  <w:szCs w:val="17"/>
                  <w:color w:val="0000FF"/>
                </w:rPr>
                <w:t xml:space="preserve">Exhibit 10.1 to the Company’s Current Report on Form 8-K filed on December 16, </w:t>
              </w:r>
              <w:r>
                <w:rPr>
                  <w:rFonts w:ascii="Arial" w:cs="Arial" w:eastAsia="Arial" w:hAnsi="Arial"/>
                  <w:sz w:val="17"/>
                  <w:szCs w:val="17"/>
                  <w:u w:val="single" w:color="auto"/>
                  <w:color w:val="0000FF"/>
                </w:rPr>
                <w:t>2020).*</w:t>
              </w:r>
            </w:hyperlink>
          </w:p>
        </w:tc>
      </w:tr>
      <w:tr>
        <w:trPr>
          <w:trHeight w:val="20"/>
        </w:trPr>
        <w:tc>
          <w:tcPr>
            <w:tcW w:w="13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40" w:hanging="1314"/>
        <w:spacing w:after="0"/>
        <w:tabs>
          <w:tab w:leader="none" w:pos="1340" w:val="left"/>
        </w:tabs>
        <w:numPr>
          <w:ilvl w:val="0"/>
          <w:numId w:val="40"/>
        </w:numPr>
        <w:rPr>
          <w:rFonts w:ascii="Arial" w:cs="Arial" w:eastAsia="Arial" w:hAnsi="Arial"/>
          <w:sz w:val="17"/>
          <w:szCs w:val="17"/>
          <w:u w:val="single" w:color="auto"/>
          <w:color w:val="0000FF"/>
        </w:rPr>
      </w:pPr>
      <w:hyperlink w:anchor="page125">
        <w:r>
          <w:rPr>
            <w:rFonts w:ascii="Arial" w:cs="Arial" w:eastAsia="Arial" w:hAnsi="Arial"/>
            <w:sz w:val="17"/>
            <w:szCs w:val="17"/>
            <w:u w:val="single" w:color="auto"/>
            <w:color w:val="0000FF"/>
          </w:rPr>
          <w:t>List of subsidiaries of the Company.</w:t>
        </w:r>
      </w:hyperlink>
    </w:p>
    <w:p>
      <w:pPr>
        <w:spacing w:after="0" w:line="196" w:lineRule="exact"/>
        <w:rPr>
          <w:sz w:val="20"/>
          <w:szCs w:val="20"/>
          <w:color w:val="auto"/>
        </w:rPr>
      </w:pPr>
    </w:p>
    <w:p>
      <w:pPr>
        <w:ind w:left="1340" w:hanging="1314"/>
        <w:spacing w:after="0"/>
        <w:tabs>
          <w:tab w:leader="none" w:pos="1340" w:val="left"/>
        </w:tabs>
        <w:numPr>
          <w:ilvl w:val="0"/>
          <w:numId w:val="41"/>
        </w:numPr>
        <w:rPr>
          <w:rFonts w:ascii="Arial" w:cs="Arial" w:eastAsia="Arial" w:hAnsi="Arial"/>
          <w:sz w:val="17"/>
          <w:szCs w:val="17"/>
          <w:u w:val="single" w:color="auto"/>
          <w:color w:val="0000FF"/>
        </w:rPr>
      </w:pPr>
      <w:hyperlink w:anchor="page131">
        <w:r>
          <w:rPr>
            <w:rFonts w:ascii="Arial" w:cs="Arial" w:eastAsia="Arial" w:hAnsi="Arial"/>
            <w:sz w:val="17"/>
            <w:szCs w:val="17"/>
            <w:u w:val="single" w:color="auto"/>
            <w:color w:val="0000FF"/>
          </w:rPr>
          <w:t>Consent of independent registered public accounting firm.</w:t>
        </w:r>
      </w:hyperlink>
    </w:p>
    <w:p>
      <w:pPr>
        <w:spacing w:after="0" w:line="196" w:lineRule="exact"/>
        <w:rPr>
          <w:rFonts w:ascii="Arial" w:cs="Arial" w:eastAsia="Arial" w:hAnsi="Arial"/>
          <w:sz w:val="17"/>
          <w:szCs w:val="17"/>
          <w:u w:val="single" w:color="auto"/>
          <w:color w:val="0000FF"/>
        </w:rPr>
      </w:pPr>
    </w:p>
    <w:p>
      <w:pPr>
        <w:ind w:left="1340" w:hanging="1314"/>
        <w:spacing w:after="0"/>
        <w:tabs>
          <w:tab w:leader="none" w:pos="1340" w:val="left"/>
        </w:tabs>
        <w:numPr>
          <w:ilvl w:val="0"/>
          <w:numId w:val="41"/>
        </w:numPr>
        <w:rPr>
          <w:rFonts w:ascii="Arial" w:cs="Arial" w:eastAsia="Arial" w:hAnsi="Arial"/>
          <w:sz w:val="17"/>
          <w:szCs w:val="17"/>
          <w:u w:val="single" w:color="auto"/>
          <w:color w:val="0000FF"/>
        </w:rPr>
      </w:pPr>
      <w:hyperlink w:anchor="page132">
        <w:r>
          <w:rPr>
            <w:rFonts w:ascii="Arial" w:cs="Arial" w:eastAsia="Arial" w:hAnsi="Arial"/>
            <w:sz w:val="17"/>
            <w:szCs w:val="17"/>
            <w:u w:val="single" w:color="auto"/>
            <w:color w:val="0000FF"/>
          </w:rPr>
          <w:t>Power of Attorney dated January 23, 2020.</w:t>
        </w:r>
      </w:hyperlink>
    </w:p>
    <w:p>
      <w:pPr>
        <w:spacing w:after="0" w:line="196" w:lineRule="exact"/>
        <w:rPr>
          <w:rFonts w:ascii="Arial" w:cs="Arial" w:eastAsia="Arial" w:hAnsi="Arial"/>
          <w:sz w:val="17"/>
          <w:szCs w:val="17"/>
          <w:color w:val="auto"/>
        </w:rPr>
      </w:pPr>
    </w:p>
    <w:tbl>
      <w:tblPr>
        <w:tblLayout w:type="fixed"/>
        <w:tblInd w:w="20" w:type="dxa"/>
        <w:tblCellMar>
          <w:top w:w="0" w:type="dxa"/>
          <w:left w:w="0" w:type="dxa"/>
          <w:bottom w:w="0" w:type="dxa"/>
          <w:right w:w="0" w:type="dxa"/>
        </w:tblCellMar>
      </w:tblPr>
      <w:tr>
        <w:trPr>
          <w:trHeight w:val="231"/>
        </w:trPr>
        <w:tc>
          <w:tcPr>
            <w:tcW w:w="840" w:type="dxa"/>
            <w:vAlign w:val="bottom"/>
          </w:tcPr>
          <w:p>
            <w:pPr>
              <w:jc w:val="right"/>
              <w:ind w:right="415"/>
              <w:spacing w:after="0"/>
              <w:rPr>
                <w:sz w:val="20"/>
                <w:szCs w:val="20"/>
                <w:color w:val="auto"/>
              </w:rPr>
            </w:pPr>
            <w:r>
              <w:rPr>
                <w:rFonts w:ascii="Arial" w:cs="Arial" w:eastAsia="Arial" w:hAnsi="Arial"/>
                <w:sz w:val="17"/>
                <w:szCs w:val="17"/>
                <w:color w:val="auto"/>
                <w:w w:val="96"/>
              </w:rPr>
              <w:t>31.1</w:t>
            </w:r>
          </w:p>
        </w:tc>
        <w:tc>
          <w:tcPr>
            <w:tcW w:w="2440" w:type="dxa"/>
            <w:vAlign w:val="bottom"/>
          </w:tcPr>
          <w:p>
            <w:pPr>
              <w:ind w:left="480"/>
              <w:spacing w:after="0"/>
              <w:rPr>
                <w:rFonts w:ascii="Arial" w:cs="Arial" w:eastAsia="Arial" w:hAnsi="Arial"/>
                <w:sz w:val="17"/>
                <w:szCs w:val="17"/>
                <w:u w:val="single" w:color="auto"/>
                <w:color w:val="0000FF"/>
              </w:rPr>
            </w:pPr>
            <w:hyperlink w:anchor="page133">
              <w:r>
                <w:rPr>
                  <w:rFonts w:ascii="Arial" w:cs="Arial" w:eastAsia="Arial" w:hAnsi="Arial"/>
                  <w:sz w:val="17"/>
                  <w:szCs w:val="17"/>
                  <w:u w:val="single" w:color="auto"/>
                  <w:color w:val="0000FF"/>
                </w:rPr>
                <w:t>Rule 13a-14(a)/15d-14(a)</w:t>
              </w:r>
            </w:hyperlink>
          </w:p>
        </w:tc>
        <w:tc>
          <w:tcPr>
            <w:tcW w:w="3220" w:type="dxa"/>
            <w:vAlign w:val="bottom"/>
          </w:tcPr>
          <w:p>
            <w:pPr>
              <w:ind w:left="20"/>
              <w:spacing w:after="0"/>
              <w:rPr>
                <w:rFonts w:ascii="Arial" w:cs="Arial" w:eastAsia="Arial" w:hAnsi="Arial"/>
                <w:sz w:val="17"/>
                <w:szCs w:val="17"/>
                <w:color w:val="0000FF"/>
                <w:w w:val="99"/>
              </w:rPr>
            </w:pPr>
            <w:hyperlink w:anchor="page133">
              <w:r>
                <w:rPr>
                  <w:rFonts w:ascii="Arial" w:cs="Arial" w:eastAsia="Arial" w:hAnsi="Arial"/>
                  <w:sz w:val="17"/>
                  <w:szCs w:val="17"/>
                  <w:u w:val="single" w:color="auto"/>
                  <w:color w:val="0000FF"/>
                  <w:w w:val="99"/>
                </w:rPr>
                <w:t>Certification of the Chief Executive Officer</w:t>
              </w:r>
              <w:r>
                <w:rPr>
                  <w:rFonts w:ascii="Arial" w:cs="Arial" w:eastAsia="Arial" w:hAnsi="Arial"/>
                  <w:sz w:val="17"/>
                  <w:szCs w:val="17"/>
                  <w:color w:val="0000FF"/>
                  <w:w w:val="99"/>
                </w:rPr>
                <w:t>.</w:t>
              </w:r>
            </w:hyperlink>
          </w:p>
        </w:tc>
      </w:tr>
      <w:tr>
        <w:trPr>
          <w:trHeight w:val="392"/>
        </w:trPr>
        <w:tc>
          <w:tcPr>
            <w:tcW w:w="840" w:type="dxa"/>
            <w:vAlign w:val="bottom"/>
          </w:tcPr>
          <w:p>
            <w:pPr>
              <w:jc w:val="right"/>
              <w:ind w:right="415"/>
              <w:spacing w:after="0"/>
              <w:rPr>
                <w:sz w:val="20"/>
                <w:szCs w:val="20"/>
                <w:color w:val="auto"/>
              </w:rPr>
            </w:pPr>
            <w:r>
              <w:rPr>
                <w:rFonts w:ascii="Arial" w:cs="Arial" w:eastAsia="Arial" w:hAnsi="Arial"/>
                <w:sz w:val="17"/>
                <w:szCs w:val="17"/>
                <w:color w:val="auto"/>
                <w:w w:val="96"/>
              </w:rPr>
              <w:t>31.2</w:t>
            </w:r>
          </w:p>
        </w:tc>
        <w:tc>
          <w:tcPr>
            <w:tcW w:w="2440" w:type="dxa"/>
            <w:vAlign w:val="bottom"/>
          </w:tcPr>
          <w:p>
            <w:pPr>
              <w:ind w:left="480"/>
              <w:spacing w:after="0"/>
              <w:rPr>
                <w:rFonts w:ascii="Arial" w:cs="Arial" w:eastAsia="Arial" w:hAnsi="Arial"/>
                <w:sz w:val="17"/>
                <w:szCs w:val="17"/>
                <w:u w:val="single" w:color="auto"/>
                <w:color w:val="0000FF"/>
              </w:rPr>
            </w:pPr>
            <w:hyperlink w:anchor="page134">
              <w:r>
                <w:rPr>
                  <w:rFonts w:ascii="Arial" w:cs="Arial" w:eastAsia="Arial" w:hAnsi="Arial"/>
                  <w:sz w:val="17"/>
                  <w:szCs w:val="17"/>
                  <w:u w:val="single" w:color="auto"/>
                  <w:color w:val="0000FF"/>
                </w:rPr>
                <w:t>Rule 13a-14(a)/15d-14(a)</w:t>
              </w:r>
            </w:hyperlink>
          </w:p>
        </w:tc>
        <w:tc>
          <w:tcPr>
            <w:tcW w:w="3220" w:type="dxa"/>
            <w:vAlign w:val="bottom"/>
          </w:tcPr>
          <w:p>
            <w:pPr>
              <w:ind w:left="20"/>
              <w:spacing w:after="0"/>
              <w:rPr>
                <w:rFonts w:ascii="Arial" w:cs="Arial" w:eastAsia="Arial" w:hAnsi="Arial"/>
                <w:sz w:val="17"/>
                <w:szCs w:val="17"/>
                <w:u w:val="single" w:color="auto"/>
                <w:color w:val="0000FF"/>
              </w:rPr>
            </w:pPr>
            <w:hyperlink w:anchor="page134">
              <w:r>
                <w:rPr>
                  <w:rFonts w:ascii="Arial" w:cs="Arial" w:eastAsia="Arial" w:hAnsi="Arial"/>
                  <w:sz w:val="17"/>
                  <w:szCs w:val="17"/>
                  <w:u w:val="single" w:color="auto"/>
                  <w:color w:val="0000FF"/>
                </w:rPr>
                <w:t>Certification of the Chief Financial Officer.</w:t>
              </w:r>
            </w:hyperlink>
          </w:p>
        </w:tc>
      </w:tr>
    </w:tbl>
    <w:p>
      <w:pPr>
        <w:spacing w:after="0" w:line="161" w:lineRule="exact"/>
        <w:rPr>
          <w:sz w:val="20"/>
          <w:szCs w:val="20"/>
          <w:color w:val="auto"/>
        </w:rPr>
      </w:pPr>
    </w:p>
    <w:p>
      <w:pPr>
        <w:ind w:left="1340" w:hanging="1314"/>
        <w:spacing w:after="0"/>
        <w:tabs>
          <w:tab w:leader="none" w:pos="1340" w:val="left"/>
        </w:tabs>
        <w:numPr>
          <w:ilvl w:val="0"/>
          <w:numId w:val="42"/>
        </w:numPr>
        <w:rPr>
          <w:rFonts w:ascii="Arial" w:cs="Arial" w:eastAsia="Arial" w:hAnsi="Arial"/>
          <w:sz w:val="17"/>
          <w:szCs w:val="17"/>
          <w:u w:val="single" w:color="auto"/>
          <w:color w:val="0000FF"/>
        </w:rPr>
      </w:pPr>
      <w:hyperlink w:anchor="page135">
        <w:r>
          <w:rPr>
            <w:rFonts w:ascii="Arial" w:cs="Arial" w:eastAsia="Arial" w:hAnsi="Arial"/>
            <w:sz w:val="17"/>
            <w:szCs w:val="17"/>
            <w:u w:val="single" w:color="auto"/>
            <w:color w:val="0000FF"/>
          </w:rPr>
          <w:t>Section 1350 Certification of the Chief Executive Officer and the Chief Financial Officer.</w:t>
        </w:r>
      </w:hyperlink>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101.INS</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Instance Document - the instance document does not appear in the Interactive Data File because its XBRL tags are</w:t>
            </w:r>
          </w:p>
        </w:tc>
      </w:tr>
      <w:tr>
        <w:trPr>
          <w:trHeight w:val="228"/>
        </w:trPr>
        <w:tc>
          <w:tcPr>
            <w:tcW w:w="1020" w:type="dxa"/>
            <w:vAlign w:val="bottom"/>
          </w:tcPr>
          <w:p>
            <w:pPr>
              <w:spacing w:after="0"/>
              <w:rPr>
                <w:sz w:val="19"/>
                <w:szCs w:val="19"/>
                <w:color w:val="auto"/>
              </w:rPr>
            </w:pPr>
          </w:p>
        </w:tc>
        <w:tc>
          <w:tcPr>
            <w:tcW w:w="9980" w:type="dxa"/>
            <w:vAlign w:val="bottom"/>
          </w:tcPr>
          <w:p>
            <w:pPr>
              <w:ind w:left="300"/>
              <w:spacing w:after="0"/>
              <w:rPr>
                <w:sz w:val="20"/>
                <w:szCs w:val="20"/>
                <w:color w:val="auto"/>
              </w:rPr>
            </w:pPr>
            <w:r>
              <w:rPr>
                <w:rFonts w:ascii="Arial" w:cs="Arial" w:eastAsia="Arial" w:hAnsi="Arial"/>
                <w:sz w:val="17"/>
                <w:szCs w:val="17"/>
                <w:color w:val="auto"/>
              </w:rPr>
              <w:t>embedded within the Inline XBRL document</w:t>
            </w:r>
          </w:p>
        </w:tc>
      </w:tr>
      <w:tr>
        <w:trPr>
          <w:trHeight w:val="229"/>
        </w:trPr>
        <w:tc>
          <w:tcPr>
            <w:tcW w:w="1020" w:type="dxa"/>
            <w:vAlign w:val="bottom"/>
          </w:tcPr>
          <w:p>
            <w:pPr>
              <w:spacing w:after="0"/>
              <w:rPr>
                <w:sz w:val="20"/>
                <w:szCs w:val="20"/>
                <w:color w:val="auto"/>
              </w:rPr>
            </w:pPr>
            <w:r>
              <w:rPr>
                <w:rFonts w:ascii="Arial" w:cs="Arial" w:eastAsia="Arial" w:hAnsi="Arial"/>
                <w:sz w:val="17"/>
                <w:szCs w:val="17"/>
                <w:color w:val="auto"/>
              </w:rPr>
              <w:t>101.SCH</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Schema Document</w:t>
            </w:r>
          </w:p>
        </w:tc>
      </w:tr>
      <w:tr>
        <w:trPr>
          <w:trHeight w:val="229"/>
        </w:trPr>
        <w:tc>
          <w:tcPr>
            <w:tcW w:w="1020" w:type="dxa"/>
            <w:vAlign w:val="bottom"/>
          </w:tcPr>
          <w:p>
            <w:pPr>
              <w:spacing w:after="0"/>
              <w:rPr>
                <w:sz w:val="20"/>
                <w:szCs w:val="20"/>
                <w:color w:val="auto"/>
              </w:rPr>
            </w:pPr>
            <w:r>
              <w:rPr>
                <w:rFonts w:ascii="Arial" w:cs="Arial" w:eastAsia="Arial" w:hAnsi="Arial"/>
                <w:sz w:val="17"/>
                <w:szCs w:val="17"/>
                <w:color w:val="auto"/>
              </w:rPr>
              <w:t>101.CAL</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101.DEF</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29"/>
        </w:trPr>
        <w:tc>
          <w:tcPr>
            <w:tcW w:w="1020" w:type="dxa"/>
            <w:vAlign w:val="bottom"/>
          </w:tcPr>
          <w:p>
            <w:pPr>
              <w:spacing w:after="0"/>
              <w:rPr>
                <w:sz w:val="20"/>
                <w:szCs w:val="20"/>
                <w:color w:val="auto"/>
              </w:rPr>
            </w:pPr>
            <w:r>
              <w:rPr>
                <w:rFonts w:ascii="Arial" w:cs="Arial" w:eastAsia="Arial" w:hAnsi="Arial"/>
                <w:sz w:val="17"/>
                <w:szCs w:val="17"/>
                <w:color w:val="auto"/>
              </w:rPr>
              <w:t>101.LAB</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30"/>
        </w:trPr>
        <w:tc>
          <w:tcPr>
            <w:tcW w:w="1020" w:type="dxa"/>
            <w:vAlign w:val="bottom"/>
          </w:tcPr>
          <w:p>
            <w:pPr>
              <w:spacing w:after="0"/>
              <w:rPr>
                <w:sz w:val="20"/>
                <w:szCs w:val="20"/>
                <w:color w:val="auto"/>
              </w:rPr>
            </w:pPr>
            <w:r>
              <w:rPr>
                <w:rFonts w:ascii="Arial" w:cs="Arial" w:eastAsia="Arial" w:hAnsi="Arial"/>
                <w:sz w:val="17"/>
                <w:szCs w:val="17"/>
                <w:color w:val="auto"/>
              </w:rPr>
              <w:t>101.PRE</w:t>
            </w:r>
          </w:p>
        </w:tc>
        <w:tc>
          <w:tcPr>
            <w:tcW w:w="9980" w:type="dxa"/>
            <w:vAlign w:val="bottom"/>
          </w:tcPr>
          <w:p>
            <w:pPr>
              <w:ind w:left="30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31"/>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9980" w:type="dxa"/>
            <w:vAlign w:val="bottom"/>
          </w:tcPr>
          <w:p>
            <w:pPr>
              <w:ind w:left="300"/>
              <w:spacing w:after="0"/>
              <w:rPr>
                <w:sz w:val="20"/>
                <w:szCs w:val="20"/>
                <w:color w:val="auto"/>
              </w:rPr>
            </w:pPr>
            <w:r>
              <w:rPr>
                <w:rFonts w:ascii="Arial" w:cs="Arial" w:eastAsia="Arial" w:hAnsi="Arial"/>
                <w:sz w:val="17"/>
                <w:szCs w:val="17"/>
                <w:color w:val="auto"/>
              </w:rPr>
              <w:t>Cover Page Interactive Data File, formatted in Inline XBRL and included as Exhibit 101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*A management contract or compensatory plan or arrangement required to be included as an exhibit hereto pursuant to Item 15(b) of Form 10-K.</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**Graham Holdings Company hereby undertakes to furnish supplementally a copy of any omitted exhibit or schedule to such agreement to the SEC upon request.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 Select portions of this exhibit have been omitted pursuant to a request for confidential treatment and have been filed separately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96" w:right="519" w:bottom="1440" w:gutter="0" w:footer="0" w:header="0"/>
          <w:type w:val="continuous"/>
        </w:sectPr>
      </w:pPr>
    </w:p>
    <w:bookmarkStart w:id="42" w:name="page43"/>
    <w:bookmarkEnd w:id="42"/>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2021.</w:t>
      </w:r>
    </w:p>
    <w:p>
      <w:pPr>
        <w:spacing w:after="0" w:line="200" w:lineRule="exact"/>
        <w:rPr>
          <w:sz w:val="20"/>
          <w:szCs w:val="20"/>
          <w:color w:val="auto"/>
        </w:rPr>
      </w:pPr>
    </w:p>
    <w:p>
      <w:pPr>
        <w:spacing w:after="0" w:line="297"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650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28575</wp:posOffset>
            </wp:positionV>
            <wp:extent cx="2743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0"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Wallace R. Cooney</w:t>
      </w:r>
    </w:p>
    <w:p>
      <w:pPr>
        <w:spacing w:after="0" w:line="36" w:lineRule="exact"/>
        <w:rPr>
          <w:sz w:val="20"/>
          <w:szCs w:val="20"/>
          <w:color w:val="auto"/>
        </w:rPr>
      </w:pPr>
    </w:p>
    <w:p>
      <w:pPr>
        <w:jc w:val="center"/>
        <w:ind w:left="6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24, 2021:</w:t>
      </w:r>
    </w:p>
    <w:p>
      <w:pPr>
        <w:spacing w:after="0" w:line="384"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Timothy J. O’Shaughnessy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President, Chief Executive Officer</w:t>
            </w:r>
          </w:p>
        </w:tc>
      </w:tr>
      <w:tr>
        <w:trPr>
          <w:trHeight w:val="189"/>
        </w:trPr>
        <w:tc>
          <w:tcPr>
            <w:tcW w:w="3140" w:type="dxa"/>
            <w:vAlign w:val="bottom"/>
          </w:tcPr>
          <w:p>
            <w:pPr>
              <w:spacing w:after="0"/>
              <w:rPr>
                <w:sz w:val="16"/>
                <w:szCs w:val="16"/>
                <w:color w:val="auto"/>
              </w:rPr>
            </w:pPr>
          </w:p>
        </w:tc>
        <w:tc>
          <w:tcPr>
            <w:tcW w:w="3660" w:type="dxa"/>
            <w:vAlign w:val="bottom"/>
          </w:tcPr>
          <w:p>
            <w:pPr>
              <w:ind w:left="1060"/>
              <w:spacing w:after="0" w:line="189" w:lineRule="exact"/>
              <w:rPr>
                <w:sz w:val="20"/>
                <w:szCs w:val="20"/>
                <w:color w:val="auto"/>
              </w:rPr>
            </w:pPr>
            <w:r>
              <w:rPr>
                <w:rFonts w:ascii="Arial" w:cs="Arial" w:eastAsia="Arial" w:hAnsi="Arial"/>
                <w:sz w:val="18"/>
                <w:szCs w:val="18"/>
                <w:color w:val="auto"/>
              </w:rPr>
              <w:t>(Principal Executive Officer) and</w:t>
            </w:r>
          </w:p>
        </w:tc>
      </w:tr>
      <w:tr>
        <w:trPr>
          <w:trHeight w:val="243"/>
        </w:trPr>
        <w:tc>
          <w:tcPr>
            <w:tcW w:w="3140" w:type="dxa"/>
            <w:vAlign w:val="bottom"/>
          </w:tcPr>
          <w:p>
            <w:pPr>
              <w:spacing w:after="0"/>
              <w:rPr>
                <w:sz w:val="21"/>
                <w:szCs w:val="21"/>
                <w:color w:val="auto"/>
              </w:rPr>
            </w:pP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351"/>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Wallace R. Cooney</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Chief Financial Officer</w:t>
            </w:r>
          </w:p>
        </w:tc>
      </w:tr>
      <w:tr>
        <w:trPr>
          <w:trHeight w:val="243"/>
        </w:trPr>
        <w:tc>
          <w:tcPr>
            <w:tcW w:w="3140" w:type="dxa"/>
            <w:vAlign w:val="bottom"/>
          </w:tcPr>
          <w:p>
            <w:pPr>
              <w:spacing w:after="0"/>
              <w:rPr>
                <w:sz w:val="21"/>
                <w:szCs w:val="21"/>
                <w:color w:val="auto"/>
              </w:rPr>
            </w:pP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Financial Officer)</w:t>
            </w:r>
          </w:p>
        </w:tc>
      </w:tr>
      <w:tr>
        <w:trPr>
          <w:trHeight w:val="405"/>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Marcel A. Snyman</w:t>
            </w:r>
          </w:p>
        </w:tc>
        <w:tc>
          <w:tcPr>
            <w:tcW w:w="3660" w:type="dxa"/>
            <w:vAlign w:val="bottom"/>
          </w:tcPr>
          <w:p>
            <w:pPr>
              <w:jc w:val="center"/>
              <w:ind w:left="890"/>
              <w:spacing w:after="0"/>
              <w:rPr>
                <w:sz w:val="20"/>
                <w:szCs w:val="20"/>
                <w:color w:val="auto"/>
              </w:rPr>
            </w:pPr>
            <w:r>
              <w:rPr>
                <w:rFonts w:ascii="Arial" w:cs="Arial" w:eastAsia="Arial" w:hAnsi="Arial"/>
                <w:sz w:val="18"/>
                <w:szCs w:val="18"/>
                <w:color w:val="auto"/>
                <w:w w:val="99"/>
              </w:rPr>
              <w:t>Principal Accounting Officer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Donald E. Graham</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rPr>
              <w:t>Chairman of the Board</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Lee C. Bollinger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Christopher C. Davis</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Thomas S. Gayner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Jack A. Markell</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rPr>
              <w:t>Anne M. Mulcahy</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910"/>
              <w:spacing w:after="0"/>
              <w:rPr>
                <w:sz w:val="20"/>
                <w:szCs w:val="20"/>
                <w:color w:val="auto"/>
              </w:rPr>
            </w:pPr>
            <w:r>
              <w:rPr>
                <w:rFonts w:ascii="Arial" w:cs="Arial" w:eastAsia="Arial" w:hAnsi="Arial"/>
                <w:sz w:val="18"/>
                <w:szCs w:val="18"/>
                <w:color w:val="auto"/>
                <w:w w:val="99"/>
              </w:rPr>
              <w:t>Larry D. Thompson</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8"/>
              </w:rPr>
              <w:t>G. Richard Wagoner, Jr.</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r>
        <w:trPr>
          <w:trHeight w:val="243"/>
        </w:trPr>
        <w:tc>
          <w:tcPr>
            <w:tcW w:w="3140" w:type="dxa"/>
            <w:vAlign w:val="bottom"/>
          </w:tcPr>
          <w:p>
            <w:pPr>
              <w:jc w:val="center"/>
              <w:ind w:right="890"/>
              <w:spacing w:after="0"/>
              <w:rPr>
                <w:sz w:val="20"/>
                <w:szCs w:val="20"/>
                <w:color w:val="auto"/>
              </w:rPr>
            </w:pPr>
            <w:r>
              <w:rPr>
                <w:rFonts w:ascii="Arial" w:cs="Arial" w:eastAsia="Arial" w:hAnsi="Arial"/>
                <w:sz w:val="18"/>
                <w:szCs w:val="18"/>
                <w:color w:val="auto"/>
                <w:w w:val="99"/>
              </w:rPr>
              <w:t>Katharine Weymouth</w:t>
            </w:r>
          </w:p>
        </w:tc>
        <w:tc>
          <w:tcPr>
            <w:tcW w:w="3660" w:type="dxa"/>
            <w:vAlign w:val="bottom"/>
          </w:tcPr>
          <w:p>
            <w:pPr>
              <w:jc w:val="center"/>
              <w:ind w:left="910"/>
              <w:spacing w:after="0"/>
              <w:rPr>
                <w:sz w:val="20"/>
                <w:szCs w:val="20"/>
                <w:color w:val="auto"/>
              </w:rPr>
            </w:pPr>
            <w:r>
              <w:rPr>
                <w:rFonts w:ascii="Arial" w:cs="Arial" w:eastAsia="Arial" w:hAnsi="Arial"/>
                <w:sz w:val="18"/>
                <w:szCs w:val="18"/>
                <w:color w:val="auto"/>
                <w:w w:val="98"/>
              </w:rPr>
              <w:t>Director</w:t>
            </w:r>
          </w:p>
        </w:tc>
      </w:tr>
    </w:tbl>
    <w:p>
      <w:pPr>
        <w:spacing w:after="0" w:line="200" w:lineRule="exact"/>
        <w:rPr>
          <w:sz w:val="20"/>
          <w:szCs w:val="20"/>
          <w:color w:val="auto"/>
        </w:rPr>
      </w:pPr>
    </w:p>
    <w:p>
      <w:pPr>
        <w:spacing w:after="0" w:line="246" w:lineRule="exact"/>
        <w:rPr>
          <w:sz w:val="20"/>
          <w:szCs w:val="20"/>
          <w:color w:val="auto"/>
        </w:rPr>
      </w:pPr>
    </w:p>
    <w:tbl>
      <w:tblPr>
        <w:tblLayout w:type="fixed"/>
        <w:tblInd w:w="6480" w:type="dxa"/>
        <w:tblCellMar>
          <w:top w:w="0" w:type="dxa"/>
          <w:left w:w="0" w:type="dxa"/>
          <w:bottom w:w="0" w:type="dxa"/>
          <w:right w:w="0" w:type="dxa"/>
        </w:tblCellMar>
      </w:tblPr>
      <w:tr>
        <w:trPr>
          <w:trHeight w:val="28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2"/>
        </w:trPr>
        <w:tc>
          <w:tcPr>
            <w:tcW w:w="4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43"/>
        </w:trPr>
        <w:tc>
          <w:tcPr>
            <w:tcW w:w="420" w:type="dxa"/>
            <w:vAlign w:val="bottom"/>
          </w:tcPr>
          <w:p>
            <w:pPr>
              <w:spacing w:after="0"/>
              <w:rPr>
                <w:sz w:val="21"/>
                <w:szCs w:val="21"/>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00" w:lineRule="exact"/>
        <w:rPr>
          <w:sz w:val="20"/>
          <w:szCs w:val="20"/>
          <w:color w:val="auto"/>
        </w:rPr>
      </w:pPr>
    </w:p>
    <w:p>
      <w:pPr>
        <w:spacing w:after="0" w:line="21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46"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00" w:lineRule="exact"/>
        <w:rPr>
          <w:sz w:val="20"/>
          <w:szCs w:val="20"/>
          <w:color w:val="auto"/>
        </w:rPr>
      </w:pP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972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1420" w:type="dxa"/>
            <w:vAlign w:val="bottom"/>
          </w:tcPr>
          <w:p>
            <w:pPr>
              <w:jc w:val="right"/>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43</w:t>
              </w:r>
            </w:hyperlink>
          </w:p>
        </w:tc>
      </w:tr>
      <w:tr>
        <w:trPr>
          <w:trHeight w:val="392"/>
        </w:trPr>
        <w:tc>
          <w:tcPr>
            <w:tcW w:w="9720" w:type="dxa"/>
            <w:vAlign w:val="bottom"/>
          </w:tcPr>
          <w:p>
            <w:pPr>
              <w:spacing w:after="0"/>
              <w:rPr>
                <w:sz w:val="20"/>
                <w:szCs w:val="20"/>
                <w:color w:val="auto"/>
              </w:rPr>
            </w:pPr>
            <w:r>
              <w:rPr>
                <w:rFonts w:ascii="Arial" w:cs="Arial" w:eastAsia="Arial" w:hAnsi="Arial"/>
                <w:sz w:val="16"/>
                <w:szCs w:val="16"/>
                <w:color w:val="auto"/>
              </w:rPr>
              <w:t>Financial Statements:</w:t>
            </w:r>
          </w:p>
        </w:tc>
        <w:tc>
          <w:tcPr>
            <w:tcW w:w="1420" w:type="dxa"/>
            <w:vAlign w:val="bottom"/>
          </w:tcPr>
          <w:p>
            <w:pPr>
              <w:spacing w:after="0"/>
              <w:rPr>
                <w:sz w:val="24"/>
                <w:szCs w:val="24"/>
                <w:color w:val="auto"/>
              </w:rPr>
            </w:pPr>
          </w:p>
        </w:tc>
      </w:tr>
      <w:tr>
        <w:trPr>
          <w:trHeight w:val="324"/>
        </w:trPr>
        <w:tc>
          <w:tcPr>
            <w:tcW w:w="9720" w:type="dxa"/>
            <w:vAlign w:val="bottom"/>
          </w:tcPr>
          <w:p>
            <w:pPr>
              <w:ind w:left="100"/>
              <w:spacing w:after="0"/>
              <w:rPr>
                <w:sz w:val="20"/>
                <w:szCs w:val="20"/>
                <w:color w:val="auto"/>
              </w:rPr>
            </w:pPr>
            <w:r>
              <w:rPr>
                <w:rFonts w:ascii="Arial" w:cs="Arial" w:eastAsia="Arial" w:hAnsi="Arial"/>
                <w:sz w:val="16"/>
                <w:szCs w:val="16"/>
                <w:color w:val="auto"/>
              </w:rPr>
              <w:t>Report of Independent Registered Public Accounting Firm</w:t>
            </w:r>
          </w:p>
        </w:tc>
        <w:tc>
          <w:tcPr>
            <w:tcW w:w="1420" w:type="dxa"/>
            <w:vAlign w:val="bottom"/>
          </w:tcPr>
          <w:p>
            <w:pPr>
              <w:jc w:val="right"/>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66</w:t>
              </w:r>
            </w:hyperlink>
          </w:p>
        </w:tc>
      </w:tr>
      <w:tr>
        <w:trPr>
          <w:trHeight w:val="392"/>
        </w:trPr>
        <w:tc>
          <w:tcPr>
            <w:tcW w:w="9720" w:type="dxa"/>
            <w:vAlign w:val="bottom"/>
          </w:tcPr>
          <w:p>
            <w:pPr>
              <w:ind w:left="100"/>
              <w:spacing w:after="0"/>
              <w:rPr>
                <w:sz w:val="20"/>
                <w:szCs w:val="20"/>
                <w:color w:val="auto"/>
              </w:rPr>
            </w:pPr>
            <w:r>
              <w:rPr>
                <w:rFonts w:ascii="Arial" w:cs="Arial" w:eastAsia="Arial" w:hAnsi="Arial"/>
                <w:sz w:val="16"/>
                <w:szCs w:val="16"/>
                <w:color w:val="auto"/>
              </w:rPr>
              <w:t>Consolidated Statements of Operations for the Three Years Ended December 31, 2020</w:t>
            </w:r>
          </w:p>
        </w:tc>
        <w:tc>
          <w:tcPr>
            <w:tcW w:w="1420" w:type="dxa"/>
            <w:vAlign w:val="bottom"/>
          </w:tcPr>
          <w:p>
            <w:pPr>
              <w:jc w:val="right"/>
              <w:spacing w:after="0"/>
              <w:rPr>
                <w:rFonts w:ascii="Arial" w:cs="Arial" w:eastAsia="Arial" w:hAnsi="Arial"/>
                <w:sz w:val="16"/>
                <w:szCs w:val="16"/>
                <w:u w:val="single" w:color="auto"/>
                <w:color w:val="0000FF"/>
              </w:rPr>
            </w:pPr>
            <w:hyperlink w:anchor="page69">
              <w:r>
                <w:rPr>
                  <w:rFonts w:ascii="Arial" w:cs="Arial" w:eastAsia="Arial" w:hAnsi="Arial"/>
                  <w:sz w:val="16"/>
                  <w:szCs w:val="16"/>
                  <w:u w:val="single" w:color="auto"/>
                  <w:color w:val="0000FF"/>
                </w:rPr>
                <w:t>68</w:t>
              </w:r>
            </w:hyperlink>
          </w:p>
        </w:tc>
      </w:tr>
      <w:tr>
        <w:trPr>
          <w:trHeight w:val="391"/>
        </w:trPr>
        <w:tc>
          <w:tcPr>
            <w:tcW w:w="9720" w:type="dxa"/>
            <w:vAlign w:val="bottom"/>
          </w:tcPr>
          <w:p>
            <w:pPr>
              <w:ind w:left="100"/>
              <w:spacing w:after="0"/>
              <w:rPr>
                <w:sz w:val="20"/>
                <w:szCs w:val="20"/>
                <w:color w:val="auto"/>
              </w:rPr>
            </w:pPr>
            <w:r>
              <w:rPr>
                <w:rFonts w:ascii="Arial" w:cs="Arial" w:eastAsia="Arial" w:hAnsi="Arial"/>
                <w:sz w:val="16"/>
                <w:szCs w:val="16"/>
                <w:color w:val="auto"/>
              </w:rPr>
              <w:t>Consolidated Statements of Comprehensive Income (Loss) for the Three Years Ended December 31, 2020</w:t>
            </w:r>
          </w:p>
        </w:tc>
        <w:tc>
          <w:tcPr>
            <w:tcW w:w="1420" w:type="dxa"/>
            <w:vAlign w:val="bottom"/>
          </w:tcPr>
          <w:p>
            <w:pPr>
              <w:jc w:val="right"/>
              <w:spacing w:after="0"/>
              <w:rPr>
                <w:rFonts w:ascii="Arial" w:cs="Arial" w:eastAsia="Arial" w:hAnsi="Arial"/>
                <w:sz w:val="16"/>
                <w:szCs w:val="16"/>
                <w:u w:val="single" w:color="auto"/>
                <w:color w:val="0000FF"/>
              </w:rPr>
            </w:pPr>
            <w:hyperlink w:anchor="page70">
              <w:r>
                <w:rPr>
                  <w:rFonts w:ascii="Arial" w:cs="Arial" w:eastAsia="Arial" w:hAnsi="Arial"/>
                  <w:sz w:val="16"/>
                  <w:szCs w:val="16"/>
                  <w:u w:val="single" w:color="auto"/>
                  <w:color w:val="0000FF"/>
                </w:rPr>
                <w:t>69</w:t>
              </w:r>
            </w:hyperlink>
          </w:p>
        </w:tc>
      </w:tr>
      <w:tr>
        <w:trPr>
          <w:trHeight w:val="392"/>
        </w:trPr>
        <w:tc>
          <w:tcPr>
            <w:tcW w:w="9720" w:type="dxa"/>
            <w:vAlign w:val="bottom"/>
          </w:tcPr>
          <w:p>
            <w:pPr>
              <w:ind w:left="100"/>
              <w:spacing w:after="0"/>
              <w:rPr>
                <w:sz w:val="20"/>
                <w:szCs w:val="20"/>
                <w:color w:val="auto"/>
              </w:rPr>
            </w:pPr>
            <w:r>
              <w:rPr>
                <w:rFonts w:ascii="Arial" w:cs="Arial" w:eastAsia="Arial" w:hAnsi="Arial"/>
                <w:sz w:val="16"/>
                <w:szCs w:val="16"/>
                <w:color w:val="auto"/>
              </w:rPr>
              <w:t>Consolidated Balance Sheets at December 31, 2020 and 2019</w:t>
            </w:r>
          </w:p>
        </w:tc>
        <w:tc>
          <w:tcPr>
            <w:tcW w:w="1420" w:type="dxa"/>
            <w:vAlign w:val="bottom"/>
          </w:tcPr>
          <w:p>
            <w:pPr>
              <w:jc w:val="right"/>
              <w:spacing w:after="0"/>
              <w:rPr>
                <w:rFonts w:ascii="Arial" w:cs="Arial" w:eastAsia="Arial" w:hAnsi="Arial"/>
                <w:sz w:val="16"/>
                <w:szCs w:val="16"/>
                <w:u w:val="single" w:color="auto"/>
                <w:color w:val="0000FF"/>
              </w:rPr>
            </w:pPr>
            <w:hyperlink w:anchor="page71">
              <w:r>
                <w:rPr>
                  <w:rFonts w:ascii="Arial" w:cs="Arial" w:eastAsia="Arial" w:hAnsi="Arial"/>
                  <w:sz w:val="16"/>
                  <w:szCs w:val="16"/>
                  <w:u w:val="single" w:color="auto"/>
                  <w:color w:val="0000FF"/>
                </w:rPr>
                <w:t>70</w:t>
              </w:r>
            </w:hyperlink>
          </w:p>
        </w:tc>
      </w:tr>
      <w:tr>
        <w:trPr>
          <w:trHeight w:val="392"/>
        </w:trPr>
        <w:tc>
          <w:tcPr>
            <w:tcW w:w="9720" w:type="dxa"/>
            <w:vAlign w:val="bottom"/>
          </w:tcPr>
          <w:p>
            <w:pPr>
              <w:ind w:left="100"/>
              <w:spacing w:after="0"/>
              <w:rPr>
                <w:sz w:val="20"/>
                <w:szCs w:val="20"/>
                <w:color w:val="auto"/>
              </w:rPr>
            </w:pPr>
            <w:r>
              <w:rPr>
                <w:rFonts w:ascii="Arial" w:cs="Arial" w:eastAsia="Arial" w:hAnsi="Arial"/>
                <w:sz w:val="16"/>
                <w:szCs w:val="16"/>
                <w:color w:val="auto"/>
              </w:rPr>
              <w:t>Consolidated Statements of Cash Flows for the Three Years Ended December 31, 2020</w:t>
            </w:r>
          </w:p>
        </w:tc>
        <w:tc>
          <w:tcPr>
            <w:tcW w:w="1420" w:type="dxa"/>
            <w:vAlign w:val="bottom"/>
          </w:tcPr>
          <w:p>
            <w:pPr>
              <w:jc w:val="right"/>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71</w:t>
              </w:r>
            </w:hyperlink>
          </w:p>
        </w:tc>
      </w:tr>
      <w:tr>
        <w:trPr>
          <w:trHeight w:val="392"/>
        </w:trPr>
        <w:tc>
          <w:tcPr>
            <w:tcW w:w="9720" w:type="dxa"/>
            <w:vAlign w:val="bottom"/>
          </w:tcPr>
          <w:p>
            <w:pPr>
              <w:ind w:left="10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2020</w:t>
            </w:r>
          </w:p>
        </w:tc>
        <w:tc>
          <w:tcPr>
            <w:tcW w:w="1420" w:type="dxa"/>
            <w:vAlign w:val="bottom"/>
          </w:tcPr>
          <w:p>
            <w:pPr>
              <w:jc w:val="right"/>
              <w:spacing w:after="0"/>
              <w:rPr>
                <w:rFonts w:ascii="Arial" w:cs="Arial" w:eastAsia="Arial" w:hAnsi="Arial"/>
                <w:sz w:val="16"/>
                <w:szCs w:val="16"/>
                <w:u w:val="single" w:color="auto"/>
                <w:color w:val="0000FF"/>
              </w:rPr>
            </w:pPr>
            <w:hyperlink w:anchor="page73">
              <w:r>
                <w:rPr>
                  <w:rFonts w:ascii="Arial" w:cs="Arial" w:eastAsia="Arial" w:hAnsi="Arial"/>
                  <w:sz w:val="16"/>
                  <w:szCs w:val="16"/>
                  <w:u w:val="single" w:color="auto"/>
                  <w:color w:val="0000FF"/>
                </w:rPr>
                <w:t>72</w:t>
              </w:r>
            </w:hyperlink>
          </w:p>
        </w:tc>
      </w:tr>
      <w:tr>
        <w:trPr>
          <w:trHeight w:val="391"/>
        </w:trPr>
        <w:tc>
          <w:tcPr>
            <w:tcW w:w="9720" w:type="dxa"/>
            <w:vAlign w:val="bottom"/>
          </w:tcPr>
          <w:p>
            <w:pPr>
              <w:ind w:left="100"/>
              <w:spacing w:after="0"/>
              <w:rPr>
                <w:sz w:val="20"/>
                <w:szCs w:val="20"/>
                <w:color w:val="auto"/>
              </w:rPr>
            </w:pPr>
            <w:r>
              <w:rPr>
                <w:rFonts w:ascii="Arial" w:cs="Arial" w:eastAsia="Arial" w:hAnsi="Arial"/>
                <w:sz w:val="16"/>
                <w:szCs w:val="16"/>
                <w:color w:val="auto"/>
              </w:rPr>
              <w:t>Notes to Consolidated Financial Statements</w:t>
            </w:r>
          </w:p>
        </w:tc>
        <w:tc>
          <w:tcPr>
            <w:tcW w:w="1420" w:type="dxa"/>
            <w:vAlign w:val="bottom"/>
          </w:tcPr>
          <w:p>
            <w:pPr>
              <w:jc w:val="right"/>
              <w:spacing w:after="0"/>
              <w:rPr>
                <w:rFonts w:ascii="Arial" w:cs="Arial" w:eastAsia="Arial" w:hAnsi="Arial"/>
                <w:sz w:val="16"/>
                <w:szCs w:val="16"/>
                <w:u w:val="single" w:color="auto"/>
                <w:color w:val="0000FF"/>
              </w:rPr>
            </w:pPr>
            <w:hyperlink w:anchor="page74">
              <w:r>
                <w:rPr>
                  <w:rFonts w:ascii="Arial" w:cs="Arial" w:eastAsia="Arial" w:hAnsi="Arial"/>
                  <w:sz w:val="16"/>
                  <w:szCs w:val="16"/>
                  <w:u w:val="single" w:color="auto"/>
                  <w:color w:val="0000FF"/>
                </w:rPr>
                <w:t>73</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Organization and Nature of Operations</w:t>
            </w:r>
          </w:p>
        </w:tc>
        <w:tc>
          <w:tcPr>
            <w:tcW w:w="1420" w:type="dxa"/>
            <w:vAlign w:val="bottom"/>
          </w:tcPr>
          <w:p>
            <w:pPr>
              <w:jc w:val="right"/>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73</w:t>
              </w:r>
            </w:hyperlink>
          </w:p>
        </w:tc>
      </w:tr>
      <w:tr>
        <w:trPr>
          <w:trHeight w:val="229"/>
        </w:trPr>
        <w:tc>
          <w:tcPr>
            <w:tcW w:w="9720" w:type="dxa"/>
            <w:vAlign w:val="bottom"/>
          </w:tcPr>
          <w:p>
            <w:pPr>
              <w:ind w:left="280"/>
              <w:spacing w:after="0"/>
              <w:rPr>
                <w:sz w:val="20"/>
                <w:szCs w:val="20"/>
                <w:color w:val="auto"/>
              </w:rPr>
            </w:pPr>
            <w:r>
              <w:rPr>
                <w:rFonts w:ascii="Arial" w:cs="Arial" w:eastAsia="Arial" w:hAnsi="Arial"/>
                <w:sz w:val="16"/>
                <w:szCs w:val="16"/>
                <w:color w:val="auto"/>
              </w:rPr>
              <w:t>Summary of Significant Accounting Policies</w:t>
            </w:r>
          </w:p>
        </w:tc>
        <w:tc>
          <w:tcPr>
            <w:tcW w:w="1420" w:type="dxa"/>
            <w:vAlign w:val="bottom"/>
          </w:tcPr>
          <w:p>
            <w:pPr>
              <w:jc w:val="right"/>
              <w:spacing w:after="0"/>
              <w:rPr>
                <w:rFonts w:ascii="Arial" w:cs="Arial" w:eastAsia="Arial" w:hAnsi="Arial"/>
                <w:sz w:val="16"/>
                <w:szCs w:val="16"/>
                <w:u w:val="single" w:color="auto"/>
                <w:color w:val="0000FF"/>
              </w:rPr>
            </w:pPr>
            <w:hyperlink w:anchor="page75">
              <w:r>
                <w:rPr>
                  <w:rFonts w:ascii="Arial" w:cs="Arial" w:eastAsia="Arial" w:hAnsi="Arial"/>
                  <w:sz w:val="16"/>
                  <w:szCs w:val="16"/>
                  <w:u w:val="single" w:color="auto"/>
                  <w:color w:val="0000FF"/>
                </w:rPr>
                <w:t>73</w:t>
              </w:r>
            </w:hyperlink>
          </w:p>
        </w:tc>
      </w:tr>
      <w:tr>
        <w:trPr>
          <w:trHeight w:val="229"/>
        </w:trPr>
        <w:tc>
          <w:tcPr>
            <w:tcW w:w="9720" w:type="dxa"/>
            <w:vAlign w:val="bottom"/>
          </w:tcPr>
          <w:p>
            <w:pPr>
              <w:ind w:left="280"/>
              <w:spacing w:after="0"/>
              <w:rPr>
                <w:sz w:val="20"/>
                <w:szCs w:val="20"/>
                <w:color w:val="auto"/>
              </w:rPr>
            </w:pPr>
            <w:r>
              <w:rPr>
                <w:rFonts w:ascii="Arial" w:cs="Arial" w:eastAsia="Arial" w:hAnsi="Arial"/>
                <w:sz w:val="16"/>
                <w:szCs w:val="16"/>
                <w:color w:val="auto"/>
              </w:rPr>
              <w:t>Acquisitions and Dispositions of Businesses</w:t>
            </w:r>
          </w:p>
        </w:tc>
        <w:tc>
          <w:tcPr>
            <w:tcW w:w="1420" w:type="dxa"/>
            <w:vAlign w:val="bottom"/>
          </w:tcPr>
          <w:p>
            <w:pPr>
              <w:jc w:val="right"/>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82</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Investments</w:t>
            </w:r>
          </w:p>
        </w:tc>
        <w:tc>
          <w:tcPr>
            <w:tcW w:w="1420" w:type="dxa"/>
            <w:vAlign w:val="bottom"/>
          </w:tcPr>
          <w:p>
            <w:pPr>
              <w:jc w:val="right"/>
              <w:spacing w:after="0"/>
              <w:rPr>
                <w:rFonts w:ascii="Arial" w:cs="Arial" w:eastAsia="Arial" w:hAnsi="Arial"/>
                <w:sz w:val="16"/>
                <w:szCs w:val="16"/>
                <w:u w:val="single" w:color="auto"/>
                <w:color w:val="0000FF"/>
              </w:rPr>
            </w:pPr>
            <w:hyperlink w:anchor="page88">
              <w:r>
                <w:rPr>
                  <w:rFonts w:ascii="Arial" w:cs="Arial" w:eastAsia="Arial" w:hAnsi="Arial"/>
                  <w:sz w:val="16"/>
                  <w:szCs w:val="16"/>
                  <w:u w:val="single" w:color="auto"/>
                  <w:color w:val="0000FF"/>
                </w:rPr>
                <w:t>86</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Accounts Receivable, Accounts Payable and Accrued Liabilities</w:t>
            </w:r>
          </w:p>
        </w:tc>
        <w:tc>
          <w:tcPr>
            <w:tcW w:w="1420" w:type="dxa"/>
            <w:vAlign w:val="bottom"/>
          </w:tcPr>
          <w:p>
            <w:pPr>
              <w:jc w:val="right"/>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87</w:t>
              </w:r>
            </w:hyperlink>
          </w:p>
        </w:tc>
      </w:tr>
      <w:tr>
        <w:trPr>
          <w:trHeight w:val="229"/>
        </w:trPr>
        <w:tc>
          <w:tcPr>
            <w:tcW w:w="9720" w:type="dxa"/>
            <w:vAlign w:val="bottom"/>
          </w:tcPr>
          <w:p>
            <w:pPr>
              <w:ind w:left="280"/>
              <w:spacing w:after="0"/>
              <w:rPr>
                <w:sz w:val="20"/>
                <w:szCs w:val="20"/>
                <w:color w:val="auto"/>
              </w:rPr>
            </w:pPr>
            <w:r>
              <w:rPr>
                <w:rFonts w:ascii="Arial" w:cs="Arial" w:eastAsia="Arial" w:hAnsi="Arial"/>
                <w:sz w:val="16"/>
                <w:szCs w:val="16"/>
                <w:color w:val="auto"/>
              </w:rPr>
              <w:t>Inventories, Contracts in Progress and Vehicle Floor Plan Payable</w:t>
            </w:r>
          </w:p>
        </w:tc>
        <w:tc>
          <w:tcPr>
            <w:tcW w:w="1420" w:type="dxa"/>
            <w:vAlign w:val="bottom"/>
          </w:tcPr>
          <w:p>
            <w:pPr>
              <w:jc w:val="right"/>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88</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Property, Plant and Equipment</w:t>
            </w:r>
          </w:p>
        </w:tc>
        <w:tc>
          <w:tcPr>
            <w:tcW w:w="1420" w:type="dxa"/>
            <w:vAlign w:val="bottom"/>
          </w:tcPr>
          <w:p>
            <w:pPr>
              <w:jc w:val="right"/>
              <w:spacing w:after="0"/>
              <w:rPr>
                <w:rFonts w:ascii="Arial" w:cs="Arial" w:eastAsia="Arial" w:hAnsi="Arial"/>
                <w:sz w:val="16"/>
                <w:szCs w:val="16"/>
                <w:u w:val="single" w:color="auto"/>
                <w:color w:val="0000FF"/>
              </w:rPr>
            </w:pPr>
            <w:hyperlink w:anchor="page90">
              <w:r>
                <w:rPr>
                  <w:rFonts w:ascii="Arial" w:cs="Arial" w:eastAsia="Arial" w:hAnsi="Arial"/>
                  <w:sz w:val="16"/>
                  <w:szCs w:val="16"/>
                  <w:u w:val="single" w:color="auto"/>
                  <w:color w:val="0000FF"/>
                </w:rPr>
                <w:t>88</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Leases</w:t>
            </w:r>
          </w:p>
        </w:tc>
        <w:tc>
          <w:tcPr>
            <w:tcW w:w="1420" w:type="dxa"/>
            <w:vAlign w:val="bottom"/>
          </w:tcPr>
          <w:p>
            <w:pPr>
              <w:jc w:val="right"/>
              <w:spacing w:after="0"/>
              <w:rPr>
                <w:rFonts w:ascii="Arial" w:cs="Arial" w:eastAsia="Arial" w:hAnsi="Arial"/>
                <w:sz w:val="16"/>
                <w:szCs w:val="16"/>
                <w:u w:val="single" w:color="auto"/>
                <w:color w:val="0000FF"/>
              </w:rPr>
            </w:pPr>
            <w:hyperlink w:anchor="page90">
              <w:r>
                <w:rPr>
                  <w:rFonts w:ascii="Arial" w:cs="Arial" w:eastAsia="Arial" w:hAnsi="Arial"/>
                  <w:sz w:val="16"/>
                  <w:szCs w:val="16"/>
                  <w:u w:val="single" w:color="auto"/>
                  <w:color w:val="0000FF"/>
                </w:rPr>
                <w:t>89</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Goodwill and Other Intangible Assets</w:t>
            </w:r>
          </w:p>
        </w:tc>
        <w:tc>
          <w:tcPr>
            <w:tcW w:w="1420" w:type="dxa"/>
            <w:vAlign w:val="bottom"/>
          </w:tcPr>
          <w:p>
            <w:pPr>
              <w:jc w:val="right"/>
              <w:spacing w:after="0"/>
              <w:rPr>
                <w:rFonts w:ascii="Arial" w:cs="Arial" w:eastAsia="Arial" w:hAnsi="Arial"/>
                <w:sz w:val="16"/>
                <w:szCs w:val="16"/>
                <w:u w:val="single" w:color="auto"/>
                <w:color w:val="0000FF"/>
              </w:rPr>
            </w:pPr>
            <w:hyperlink w:anchor="page91">
              <w:r>
                <w:rPr>
                  <w:rFonts w:ascii="Arial" w:cs="Arial" w:eastAsia="Arial" w:hAnsi="Arial"/>
                  <w:sz w:val="16"/>
                  <w:szCs w:val="16"/>
                  <w:u w:val="single" w:color="auto"/>
                  <w:color w:val="0000FF"/>
                </w:rPr>
                <w:t>90</w:t>
              </w:r>
            </w:hyperlink>
          </w:p>
        </w:tc>
      </w:tr>
      <w:tr>
        <w:trPr>
          <w:trHeight w:val="229"/>
        </w:trPr>
        <w:tc>
          <w:tcPr>
            <w:tcW w:w="972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1420" w:type="dxa"/>
            <w:vAlign w:val="bottom"/>
          </w:tcPr>
          <w:p>
            <w:pPr>
              <w:jc w:val="right"/>
              <w:spacing w:after="0"/>
              <w:rPr>
                <w:rFonts w:ascii="Arial" w:cs="Arial" w:eastAsia="Arial" w:hAnsi="Arial"/>
                <w:sz w:val="16"/>
                <w:szCs w:val="16"/>
                <w:u w:val="single" w:color="auto"/>
                <w:color w:val="0000FF"/>
              </w:rPr>
            </w:pPr>
            <w:hyperlink w:anchor="page93">
              <w:r>
                <w:rPr>
                  <w:rFonts w:ascii="Arial" w:cs="Arial" w:eastAsia="Arial" w:hAnsi="Arial"/>
                  <w:sz w:val="16"/>
                  <w:szCs w:val="16"/>
                  <w:u w:val="single" w:color="auto"/>
                  <w:color w:val="0000FF"/>
                </w:rPr>
                <w:t>91</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Debt</w:t>
            </w:r>
          </w:p>
        </w:tc>
        <w:tc>
          <w:tcPr>
            <w:tcW w:w="1420" w:type="dxa"/>
            <w:vAlign w:val="bottom"/>
          </w:tcPr>
          <w:p>
            <w:pPr>
              <w:jc w:val="right"/>
              <w:spacing w:after="0"/>
              <w:rPr>
                <w:rFonts w:ascii="Arial" w:cs="Arial" w:eastAsia="Arial" w:hAnsi="Arial"/>
                <w:sz w:val="16"/>
                <w:szCs w:val="16"/>
                <w:u w:val="single" w:color="auto"/>
                <w:color w:val="0000FF"/>
              </w:rPr>
            </w:pPr>
            <w:hyperlink w:anchor="page97">
              <w:r>
                <w:rPr>
                  <w:rFonts w:ascii="Arial" w:cs="Arial" w:eastAsia="Arial" w:hAnsi="Arial"/>
                  <w:sz w:val="16"/>
                  <w:szCs w:val="16"/>
                  <w:u w:val="single" w:color="auto"/>
                  <w:color w:val="0000FF"/>
                </w:rPr>
                <w:t>95</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Fair Value Measurements</w:t>
            </w:r>
          </w:p>
        </w:tc>
        <w:tc>
          <w:tcPr>
            <w:tcW w:w="1420" w:type="dxa"/>
            <w:vAlign w:val="bottom"/>
          </w:tcPr>
          <w:p>
            <w:pPr>
              <w:jc w:val="right"/>
              <w:spacing w:after="0"/>
              <w:rPr>
                <w:rFonts w:ascii="Arial" w:cs="Arial" w:eastAsia="Arial" w:hAnsi="Arial"/>
                <w:sz w:val="16"/>
                <w:szCs w:val="16"/>
                <w:u w:val="single" w:color="auto"/>
                <w:color w:val="0000FF"/>
              </w:rPr>
            </w:pPr>
            <w:hyperlink w:anchor="page99">
              <w:r>
                <w:rPr>
                  <w:rFonts w:ascii="Arial" w:cs="Arial" w:eastAsia="Arial" w:hAnsi="Arial"/>
                  <w:sz w:val="16"/>
                  <w:szCs w:val="16"/>
                  <w:u w:val="single" w:color="auto"/>
                  <w:color w:val="0000FF"/>
                </w:rPr>
                <w:t>98</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Revenue From Contracts With Customers</w:t>
            </w:r>
          </w:p>
        </w:tc>
        <w:tc>
          <w:tcPr>
            <w:tcW w:w="1420" w:type="dxa"/>
            <w:vAlign w:val="bottom"/>
          </w:tcPr>
          <w:p>
            <w:pPr>
              <w:jc w:val="right"/>
              <w:spacing w:after="0"/>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99</w:t>
              </w:r>
            </w:hyperlink>
          </w:p>
        </w:tc>
      </w:tr>
      <w:tr>
        <w:trPr>
          <w:trHeight w:val="229"/>
        </w:trPr>
        <w:tc>
          <w:tcPr>
            <w:tcW w:w="9720" w:type="dxa"/>
            <w:vAlign w:val="bottom"/>
          </w:tcPr>
          <w:p>
            <w:pPr>
              <w:ind w:left="280"/>
              <w:spacing w:after="0"/>
              <w:rPr>
                <w:sz w:val="20"/>
                <w:szCs w:val="20"/>
                <w:color w:val="auto"/>
              </w:rPr>
            </w:pPr>
            <w:r>
              <w:rPr>
                <w:rFonts w:ascii="Arial" w:cs="Arial" w:eastAsia="Arial" w:hAnsi="Arial"/>
                <w:sz w:val="16"/>
                <w:szCs w:val="16"/>
                <w:color w:val="auto"/>
              </w:rPr>
              <w:t>Capital Stock, Stock Awards and Stock Options</w:t>
            </w:r>
          </w:p>
        </w:tc>
        <w:tc>
          <w:tcPr>
            <w:tcW w:w="1420" w:type="dxa"/>
            <w:vAlign w:val="bottom"/>
          </w:tcPr>
          <w:p>
            <w:pPr>
              <w:jc w:val="right"/>
              <w:spacing w:after="0"/>
              <w:rPr>
                <w:rFonts w:ascii="Arial" w:cs="Arial" w:eastAsia="Arial" w:hAnsi="Arial"/>
                <w:sz w:val="16"/>
                <w:szCs w:val="16"/>
                <w:u w:val="single" w:color="auto"/>
                <w:color w:val="0000FF"/>
              </w:rPr>
            </w:pPr>
            <w:hyperlink w:anchor="page102">
              <w:r>
                <w:rPr>
                  <w:rFonts w:ascii="Arial" w:cs="Arial" w:eastAsia="Arial" w:hAnsi="Arial"/>
                  <w:sz w:val="16"/>
                  <w:szCs w:val="16"/>
                  <w:u w:val="single" w:color="auto"/>
                  <w:color w:val="0000FF"/>
                </w:rPr>
                <w:t>100</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Pensions and Other Postretirement Plans</w:t>
            </w:r>
          </w:p>
        </w:tc>
        <w:tc>
          <w:tcPr>
            <w:tcW w:w="1420" w:type="dxa"/>
            <w:vAlign w:val="bottom"/>
          </w:tcPr>
          <w:p>
            <w:pPr>
              <w:jc w:val="right"/>
              <w:spacing w:after="0"/>
              <w:rPr>
                <w:rFonts w:ascii="Arial" w:cs="Arial" w:eastAsia="Arial" w:hAnsi="Arial"/>
                <w:sz w:val="16"/>
                <w:szCs w:val="16"/>
                <w:u w:val="single" w:color="auto"/>
                <w:color w:val="0000FF"/>
              </w:rPr>
            </w:pPr>
            <w:hyperlink w:anchor="page105">
              <w:r>
                <w:rPr>
                  <w:rFonts w:ascii="Arial" w:cs="Arial" w:eastAsia="Arial" w:hAnsi="Arial"/>
                  <w:sz w:val="16"/>
                  <w:szCs w:val="16"/>
                  <w:u w:val="single" w:color="auto"/>
                  <w:color w:val="0000FF"/>
                </w:rPr>
                <w:t>103</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Other Non-Operating Income</w:t>
            </w:r>
          </w:p>
        </w:tc>
        <w:tc>
          <w:tcPr>
            <w:tcW w:w="1420" w:type="dxa"/>
            <w:vAlign w:val="bottom"/>
          </w:tcPr>
          <w:p>
            <w:pPr>
              <w:jc w:val="right"/>
              <w:spacing w:after="0"/>
              <w:rPr>
                <w:rFonts w:ascii="Arial" w:cs="Arial" w:eastAsia="Arial" w:hAnsi="Arial"/>
                <w:sz w:val="16"/>
                <w:szCs w:val="16"/>
                <w:u w:val="single" w:color="auto"/>
                <w:color w:val="0000FF"/>
              </w:rPr>
            </w:pPr>
            <w:hyperlink w:anchor="page112">
              <w:r>
                <w:rPr>
                  <w:rFonts w:ascii="Arial" w:cs="Arial" w:eastAsia="Arial" w:hAnsi="Arial"/>
                  <w:sz w:val="16"/>
                  <w:szCs w:val="16"/>
                  <w:u w:val="single" w:color="auto"/>
                  <w:color w:val="0000FF"/>
                </w:rPr>
                <w:t>110</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1420" w:type="dxa"/>
            <w:vAlign w:val="bottom"/>
          </w:tcPr>
          <w:p>
            <w:pPr>
              <w:jc w:val="right"/>
              <w:spacing w:after="0"/>
              <w:rPr>
                <w:rFonts w:ascii="Arial" w:cs="Arial" w:eastAsia="Arial" w:hAnsi="Arial"/>
                <w:sz w:val="16"/>
                <w:szCs w:val="16"/>
                <w:u w:val="single" w:color="auto"/>
                <w:color w:val="0000FF"/>
              </w:rPr>
            </w:pPr>
            <w:hyperlink w:anchor="page113">
              <w:r>
                <w:rPr>
                  <w:rFonts w:ascii="Arial" w:cs="Arial" w:eastAsia="Arial" w:hAnsi="Arial"/>
                  <w:sz w:val="16"/>
                  <w:szCs w:val="16"/>
                  <w:u w:val="single" w:color="auto"/>
                  <w:color w:val="0000FF"/>
                </w:rPr>
                <w:t>111</w:t>
              </w:r>
            </w:hyperlink>
          </w:p>
        </w:tc>
      </w:tr>
      <w:tr>
        <w:trPr>
          <w:trHeight w:val="229"/>
        </w:trPr>
        <w:tc>
          <w:tcPr>
            <w:tcW w:w="9720" w:type="dxa"/>
            <w:vAlign w:val="bottom"/>
          </w:tcPr>
          <w:p>
            <w:pPr>
              <w:ind w:left="280"/>
              <w:spacing w:after="0"/>
              <w:rPr>
                <w:sz w:val="20"/>
                <w:szCs w:val="20"/>
                <w:color w:val="auto"/>
              </w:rPr>
            </w:pPr>
            <w:r>
              <w:rPr>
                <w:rFonts w:ascii="Arial" w:cs="Arial" w:eastAsia="Arial" w:hAnsi="Arial"/>
                <w:sz w:val="16"/>
                <w:szCs w:val="16"/>
                <w:color w:val="auto"/>
              </w:rPr>
              <w:t>Contingencies and Other Commitments</w:t>
            </w:r>
          </w:p>
        </w:tc>
        <w:tc>
          <w:tcPr>
            <w:tcW w:w="1420" w:type="dxa"/>
            <w:vAlign w:val="bottom"/>
          </w:tcPr>
          <w:p>
            <w:pPr>
              <w:jc w:val="right"/>
              <w:spacing w:after="0"/>
              <w:rPr>
                <w:rFonts w:ascii="Arial" w:cs="Arial" w:eastAsia="Arial" w:hAnsi="Arial"/>
                <w:sz w:val="16"/>
                <w:szCs w:val="16"/>
                <w:u w:val="single" w:color="auto"/>
                <w:color w:val="0000FF"/>
              </w:rPr>
            </w:pPr>
            <w:hyperlink w:anchor="page114">
              <w:r>
                <w:rPr>
                  <w:rFonts w:ascii="Arial" w:cs="Arial" w:eastAsia="Arial" w:hAnsi="Arial"/>
                  <w:sz w:val="16"/>
                  <w:szCs w:val="16"/>
                  <w:u w:val="single" w:color="auto"/>
                  <w:color w:val="0000FF"/>
                </w:rPr>
                <w:t>112</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Business Segments</w:t>
            </w:r>
          </w:p>
        </w:tc>
        <w:tc>
          <w:tcPr>
            <w:tcW w:w="1420" w:type="dxa"/>
            <w:vAlign w:val="bottom"/>
          </w:tcPr>
          <w:p>
            <w:pPr>
              <w:jc w:val="right"/>
              <w:spacing w:after="0"/>
              <w:rPr>
                <w:rFonts w:ascii="Arial" w:cs="Arial" w:eastAsia="Arial" w:hAnsi="Arial"/>
                <w:sz w:val="16"/>
                <w:szCs w:val="16"/>
                <w:u w:val="single" w:color="auto"/>
                <w:color w:val="0000FF"/>
              </w:rPr>
            </w:pPr>
            <w:hyperlink w:anchor="page115">
              <w:r>
                <w:rPr>
                  <w:rFonts w:ascii="Arial" w:cs="Arial" w:eastAsia="Arial" w:hAnsi="Arial"/>
                  <w:sz w:val="16"/>
                  <w:szCs w:val="16"/>
                  <w:u w:val="single" w:color="auto"/>
                  <w:color w:val="0000FF"/>
                </w:rPr>
                <w:t>113</w:t>
              </w:r>
            </w:hyperlink>
          </w:p>
        </w:tc>
      </w:tr>
      <w:tr>
        <w:trPr>
          <w:trHeight w:val="230"/>
        </w:trPr>
        <w:tc>
          <w:tcPr>
            <w:tcW w:w="9720" w:type="dxa"/>
            <w:vAlign w:val="bottom"/>
          </w:tcPr>
          <w:p>
            <w:pPr>
              <w:ind w:left="280"/>
              <w:spacing w:after="0"/>
              <w:rPr>
                <w:sz w:val="20"/>
                <w:szCs w:val="20"/>
                <w:color w:val="auto"/>
              </w:rPr>
            </w:pPr>
            <w:r>
              <w:rPr>
                <w:rFonts w:ascii="Arial" w:cs="Arial" w:eastAsia="Arial" w:hAnsi="Arial"/>
                <w:sz w:val="16"/>
                <w:szCs w:val="16"/>
                <w:color w:val="auto"/>
              </w:rPr>
              <w:t>Summary of Quarterly Operating Results and Comprehensive Income (Loss) (Unaudited)</w:t>
            </w:r>
          </w:p>
        </w:tc>
        <w:tc>
          <w:tcPr>
            <w:tcW w:w="1420" w:type="dxa"/>
            <w:vAlign w:val="bottom"/>
          </w:tcPr>
          <w:p>
            <w:pPr>
              <w:jc w:val="right"/>
              <w:spacing w:after="0"/>
              <w:rPr>
                <w:rFonts w:ascii="Arial" w:cs="Arial" w:eastAsia="Arial" w:hAnsi="Arial"/>
                <w:sz w:val="16"/>
                <w:szCs w:val="16"/>
                <w:u w:val="single" w:color="auto"/>
                <w:color w:val="0000FF"/>
              </w:rPr>
            </w:pPr>
            <w:hyperlink w:anchor="page123">
              <w:r>
                <w:rPr>
                  <w:rFonts w:ascii="Arial" w:cs="Arial" w:eastAsia="Arial" w:hAnsi="Arial"/>
                  <w:sz w:val="16"/>
                  <w:szCs w:val="16"/>
                  <w:u w:val="single" w:color="auto"/>
                  <w:color w:val="0000FF"/>
                </w:rPr>
                <w:t>118</w:t>
              </w:r>
            </w:hyperlink>
          </w:p>
        </w:tc>
      </w:tr>
    </w:tbl>
    <w:p>
      <w:pPr>
        <w:spacing w:after="0" w:line="14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w:t>
      </w:r>
    </w:p>
    <w:p>
      <w:pPr>
        <w:spacing w:after="0" w:line="100" w:lineRule="exact"/>
        <w:rPr>
          <w:sz w:val="20"/>
          <w:szCs w:val="20"/>
          <w:color w:val="auto"/>
        </w:rPr>
      </w:pPr>
    </w:p>
    <w:p>
      <w:pPr>
        <w:ind w:right="180"/>
        <w:spacing w:after="0" w:line="270"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44" w:name="page45"/>
    <w:bookmarkEnd w:id="44"/>
    <w:p>
      <w:pPr>
        <w:ind w:right="960" w:firstLine="989"/>
        <w:spacing w:after="0" w:line="407"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spacing w:after="0" w:line="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podcast, print and local TV news and other content; social-media advertising services; manufacturing; automotive dealerships; restaurants and entertainment venues; custom framing; and home health and hospice care. Education is the largest business, and through its subsidiary Kaplan, Inc., the Company provides extensive worldwide education services for individuals, schools and businesses. The Company’s second largest business is television broadcasting. In 2020, the Company completed an acquisition of a custom framing service company. The Company’s business units are diverse and subject to different trends and risks.</w:t>
      </w:r>
    </w:p>
    <w:p>
      <w:pPr>
        <w:spacing w:after="0" w:line="111"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The Company’s education division is the largest operating division of the Company, accounting for 45% of the Company’s consolidated revenues in 2020. The Company has devoted significant resources and attention to this division for many years, given its geographic and product diversity; the investment opportunities and growth prospects during this time; and challenges related to government regulation. Kaplan is organized into the following three operating segments: Kaplan International, Kaplan Higher Education (KHE) and Supplemental Education.</w:t>
      </w:r>
    </w:p>
    <w:p>
      <w:pPr>
        <w:spacing w:after="0" w:line="11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Kaplan International reported revenue decreases for 2020 due to COVID-19 disruptions at Languages, and to a lesser extent at U.S. and Australia Pathways and UK Professional, partially offset by growth at UK Pathways and Australia. Kaplan International operating results declined in 2020 due to significant losses at Languages, along with declines at U.S. and Australia Pathways, and UK Professional, partially offset by the $17.1 million VAT provision recorded at UK Pathways in the third quarter of 2019, and improved results at UK Pathways and Australia.</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KHE’s revenue grew in 2020, due to an increase in the Purdue University Global fee recorded and revenue from new university agreements. KHE recorded $31.6 million and $12.3 million in fees from Purdue University Global (Purdue Global) in its Higher Education operating results in 2020 and 2019, respectively, based on an assessment of its collectability under the Transition and Operations Support Agreement (TOSA).</w:t>
      </w:r>
    </w:p>
    <w:p>
      <w:pPr>
        <w:spacing w:after="0" w:line="91"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Supplemental Education revenues and operating results declined in 2020 due to the postponement of various standardized test and certification exam dates due to COVID-19, and a decline in retail comprehensive test preparation demand, offset in part by growth in real estate, architecture and engineering programs.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Kaplan made two acquisitions in 2020; one acquisition in 2019; and five acquisitions in 2018.</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Company’s television broadcasting division reported higher revenues and operating income in 2020, due to increases in political advertising and retransmission revenues, partially offset by reduced local and national advertising demand related to the COVID-19 pandemic. In recent years, the television broadcasting division has consistently generated significantly higher operating income amounts and operating income margins than the education division and other businesses.</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With the recent acquisitions of Framebridge, two automotive dealerships and Clyde’s Restaurant Group, and recent acquisitions at healthcare, manufacturing and Code3, the Company has invested in new lines of business in the last few years. The Company also has two investment stage businesses - Pinna and CyberVista. Megaphone was sold by the Company in December 2020.</w:t>
      </w:r>
    </w:p>
    <w:p>
      <w:pPr>
        <w:spacing w:after="0" w:line="11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2020 COMPARED TO 2019</w:t>
      </w:r>
    </w:p>
    <w:p>
      <w:pPr>
        <w:spacing w:after="0" w:line="146"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Net income attributable to common shares was $300.4 million ($58.13 per share) for the year ended December 31, 2020, compared to $327.9 million ($61.21 per share) for the year ended December 31, 2019.</w:t>
      </w:r>
    </w:p>
    <w:p>
      <w:pPr>
        <w:spacing w:after="0" w:line="9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significantly impacted the Company’s results for 2020, largely from reduced demand for the Company’s products and services. This significant adverse impact is expected to continue into 2021. The Company’s management has taken a variety of measures to reduce costs and to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Items included in the Company’s net income for 2020 are listed below:</w:t>
      </w:r>
    </w:p>
    <w:p>
      <w:pPr>
        <w:spacing w:after="0" w:line="90" w:lineRule="exact"/>
        <w:rPr>
          <w:sz w:val="20"/>
          <w:szCs w:val="20"/>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$27.9 million in goodwill and other long-lived asset impairment charges (after-tax impact of $20.2 million, or $3.92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$16.1 million in restructuring charges at the education division (after-tax impact of $11.9 million, or $2.31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$5.7 million in accelerated depreciation at other businesses (after-tax impact of $4.1 million, or $0.80 per share);</w:t>
      </w:r>
    </w:p>
    <w:p>
      <w:pPr>
        <w:spacing w:after="0" w:line="90" w:lineRule="exact"/>
        <w:rPr>
          <w:rFonts w:ascii="Arial" w:cs="Arial" w:eastAsia="Arial" w:hAnsi="Arial"/>
          <w:sz w:val="18"/>
          <w:szCs w:val="18"/>
          <w:color w:val="auto"/>
        </w:rPr>
      </w:pPr>
    </w:p>
    <w:p>
      <w:pPr>
        <w:ind w:left="180" w:right="660" w:hanging="172"/>
        <w:spacing w:after="0" w:line="260" w:lineRule="auto"/>
        <w:tabs>
          <w:tab w:leader="none" w:pos="1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$2.9 million reduction to operating expenses from property, plant and equipment gains in connection with the spectrum repacking mandate of the Federal Communications Commission (FCC) (after-tax impact of $2.3 million, or $0.44 per share);</w:t>
      </w:r>
    </w:p>
    <w:p>
      <w:pPr>
        <w:spacing w:after="0" w:line="37" w:lineRule="exact"/>
        <w:rPr>
          <w:rFonts w:ascii="Arial" w:cs="Arial" w:eastAsia="Arial" w:hAnsi="Arial"/>
          <w:sz w:val="18"/>
          <w:szCs w:val="18"/>
          <w:color w:val="auto"/>
        </w:rPr>
      </w:pPr>
    </w:p>
    <w:p>
      <w:pPr>
        <w:ind w:left="180" w:hanging="172"/>
        <w:spacing w:after="0" w:line="260" w:lineRule="auto"/>
        <w:tabs>
          <w:tab w:leader="none" w:pos="1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$8.5 million in interest expense in the fourth quarter to adjust the fair value of the mandatorily redeemable noncontrolling interest ($1.64 per share);</w:t>
      </w:r>
    </w:p>
    <w:p>
      <w:pPr>
        <w:spacing w:after="0" w:line="37" w:lineRule="exact"/>
        <w:rPr>
          <w:rFonts w:ascii="Arial" w:cs="Arial" w:eastAsia="Arial" w:hAnsi="Arial"/>
          <w:sz w:val="18"/>
          <w:szCs w:val="18"/>
          <w:color w:val="auto"/>
        </w:rPr>
      </w:pPr>
    </w:p>
    <w:p>
      <w:pPr>
        <w:ind w:left="180" w:right="360" w:hanging="172"/>
        <w:spacing w:after="0" w:line="260" w:lineRule="auto"/>
        <w:tabs>
          <w:tab w:leader="none" w:pos="1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$11.5 million in expenses related to non-operating Separation Incentive Programs (SIP) at the education division and other businesses (after-tax impact of $8.5 million, or $1.64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$60.8 million in net gains on marketable equity securities (after-tax impact of $44.7 million, or $8.64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fourth quarter gain of $209.8 million on the sale of Megaphone (after-tax impact of $154.2 million, or $29.84 per share);</w:t>
      </w:r>
    </w:p>
    <w:p>
      <w:pPr>
        <w:spacing w:after="0" w:line="90" w:lineRule="exact"/>
        <w:rPr>
          <w:rFonts w:ascii="Arial" w:cs="Arial" w:eastAsia="Arial" w:hAnsi="Arial"/>
          <w:sz w:val="18"/>
          <w:szCs w:val="18"/>
          <w:color w:val="auto"/>
        </w:rPr>
      </w:pPr>
    </w:p>
    <w:p>
      <w:pPr>
        <w:ind w:left="180" w:right="40" w:hanging="172"/>
        <w:spacing w:after="0" w:line="260" w:lineRule="auto"/>
        <w:tabs>
          <w:tab w:leader="none" w:pos="1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Non-operating losses, net, of $1.5 million from impairments, sales and write-ups of cost and equity method investments (after-tax impact of $1.1 million, or $0.21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$2.2 million in non-operating foreign currency losses (after-tax impact of $1.6 million, or $0.31 per share); and</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$2.9 million in income tax expense related to stock compensation ($0.56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2019 are listed below:</w:t>
      </w:r>
    </w:p>
    <w:p>
      <w:pPr>
        <w:spacing w:after="0" w:line="90" w:lineRule="exact"/>
        <w:rPr>
          <w:sz w:val="20"/>
          <w:szCs w:val="20"/>
          <w:color w:val="auto"/>
        </w:rPr>
      </w:pPr>
    </w:p>
    <w:p>
      <w:pPr>
        <w:ind w:left="180" w:right="80" w:hanging="172"/>
        <w:spacing w:after="0" w:line="260" w:lineRule="auto"/>
        <w:tabs>
          <w:tab w:leader="none" w:pos="2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Value Added Tax (VAT) receivable at UK Pathways (after-tax impact of $13.9 million, or $2.59 per share);</w:t>
      </w:r>
    </w:p>
    <w:p>
      <w:pPr>
        <w:spacing w:after="0" w:line="91" w:lineRule="exact"/>
        <w:rPr>
          <w:rFonts w:ascii="Arial" w:cs="Arial" w:eastAsia="Arial" w:hAnsi="Arial"/>
          <w:sz w:val="18"/>
          <w:szCs w:val="18"/>
          <w:color w:val="auto"/>
        </w:rPr>
      </w:pPr>
    </w:p>
    <w:p>
      <w:pPr>
        <w:ind w:left="180" w:right="480" w:hanging="172"/>
        <w:spacing w:after="0" w:line="260" w:lineRule="auto"/>
        <w:tabs>
          <w:tab w:leader="none" w:pos="1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$11.8 million reduction to operating expenses from property, plant and equipment gains in connection with the spectrum repacking mandate of the FCC (after-tax impact of $9.1 million, or $1.70 per share);</w:t>
      </w:r>
    </w:p>
    <w:p>
      <w:pPr>
        <w:spacing w:after="0" w:line="37" w:lineRule="exact"/>
        <w:rPr>
          <w:rFonts w:ascii="Arial" w:cs="Arial" w:eastAsia="Arial" w:hAnsi="Arial"/>
          <w:sz w:val="18"/>
          <w:szCs w:val="18"/>
          <w:color w:val="auto"/>
        </w:rPr>
      </w:pPr>
    </w:p>
    <w:p>
      <w:pPr>
        <w:ind w:left="180" w:right="220" w:hanging="172"/>
        <w:spacing w:after="0" w:line="260" w:lineRule="auto"/>
        <w:tabs>
          <w:tab w:leader="none" w:pos="1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$7.8 million fourth quarter intangible asset impairment charge at the television broadcasting division (after-tax impact of $6.0 million, or $1.12 per share);</w:t>
      </w:r>
    </w:p>
    <w:p>
      <w:pPr>
        <w:spacing w:after="0" w:line="37" w:lineRule="exact"/>
        <w:rPr>
          <w:rFonts w:ascii="Arial" w:cs="Arial" w:eastAsia="Arial" w:hAnsi="Arial"/>
          <w:sz w:val="18"/>
          <w:szCs w:val="18"/>
          <w:color w:val="auto"/>
        </w:rPr>
      </w:pPr>
    </w:p>
    <w:p>
      <w:pPr>
        <w:ind w:left="180" w:right="100" w:hanging="172"/>
        <w:spacing w:after="0" w:line="260" w:lineRule="auto"/>
        <w:tabs>
          <w:tab w:leader="none" w:pos="1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$91.7 million fourth quarter settlement gain related to a retiree annuity pension purchase (after-tax impact of $66.9 million, or $12.50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SIP at the education division (after-tax impact of $5.1 million, or $0.95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$98.7 million in net gains on marketable equity securities (after-tax impact of $74.0 million, or $13.82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non-operating gain of $5.1 million from write-ups of cost method investments (after-tax impact of $3.9 million, or $0.73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 (after-tax impact of $0.8 million, or $0.15 per share); and</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$1.7 million in income tax expense related to stock compensation ($0.32 per share).</w:t>
      </w:r>
    </w:p>
    <w:p>
      <w:pPr>
        <w:spacing w:after="0" w:line="90"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Revenue for 2020 was $2,889.1 million, down 1% from $2,932.1 million in 2019, largely due to the impact of COVID-19. Revenues declined at education and manufacturing, partially offset by increases at television broadcasting, healthcare and other businesses. Operating costs and expenses for the year increased to $2,788.7 million in 2020, from $2,787.6 million in 2019. Expenses in 2020 increased at television broadcasting, healthcare and other businesses, offset by decreases at education and manufacturing. The Company reported operating income for 2020 of $ 100.4 million, compared to $144.5 million in 2019. Operating results declined at education, manufacturing and other businesses, partially offset by improvements at television broadcasting and healthcare.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in 2020 totaled $1,305.7 million, down 10% from $1,451.8 million in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$11.6 million for 2020, a 76% decrease from $48.1 million in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6" w:name="page47"/>
    <w:bookmarkEnd w:id="46"/>
    <w:p>
      <w:pPr>
        <w:ind w:right="120"/>
        <w:spacing w:after="0" w:line="260" w:lineRule="auto"/>
        <w:rPr>
          <w:sz w:val="20"/>
          <w:szCs w:val="20"/>
          <w:color w:val="auto"/>
        </w:rPr>
      </w:pPr>
      <w:r>
        <w:rPr>
          <w:rFonts w:ascii="Arial" w:cs="Arial" w:eastAsia="Arial" w:hAnsi="Arial"/>
          <w:sz w:val="18"/>
          <w:szCs w:val="18"/>
          <w:color w:val="auto"/>
        </w:rPr>
        <w:t>The COVID-19 pandemic adversely impacted Kaplan’s operating results for 2020. The impact began in February and continued through the remainder of 2020.</w:t>
      </w:r>
    </w:p>
    <w:p>
      <w:pPr>
        <w:spacing w:after="0" w:line="9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Kaplan serves a large number of students who travel to other countries to study a second language, prepare for licensure, or pursue a higher education degree. Government-imposed travel restrictions and school closures arising from COVID-19 had a significant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this is expected to continue to adversely impact Kaplan’s revenues and operating results in 2021, particularly at Kaplan International Languages.</w:t>
      </w:r>
    </w:p>
    <w:p>
      <w:pPr>
        <w:spacing w:after="0" w:line="109"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To help mitigate the adverse impact of COVID-19, Kaplan implemented a number of cost reduction and restructuring activities across its businesses.</w:t>
      </w:r>
    </w:p>
    <w:p>
      <w:pPr>
        <w:spacing w:after="0" w:line="9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Related to these restructuring activities, for 2020, Kaplan recorded $13.5 million in lease restructuring costs (including $3.6 million of accelerated depreciation expense) and $6.2 million in severance restructuring costs. Kaplan also recorded $12.3 million in lease impairment charges in connection with these plans in 2020 (including $2.2 million in property, plant and equipment write-downs). Further, Kaplan recorded $12.8 million in non-operating pension expense in 2020 related to workforce reductions completed in the second and third quarters.</w:t>
      </w:r>
    </w:p>
    <w:p>
      <w:pPr>
        <w:spacing w:after="0" w:line="1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Kaplan management is continuing to monitor the ongoing COVID-19 disruptions and changes in its operating environment and may develop and implement further restructuring activities in 2021.</w:t>
      </w:r>
    </w:p>
    <w:p>
      <w:pPr>
        <w:spacing w:after="0" w:line="9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is designed to enhance Kaplan’s competitiveness by better leveraging its diversified academic and professional portfolio, as well as its relationships with students, universities and businesses. For financial reporting purposes, KNA will be reported in two segments: Higher Education and Supplemental Education (combining Kaplan Test Prep and Kaplan Professional (U.S.) into one reporting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653,892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750,245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316,095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305,672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327,087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388,814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12,643</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9,480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(4,004)</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1,305,713</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1,451,750</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40" w:type="dxa"/>
            <w:vAlign w:val="bottom"/>
            <w:vMerge w:val="continue"/>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15,248</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42,129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24,364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13,960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19,705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34,487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(18,266)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(26,891)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(17,174)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(14,915)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(12,278)</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4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11,604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48,072</w:t>
            </w:r>
          </w:p>
        </w:tc>
        <w:tc>
          <w:tcPr>
            <w:tcW w:w="120" w:type="dxa"/>
            <w:vAlign w:val="bottom"/>
            <w:tcBorders>
              <w:bottom w:val="single" w:sz="8" w:color="auto"/>
            </w:tcBorders>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decreased 13% in 2020 (12% on a constant currency basis) due to COVID-19 disruptions at Languages, and to a lesser extent at U.S. and Australia Pathways and UK Professional. These revenue disruptions were offset in part by growth at UK Pathways and Australia. The decline in Kaplan International operating income is mostly attributable to $55 million in losses incurred at Languages due to significant COVID-19 disruptions, and to a much lesser extent, to COVID-19 disruptions at U.S. and Australia Pathways and UK Professional, partially offset by the $17.1 million VAT provision recorded at UK Pathways in the third quarter of 2019, and improved results at UK Pathways and Australia. Kaplan International’s 2020 results</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47" w:name="page48"/>
    <w:bookmarkEnd w:id="47"/>
    <w:p>
      <w:pPr>
        <w:ind w:right="340"/>
        <w:spacing w:after="0" w:line="260" w:lineRule="auto"/>
        <w:rPr>
          <w:sz w:val="20"/>
          <w:szCs w:val="20"/>
          <w:color w:val="auto"/>
        </w:rPr>
      </w:pPr>
      <w:r>
        <w:rPr>
          <w:rFonts w:ascii="Arial" w:cs="Arial" w:eastAsia="Arial" w:hAnsi="Arial"/>
          <w:sz w:val="18"/>
          <w:szCs w:val="18"/>
          <w:color w:val="auto"/>
        </w:rPr>
        <w:t>include $4.5 million of lease restructuring costs (including $1.6 million in accelerated depreciation expense) and $4.4 million of severance restructuring costs.</w:t>
      </w:r>
    </w:p>
    <w:p>
      <w:pPr>
        <w:spacing w:after="0" w:line="92"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Due to the continuation of travel restrictions imposed as a result of COVID-19, Kaplan expects the disruption of its Languages business operating environment to continue into 2021.</w:t>
      </w:r>
    </w:p>
    <w:p>
      <w:pPr>
        <w:spacing w:after="0" w:line="92"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as it believed it had met all requirements under U.K. VAT law and was entitled to recover the amounts from assessments and subsequent payments. Due to developments in the case, in the third quarter of 2019, the Company recorded a full provision against a receivable to expense, of which $17.1 million related to years 2014 to 2018. The Company recorded additional annual VAT expense at the UK Pathways business of approximately $6.0 million related to this matter for 2019 and approximately $8.4 million for 2020. In November 2020, the court ruled against Kaplan in this case.</w:t>
      </w:r>
    </w:p>
    <w:p>
      <w:pPr>
        <w:spacing w:after="0" w:line="11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Higher Education primarily includes the results of Kaplan as a service provider to higher education institutions. In 2020, Higher Education revenue grew 3% due to an increase in the Purdue Global fee recorded and revenue from new university agreements. During 2020, Kaplan recorded $ 31.6 million in fees from Purdue Global in its Higher Education operating results based on an assessment of its collectability under the TOSA. During 2019, Kaplan recorded $12.3 million in fees from Purdue Global. Purdue Global experienced increased enrollments and higher retention rates for 2020, which resulted in improved Higher Education results. Kaplan Higher Education recorded $3.6 million in lease restructuring costs in 2020, of which $0.2 million was accelerated depreciation expense. In 2020, Higher Education also incurred compensation and other costs that are not reimbursable under the TOSA.</w:t>
      </w:r>
    </w:p>
    <w:p>
      <w:pPr>
        <w:spacing w:after="0" w:line="109"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16% in 2020 due mostly to the postponement of various standardized test and certification exam dates due to COVID-19, and a decline in retail comprehensive test preparation demand, offset in part by growth in real estate, architecture and engineering programs. Operating results declined 43% in 2020 due to revenue declines, $ 5.4 million of lease restructuring costs ($1.8 million of which was accelerated depreciation) and $1.8 million in severance restructuring costs.</w:t>
      </w:r>
    </w:p>
    <w:p>
      <w:pPr>
        <w:spacing w:after="0" w:line="11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2020 due to lower compensation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525,212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463,464</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194,498</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152,668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27</w:t>
            </w:r>
          </w:p>
        </w:tc>
      </w:tr>
    </w:tbl>
    <w:p>
      <w:pPr>
        <w:spacing w:after="0" w:line="22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Revenue at the television broadcasting division increased 13% to $525.2 million in 2020, from $463.5 million in 2019. The revenue increase is due to an $ 88.5 million increase in political advertising revenue and a $12.4 million increase in retransmission revenues, partially offset by reduced local and national advertising demand related to the COVID-19 pandemic. In 2020 and 2019, the television broadcasting division recorded $2.9 million and $ 11.8 million, respectively, in reductions to operating expenses related to property, plant and equipment gains due to new equipment received at no cost in connection with the spectrum repacking mandate of the FCC. In the fourth quarter of 2019, the television broadcasting division recorded a $7.8 million intangible asset impairment charge on FCC licenses at the WSLS (Roanoke-NBC) and WCWJ (Jacksonville-CW) stations acquired in 2017, due to a decline in local market conditions. Operating income for 2020 was up 27% to $194.5 million, from $152.7 million in 2019, due to higher revenues and the 2019 intangible asset impairment charge, partially offset by higher network fees and lower property, plant and equipment gains. While per subscriber rates from cable and satellite providers have grown, overall cable and satellite subscribers are down due to cord cutting, resulting in low growth in retransmission revenue net of network fees in 2020, which is expected to continue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37% in 2020 and 33% in 2019.</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2020, significant political advertising revenues have largely driven strong operating results, while the postponement of the 2020 summer Olympics, the reduction and uncertainty surrounding broadcast sporting events, and overall reduced advertising demand related to the COVID-19 pandemic have adversely impacted advertising revenue and the operating results at the television broadcasting division. However, local and national advertising revenues have improved steadily through 2020 since the onset of the pandemic.</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8" w:name="page49"/>
    <w:bookmarkEnd w:id="48"/>
    <w:p>
      <w:pPr>
        <w:spacing w:after="0" w:line="226" w:lineRule="auto"/>
        <w:rPr>
          <w:sz w:val="20"/>
          <w:szCs w:val="20"/>
          <w:color w:val="auto"/>
        </w:rPr>
      </w:pPr>
      <w:r>
        <w:rPr>
          <w:rFonts w:ascii="Arial" w:cs="Arial" w:eastAsia="Arial" w:hAnsi="Arial"/>
          <w:sz w:val="18"/>
          <w:szCs w:val="18"/>
          <w:color w:val="auto"/>
        </w:rPr>
        <w:t>Graham Media Group stations provided critical news coverage to local communities in 2020 with elevated viewing levels during the height of the pandemic. Overall for the year, the Company’s television stations remained strong, well-positioned competitors in their local markets. On average for the year, KSAT in San Antonio and WJXT in Jacksonville ranked number one in the key 6am, 6pm and late newscasts among the all-important 25 to 54 demographic. WDIV in Detroit ended the year as number one at 6pm and in late news, while number two in the mornings. KPRC in Houston wrapped up 2020 as the number two local news station across the same key newscasts. Both WKMG and WSLS finished third in their respective markets, while WCWJ’s syndicated viewership in daytime and early fringe remained well viewed in the Jacksonville market. All of our local stations’ websites finished the year as the number one media sites in their respective markets with large increases in traffic over the prior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416,137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449,053</w:t>
            </w:r>
          </w:p>
        </w:tc>
        <w:tc>
          <w:tcPr>
            <w:tcW w:w="12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12,328</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20,467</w:t>
            </w:r>
          </w:p>
        </w:tc>
        <w:tc>
          <w:tcPr>
            <w:tcW w:w="122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22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Manufacturing includes four businesses: Hoover Treated Wood Products, Inc., a supplier of pressure impregnated kiln-dried lumber and plywood products for fire retardant and preservative applications; Dekko, a manufacturer of electrical workspace solutions, architectural lighting and electrical components and assemblies; Joyce/Dayton Corp., a manufacturer of screw jacks and other linear motion systems; and Forney, a global supplier of products and systems that control and monitor combustion processes in electric utility and industrial applications.</w:t>
      </w:r>
    </w:p>
    <w:p>
      <w:pPr>
        <w:spacing w:after="0" w:line="100"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Manufacturing revenues declined 7% in 2020 due primarily to a significant reduction in product demand at Dekko, particularly in the commercial office electrical products, hospitality, transportation and industrial sectors. Operating income decreased 40% in 2020 due to a significant decline in Dekko results from lower revenues, partially offset by improved results at Hoover from significant gains on inventory sales and reduced operating costs.</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Starting in the second half of March 2020, certain of Dekko, Joyce/Dayton and Hoover’s manufacturing plants began operating at reduced levels due to lower product demand and other jurisdictional factors related to the COVID-19 pandemic. The manufacturing businesses are tightly managing expenses and continuing with cost reduction plans to mitigate the impact of lower product demand. Overall, this is expected to continue to adversely impact manufacturing revenues and operating results into 2021, particularly at Dekko.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198,196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161,768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19"/>
                <w:szCs w:val="19"/>
                <w:color w:val="auto"/>
              </w:rPr>
            </w:pPr>
          </w:p>
        </w:tc>
        <w:tc>
          <w:tcPr>
            <w:tcW w:w="940" w:type="dxa"/>
            <w:vAlign w:val="bottom"/>
          </w:tcPr>
          <w:p>
            <w:pPr>
              <w:jc w:val="right"/>
              <w:ind w:right="24"/>
              <w:spacing w:after="0"/>
              <w:rPr>
                <w:sz w:val="20"/>
                <w:szCs w:val="20"/>
                <w:color w:val="auto"/>
              </w:rPr>
            </w:pPr>
            <w:r>
              <w:rPr>
                <w:rFonts w:ascii="Arial" w:cs="Arial" w:eastAsia="Arial" w:hAnsi="Arial"/>
                <w:sz w:val="16"/>
                <w:szCs w:val="16"/>
                <w:b w:val="1"/>
                <w:bCs w:val="1"/>
                <w:color w:val="auto"/>
              </w:rPr>
              <w:t>26,107</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7,908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13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Graham Healthcare Group (GHG) provides home health and hospice services in three states. In December 2019, GHG acquired a 75% interest in CSI Pharmacy Holding Company, LLC (CSI), a Wake Village, TX-based company, which coordinates the prescriptions and nursing care for patients receiving in-home infusion treatments. Healthcare revenues increased 23% in 2020, due to the CSI acquisition, offset by revenue declines from home health services due to lower patient volumes.</w:t>
      </w:r>
    </w:p>
    <w:p>
      <w:pPr>
        <w:spacing w:after="0" w:line="11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 the second quarter of 2020, GHG received $7.4 million from the Federal Coronavirus Aid, Relief, and Economic Security Act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$5.7 million in revenue in the second and third quarters of 2020, to partially offset the impact of revenue reductions due to the COVID-19 pandemic from the curtailment of elective procedures by health systems and other factors. The remaining amount of $1.7 million was recorded as a credit to operating costs in the second quarter of 2020 to partially offset the impact of costs incurred to procure personal protective equipment for GHG employees and other COVID-19 related costs. The improvement in GHG operating results in 2020 is due to improved results from home health and hospice services and operating income from the CSI acquisition.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4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As part of the transaction, the Company entered into an agreement with Christopher J. Ourisman, a member of the Ourisman Automotive Group family of dealerships, to operate and manage the dealerships. In the fourth quarter of 2019, the Company and Mr. Ourisman commenced operations at a new Jeep automotive dealership, which began generating sales in January 2020 as Ourisman Jeep of Bethesda. Mr. Ourisman and his team of industry professionals operate and manage the dealerships; Graham Holdings Company holds a 90% stake in all three dealerships. As a result of the COVID-19 pandemic and the related recessionary conditions, the Company’s automotive dealerships experienced reduced demand for sales and service beginning in March 2020. Given the uncertain and challenging operating environment for automotive dealerships, the Company completed a goodwill and other long-lived assets impairment review of its automotive dealerships in the first quarter of 2020, resulting in a $6.7 million intangible assets impairment charge.</w:t>
      </w:r>
    </w:p>
    <w:p>
      <w:pPr>
        <w:spacing w:after="0" w:line="1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Revenues for 2020 increased due to the new Jeep dealership and one less month of ownership in 2019, partially offset by reduced demand for sales and service in the first half of 2020 as a result of the pandemic. Operating results for 2020 declined from the prior year due to losses in the first half of 2020 related to the pandemic, in addition to the $6.7 million impairment charge recorded in the first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On July 31, 2019, the Company acquired Clyde’s Restaurant Group (CRG). CRG owns and operates eleven restaurants and entertainment venues in the Washington, D.C. metropolitan area, including Old Ebbitt Grill and The Hamilton. As a result of the COVID-19 pandemic, CRG temporarily closed all of its restaurants and venues in March 2020, pursuant to government orders, maintaining limited operations for delivery and pickup. At the time, CRG had temporarily laid off many of its employees due to the uncertainty as to the timing, safety and other details regarding reopening. Given the uncertain and challenging operating environment for the restaurant industry, the Company completed a goodwill and other long-lived assets impairment review of CRG in the first quarter of 2020, resulting in a $9.7 million goodwill and intangible assets impairment charge.</w:t>
      </w:r>
    </w:p>
    <w:p>
      <w:pPr>
        <w:spacing w:after="0" w:line="10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second quarter of 2020, CRG began limited outdoor and indoor dining services at most of its restaurants and made the decision to close its restaurant and entertainment venue in Columbia, Maryland effective July 19, 2020, resulting in accelerated depreciation of property, plant and equipment totaling $5.6 million recorded in the second and third quarters of 2020. The operations were negatively impacted for most of the year by pandemic related restrictions as well as disturbances from sporadic civil and political unrest in the city and region. In December 2020, CRG temporarily closed its restaurants in Maryland and the District of Columbia for the second time, pursuant to government orders, maintaining limited operations for delivery and pickup; these restaurants reopened again for limited indoor dining service in January and February of 2021. While many of CRG’s laid-off employees have been rehired, CRG is uncertain as to the timing and other details regarding a full reopening. While CRG revenues have experienced a significant adverse impact as a result of the pandemic, such revenues improved steadily in each of the three quarters since the onset of the pandemic, despite the December 2020 restaurant closings. Overall, CRG incurred significant operating losses in 2020 due to limited revenues and costs incurred to maintain its facilities, support its employees and to reopen the restaurants for limited outdoor and indoor services, in addition to the impairment and accelerated depreciation charges recorded in 2020. CRG continues to develop and implement initiatives to increase sales and reduce costs to mitigate the impact of COVID-19. The pandemic and public disturbances are expected to continue to adversely impact CRG revenues and operating results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 and Decile</w:t>
      </w:r>
    </w:p>
    <w:p>
      <w:pPr>
        <w:spacing w:after="0" w:line="14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July 2020, SocialCode announced it would be splitting into two separate companies. SocialCode’s agency business continues as a leading digital marketing agency, operating under the new name, Code3. Code3 is a performance marketing agency focused on driving performance for brands through three core elements of digital success: media, creative and commerce. The legacy business surrounding the Audience Intelligence Platform (AIP) continues as a separate software company, operating under the new name, Decile. Decile uses first-party customer data to deliver business intelligence and customer insights to its customers. As a result of these changes, Code3 and Decile are now reported in other businesses.</w:t>
      </w:r>
    </w:p>
    <w:p>
      <w:pPr>
        <w:spacing w:after="0" w:line="11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On a combined basis, Code3 and Decile revenues declined in 2020 due to reduced marketing spending by advertising clients as a result of the recessionary environment from the COVID-19 pandemic. In the second quarter of 2020, a $1.5 million lease impairment charge was recorded in connection with a restructuring plan that included other cost reduction initiatives to mitigate the adverse impact of COVID-19 on advertising demand, which is expected to continue in 2021. These initiatives included the approval of a SIP that reduced the number of employees, resulting in $1.0 million in non-operating pension expense in the second quarter of 2020. On a combined basis, Code3 and Decile reported an operating loss for 2020.</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Megaphone</w:t>
      </w:r>
    </w:p>
    <w:p>
      <w:pPr>
        <w:spacing w:after="0" w:line="14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Megaphone provides podcast technology for publishers and advertisers through the Megaphone platform and Megaphone Targeted Marketplace (MTM). Megaphone experienced rapid revenue growth from both advertising and platform sales until it was sold by the Company in December 2020 to Spotify. The Company recorded a pre-tax gain of $209.8 million on the sale of Megaphone that is included in other non-operating income in the fourth quarter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4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Lexington, KY. In the third quarter of 2020, Framebridge opened a new retail location in Brooklyn, N.Y. and two new retail locations in the Atlanta, GA area. In the fourth quarter of 2020, Framebridge opened a second manufacturing facility in Lexington, KY. Framebridge revenues have grown each month since the May 2020 acquisition, particularly in the fourth quarter of 2020. The Company previously disclosed a minority investment interest in Framebridge. As an investment stage business, Framebridge reported operating losses in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Pinna and CyberVista. Foreign Policy, CyberVista and Pinna reported revenue increases in 2020. Losses from each of these four businesses in 2020 adversely affected operating results.</w:t>
      </w:r>
    </w:p>
    <w:p>
      <w:pPr>
        <w:spacing w:after="0" w:line="11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Overall, for 2020, operating revenues for other businesses increased due largely to the Framebridge and automotive dealership acquisitions and growth at Megaphone, partially offset by declines at Code3/Decile. CRG incurred significant operating losses in 2020 due to challenging operating conditions that began in March 2020 and the goodwill and other long-lived asset impairment charges recorded in the first quarter of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6"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At December 31, 2020,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$6.7 million and $11.7 million for 2020 and 2019, respectively. The Company recorded $3.6 million in write-downs in equity in earnings of affiliates related to two of its investments in the first quarter of 2020.</w:t>
      </w:r>
    </w:p>
    <w:p>
      <w:pPr>
        <w:spacing w:after="0" w:line="11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recessionary environment resulting from the COVID-19 pandemic adversely impacted the underlying businesses of Intersection Holdings, LLC due to lower marketing spending by advertising clients. The decline in revenues adversely impacted the operating results and liquidity of the business since the onset of the COVID-19 pandemic. The Company concluded that these events are not indicative of an other than temporary decline in the value of its investment to an amount less than its carrying value. Given the uncertain economic impact of the COVID-19 pandemic, it is possible that an other than temporary impairment charge could occur in the future should Intersection Holdings, LLC fail to execute on its operating and financing strategy to address the decline in revenues and operating results. Further, the Company expects to record losses in equity earnings related to Intersection in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6"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On June 30, 2020, the Company repaid the £60 million borrowings due under the Kaplan Credit Agreement, financed by a £60 million drawdown on the Company’s $300 million revolving credit facility.</w:t>
      </w:r>
    </w:p>
    <w:p>
      <w:pPr>
        <w:spacing w:after="0" w:line="9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1" w:name="page52"/>
    <w:bookmarkEnd w:id="51"/>
    <w:p>
      <w:pPr>
        <w:ind w:right="300"/>
        <w:spacing w:after="0" w:line="260" w:lineRule="auto"/>
        <w:rPr>
          <w:sz w:val="20"/>
          <w:szCs w:val="20"/>
          <w:color w:val="auto"/>
        </w:rPr>
      </w:pPr>
      <w:r>
        <w:rPr>
          <w:rFonts w:ascii="Arial" w:cs="Arial" w:eastAsia="Arial" w:hAnsi="Arial"/>
          <w:sz w:val="18"/>
          <w:szCs w:val="18"/>
          <w:color w:val="auto"/>
        </w:rPr>
        <w:t>The Company incurred net interest expense of $34.4 million in 2020, compared to $23.6 million in 2019. The Company recorded interest expense of $8.5 million to adjust the fair value of the mandatorily redeemable noncontrolling interest at GHG in the fourth quarter of 2020.</w:t>
      </w:r>
    </w:p>
    <w:p>
      <w:pPr>
        <w:spacing w:after="0" w:line="9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At December 31, 2020, the Company had $512.6 million in borrowings outstanding at an average interest rate of 5.1%, and cash, marketable securities and other investments of $1,010.6 million. At December 31, 2020, the Company had £55 million ($74.7 million) outstanding on its $300 million revolving credit facility, in connection with the refinancing of the debt repaid under the Kaplan Credit Agreement. In Management’s opinion, the Company will have sufficient financial resources to meet its business requirements in the next twelve months, including working capital requirements, capital expenditures, interest payments and dividends. At December 31, 2019, the Company had $512.8 million in borrowings outstanding at an average interest rate of 5.1%, and cash, marketable securities and other investments of $814.0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Company recorded net non-operating pension and postretirement benefit income of $59.3 million in 2020, compared to $162.8 million in 2019.</w:t>
      </w:r>
    </w:p>
    <w:p>
      <w:pPr>
        <w:spacing w:after="0" w:line="9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the third quarter of 2020, the Company recorded $7.8 million in expenses related to a SIP at the education division. In the second quarter of 2020, the Company recorded $6.0 million in expenses related to a SIP at the education division and other businesses.</w:t>
      </w:r>
    </w:p>
    <w:p>
      <w:pPr>
        <w:spacing w:after="0" w:line="9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 the fourth quarter of 2019, the Company’s pension plan purchased a group annuity contract from an insurance company for a group of retirees. As a result, the Company recorded a $91.7 million settlement gain in the fourth quarter of 2019. In the second quarter of 2019, the Company recorded $6.6 million in non-operating pension expense related to a SIP at the education division.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$60.8 million and $98.7 million in net gains on marketable equity securities in 2020 and 2019,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4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recorded total other non-operating income, net, of $214.5 million in 2020, compared to $32.4 million in 2019. The 2020 amounts included $213.3 million in net gains related to sales of businesses and contingent consideration; $4.2 million in fair value increases on cost method investments; $3.7 million gain on acquiring a controlling interest in an equity affiliate; $1.4 million net gain on sales of equity affiliates and other items; partially offset by $7.3 million in impairments on cost method investments; and $2.2 million in foreign currency losses. The 2019 non-operating income, net, included a $29.0 million gain on the sale of the Company’s interest in Gimlet Media; $5.1 million in fair value increases on cost method investments; and other items; partially offset by $1.1 million in foreign currency losses.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Company’s effective tax rate for 2020 was 26.3%. In 2020, the Company recorded income tax expense related to stock compensation of $2.9 million. Excluding this $2.9 million expense, the overall income tax rate for 2020 was 25.6%.</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Company’s effective tax rate for 2019 was 23.1%. In the first quarter of 2019, the Company recorded income tax benefits related to stock compensation of $1.7 million. Excluding this $1.7 million benefit, the overall income tax rate for 2019 was 23.5%.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RESULTS OF OPERATIONS — 2019 COMPARED TO 2018</w:t>
      </w:r>
    </w:p>
    <w:p>
      <w:pPr>
        <w:spacing w:after="0" w:line="146"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Net income attributable to common shares was $327.9 million ($61.21 per share) for the year ended December 31, 2019, compared to $271.2 million ($50.20 per share) for the year ended December 31, 2018.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2019 are listed below:</w:t>
      </w:r>
    </w:p>
    <w:p>
      <w:pPr>
        <w:spacing w:after="0" w:line="90" w:lineRule="exact"/>
        <w:rPr>
          <w:sz w:val="20"/>
          <w:szCs w:val="20"/>
          <w:color w:val="auto"/>
        </w:rPr>
      </w:pPr>
    </w:p>
    <w:p>
      <w:pPr>
        <w:ind w:left="180" w:right="100" w:hanging="172"/>
        <w:spacing w:after="0" w:line="260" w:lineRule="auto"/>
        <w:tabs>
          <w:tab w:leader="none" w:pos="1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$17.1 million provision recorded at Kaplan International related to a VAT receivable at UK Pathways (after-tax impact of $13.9 million, or $2.59 per share);</w:t>
      </w:r>
    </w:p>
    <w:p>
      <w:pPr>
        <w:spacing w:after="0" w:line="37" w:lineRule="exact"/>
        <w:rPr>
          <w:rFonts w:ascii="Arial" w:cs="Arial" w:eastAsia="Arial" w:hAnsi="Arial"/>
          <w:sz w:val="18"/>
          <w:szCs w:val="18"/>
          <w:color w:val="auto"/>
        </w:rPr>
      </w:pPr>
    </w:p>
    <w:p>
      <w:pPr>
        <w:ind w:left="180" w:right="460" w:hanging="172"/>
        <w:spacing w:after="0" w:line="260" w:lineRule="auto"/>
        <w:tabs>
          <w:tab w:leader="none" w:pos="1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$11.8 million reduction to operating expenses from property, plant and equipment gains in connection with the spectrum repacking mandate of the FCC (after-tax impact of $9.1 million, or $1.70 per share);</w:t>
      </w:r>
    </w:p>
    <w:p>
      <w:pPr>
        <w:spacing w:after="0" w:line="37" w:lineRule="exact"/>
        <w:rPr>
          <w:rFonts w:ascii="Arial" w:cs="Arial" w:eastAsia="Arial" w:hAnsi="Arial"/>
          <w:sz w:val="18"/>
          <w:szCs w:val="18"/>
          <w:color w:val="auto"/>
        </w:rPr>
      </w:pPr>
    </w:p>
    <w:p>
      <w:pPr>
        <w:ind w:left="180" w:right="200" w:hanging="172"/>
        <w:spacing w:after="0" w:line="260" w:lineRule="auto"/>
        <w:tabs>
          <w:tab w:leader="none" w:pos="1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$7.8 million fourth quarter intangible asset impairment charge at the television broadcasting division (after-tax impact of $6.0 million, or $1.12 per share);</w:t>
      </w:r>
    </w:p>
    <w:p>
      <w:pPr>
        <w:spacing w:after="0" w:line="37" w:lineRule="exact"/>
        <w:rPr>
          <w:rFonts w:ascii="Arial" w:cs="Arial" w:eastAsia="Arial" w:hAnsi="Arial"/>
          <w:sz w:val="18"/>
          <w:szCs w:val="18"/>
          <w:color w:val="auto"/>
        </w:rPr>
      </w:pPr>
    </w:p>
    <w:p>
      <w:pPr>
        <w:ind w:left="180" w:right="80" w:hanging="172"/>
        <w:spacing w:after="0" w:line="260" w:lineRule="auto"/>
        <w:tabs>
          <w:tab w:leader="none" w:pos="1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$91.7 million fourth quarter settlement gain related to a retiree annuity pension purchase (after-tax impact of $66.9 million, or $12.50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SIP at the education division (after-tax impact of $5.1 million, or $0.95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$98.7 million in net gains on marketable equity securities (after-tax impact of $74.0 million, or $13.82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non-operating gain of $5.1 million from write-ups of cost method investments (after-tax impact of $3.9 million, or $0.73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$29.0 million gain from the sale of Gimlet Media (after-tax impact of $21.7 million, or $4.06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 (after-tax impact of $0.8 million, or $0.15 per share); and</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 million in income tax benefits related to stock compensation ($0.32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2018 are listed below:</w:t>
      </w:r>
    </w:p>
    <w:p>
      <w:pPr>
        <w:spacing w:after="0" w:line="144" w:lineRule="exact"/>
        <w:rPr>
          <w:sz w:val="20"/>
          <w:szCs w:val="20"/>
          <w:color w:val="auto"/>
        </w:rPr>
      </w:pPr>
    </w:p>
    <w:p>
      <w:pPr>
        <w:ind w:left="180" w:right="640" w:hanging="172"/>
        <w:spacing w:after="0" w:line="260" w:lineRule="auto"/>
        <w:tabs>
          <w:tab w:leader="none" w:pos="1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$3.9 million reduction to operating expenses from property, plant and equipment gains in connection with the spectrum repacking mandate of the FCC (after-tax impact of $3.0 million, or $0.55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90" w:lineRule="exact"/>
        <w:rPr>
          <w:rFonts w:ascii="Arial" w:cs="Arial" w:eastAsia="Arial" w:hAnsi="Arial"/>
          <w:sz w:val="18"/>
          <w:szCs w:val="18"/>
          <w:color w:val="auto"/>
        </w:rPr>
      </w:pPr>
    </w:p>
    <w:p>
      <w:pPr>
        <w:ind w:left="180" w:right="300" w:hanging="172"/>
        <w:spacing w:after="0" w:line="260" w:lineRule="auto"/>
        <w:tabs>
          <w:tab w:leader="none" w:pos="1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$30.3 million fourth quarter settlement gain related to a bulk lump sum pension offering and curtailment gain related to changes in the Company’s postretirement healthcare benefit plan (after-tax impact of $22.2 million, or $4.11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$15.8 million in net losses on marketable equity securities (after-tax impact of $12.6 million, or $2.33 per share);</w:t>
      </w:r>
    </w:p>
    <w:p>
      <w:pPr>
        <w:spacing w:after="0" w:line="90" w:lineRule="exact"/>
        <w:rPr>
          <w:rFonts w:ascii="Arial" w:cs="Arial" w:eastAsia="Arial" w:hAnsi="Arial"/>
          <w:sz w:val="18"/>
          <w:szCs w:val="18"/>
          <w:color w:val="auto"/>
        </w:rPr>
      </w:pPr>
    </w:p>
    <w:p>
      <w:pPr>
        <w:ind w:left="180" w:right="120" w:hanging="172"/>
        <w:spacing w:after="0" w:line="260" w:lineRule="auto"/>
        <w:tabs>
          <w:tab w:leader="none" w:pos="1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non-operating gain, net, of $6.7 million from sales, write-ups and impairments of cost method and equity method investments, and related to sales of land and businesses, including guarantor lease obligations (after-tax impact of $5.7 million, or $1.03 per share);</w:t>
      </w:r>
    </w:p>
    <w:p>
      <w:pPr>
        <w:spacing w:after="0" w:line="37"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$2.9 million, or $0.54 per share);</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90" w:lineRule="exact"/>
        <w:rPr>
          <w:rFonts w:ascii="Arial" w:cs="Arial" w:eastAsia="Arial" w:hAnsi="Arial"/>
          <w:sz w:val="18"/>
          <w:szCs w:val="18"/>
          <w:color w:val="auto"/>
        </w:rPr>
      </w:pPr>
    </w:p>
    <w:p>
      <w:pPr>
        <w:ind w:left="160" w:hanging="152"/>
        <w:spacing w:after="0"/>
        <w:tabs>
          <w:tab w:leader="none" w:pos="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14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Revenue for 2019 was $2,932.1 million, up 9% from $2,696.0 million in 2018 largely due to the acquisition of two automotive dealerships in January 2019 and the acquisition of CRG in July 2019. Revenues increased at the healthcare division and other businesses, partially offset by a decline at the television broadcasting and manufacturing divisions. Operating costs and expenses for the year increased to $2,787.6 million in 2019, from $2,449.8 million in 2018. Expenses in 2019 increased at other businesses, education and television broadcasting divisions, offset by decreases at manufacturing and healthcare. The Company reported operating income for 2019 of $144.5 million, compared to $246.2 million in 2018. Operating results declined at most of the Company’s divisions in 2019, with a large portion of the decline at television broadcasting due to significant political and Olympics-related revenue in 2018; this was partially offset by improvement at healthcare.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3"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in 2019 totaled $1,451.8 million, flat from $1,451.0 million in 2018.</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Kaplan reported operating income of $48.1 million for 2019, a 51% decrease from $97.1 million in 2018. In 2019, operating results decreased across all of Kaplan reporting units.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2"/>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6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750,245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719,982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305,672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342,085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388,814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390,289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9,480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56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auto"/>
            </w:tcBorders>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1,451,750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1,451,015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5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60" w:type="dxa"/>
            <w:vAlign w:val="bottom"/>
          </w:tcPr>
          <w:p>
            <w:pPr>
              <w:ind w:left="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42,129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70,315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13,960</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15,217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34,487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47,704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(26,891)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(26,702)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(14,915)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(9,362)</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560" w:type="dxa"/>
            <w:vAlign w:val="bottom"/>
          </w:tcPr>
          <w:p>
            <w:pPr>
              <w:ind w:left="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auto"/>
            </w:tcBorders>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48,072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97,136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U.S. In July 2019, Kaplan acquired Heverald, the owner of ESL Education, Europe’s largest language-travel agency and Alpadia, a chain of German and French language schools and junior summer camps. Kaplan International revenue increased 4% in 2019, and on a constant currency basis, revenue increased 8%, primarily due to growth at UK Pathways, UK Professional and Australia, and from the Heverald acquisition, offset by a decline in Singapore. Kaplan International operating income declined 40% in 2019, due to the VAT provision recorded at UK Pathways, and declines in Singapore and English Language, offset by increases at UK Professional and Australia. In the fourth quarter of 2019, Kaplan International operating results were adversely affected by $4.6 million in losses at Heverald, due to the timing of program starts.</w:t>
      </w:r>
    </w:p>
    <w:p>
      <w:pPr>
        <w:spacing w:after="0" w:line="11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2017, HMRC raised assessments against Kaplan UK Pathways for VAT relating to 2014 to 2017, which were paid by Kaplan. Kaplan challenged these assessments and the Company believes it has met all requirements under U.K. VAT law and is entitled to recover the amounts from assessments and subsequent payments through December 31, 2019. Due to developments in the case, in the third quarter of 2019, the Company recorded a full provision against a receivable to expense, of which £14.1 million ($17.1 million) relates to years 2014 to 2018. The Company recorded additional annual VAT expense at the UK Pathways business of approximately $6.0 million related to this matter for 2019.</w:t>
      </w:r>
    </w:p>
    <w:p>
      <w:pPr>
        <w:spacing w:after="0" w:line="11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In November 2018, Kaplan Learning Institute in Singapore (KLI) was notified by SkillsFuture Singapore (SSG), a statutory board under the Singapore Ministry of Education, that its right to deliver workforce skills qualifications (WSQ) courses under the Leadership &amp; People Management framework would be suspended for six months from December 1, 2018. In June 2019, SSG notified KLI that from July 1, 2019, SSG was suspending KLI’s WSQ Approved Training Organization status. The notice further revoked accreditation and funding for all WSQ courses with effect from July 1, 2019. KLI confirmed its intention to cease offering WSQ courses and subsequently began voluntarily de-registering as a private education institution. These actions adversely impacted Kaplan Singapore’s revenues and operating results for 2019, as compared to 2018.</w:t>
      </w:r>
    </w:p>
    <w:p>
      <w:pPr>
        <w:spacing w:after="0" w:line="10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 made up of fixed-facility colleges and online postsecondary and career programs. Following the KU Transaction closing, the Higher Education division includes the results as a service provider to higher education institutions. In 2019, Higher Education revenue declined 11% due largely to the sale of KU on March 22, 2018. During 2019, the Company recorded $12.3 million in fees from Purdue Global in its Higher Education operating results based on an assessment of its collectability under the TOSA. In 2018, the Company recorded $16.8 million in fees from Purdue Global in its Higher Education operating results, based on an assessment of its collectability under the TOSA. Following the transition from KU, Purdue Global launched a</w:t>
      </w:r>
    </w:p>
    <w:p>
      <w:pPr>
        <w:sectPr>
          <w:pgSz w:w="11900" w:h="16838" w:orient="portrait"/>
          <w:cols w:equalWidth="0" w:num="1">
            <w:col w:w="11240"/>
          </w:cols>
          <w:pgMar w:left="320" w:top="1033"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54" w:name="page55"/>
    <w:bookmarkEnd w:id="54"/>
    <w:p>
      <w:pPr>
        <w:ind w:right="40"/>
        <w:spacing w:after="0" w:line="231" w:lineRule="auto"/>
        <w:rPr>
          <w:sz w:val="20"/>
          <w:szCs w:val="20"/>
          <w:color w:val="auto"/>
        </w:rPr>
      </w:pPr>
      <w:r>
        <w:rPr>
          <w:rFonts w:ascii="Arial" w:cs="Arial" w:eastAsia="Arial" w:hAnsi="Arial"/>
          <w:sz w:val="18"/>
          <w:szCs w:val="18"/>
          <w:color w:val="auto"/>
        </w:rPr>
        <w:t>planned marketing campaign to fully establish its new brand. This significant marketing spend, along with investments in program quality and student experience, all of which the Company supports, impacts the cash generated by Purdue Global and its current ability to fully pay the KHE fee under the TOSA. The Company will continue to assess the collectability of the fee from Purdue Global on a quarterly basis to make a determination as to whether to record all or part of the fee in the future and whether to make adjustments to fee amounts recognized in earlier periods.</w:t>
      </w:r>
    </w:p>
    <w:p>
      <w:pPr>
        <w:spacing w:after="0" w:line="11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Supplemental Education includes Kaplan’s standardized test preparation, domestic professional and other continuing education businesses. In May 2018, Supplemental Education acquired Professional Publications, Inc. (PPI), an independent publisher of professional licensing exam review materials that provides engineering, surveying, architecture, and interior design licensure exam review products. In July 2018, Supplemental Education acquired College for Financial Planning (CFFP), a provider of financial education and training to individuals through programs of study for professionals pursuing a career in Financial Planning. In September 2018, Supplemental Education acquired the test preparation and study guide assets of Barron’s Educational Series, a New York-based education publishing company.</w:t>
      </w:r>
    </w:p>
    <w:p>
      <w:pPr>
        <w:spacing w:after="0" w:line="111" w:lineRule="exact"/>
        <w:rPr>
          <w:sz w:val="20"/>
          <w:szCs w:val="20"/>
          <w:color w:val="auto"/>
        </w:rPr>
      </w:pPr>
    </w:p>
    <w:p>
      <w:pPr>
        <w:ind w:right="320"/>
        <w:spacing w:after="0" w:line="231" w:lineRule="auto"/>
        <w:rPr>
          <w:sz w:val="20"/>
          <w:szCs w:val="20"/>
          <w:color w:val="auto"/>
        </w:rPr>
      </w:pPr>
      <w:r>
        <w:rPr>
          <w:rFonts w:ascii="Arial" w:cs="Arial" w:eastAsia="Arial" w:hAnsi="Arial"/>
          <w:sz w:val="18"/>
          <w:szCs w:val="18"/>
          <w:color w:val="auto"/>
        </w:rPr>
        <w:t>Supplemental Education’s revenue was flat in 2019 compared to 2018 due to declines in retail comprehensive test preparation programs, mostly offset by revenues from the 2018 acquisitions of Barron’s, PPI and CFFP. Operating losses for the new economy skills training programs were $4.0 million and $ 3.6 million for 2019 and 2018, respectively. Excluding losses from the new economy skills training programs, operating results were down in 2019 due primarily to revenue declines in retail comprehensive test preparation programs and increased spending on sales, marketing and technology, offset by income from PPI and CFFP.</w:t>
      </w:r>
    </w:p>
    <w:p>
      <w:pPr>
        <w:spacing w:after="0" w:line="111"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In the second quarter of 2019, the Company approved a SIP to reduce the number of employees at Supplemental Education and Higher Education. In connection with the SIP, the Company recorded $6.6 million in non-operating pension expense in the second quarter of 2019.</w:t>
      </w:r>
    </w:p>
    <w:p>
      <w:pPr>
        <w:spacing w:after="0" w:line="6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color w:val="auto"/>
              </w:rPr>
              <w:t>Year Ended December 31</w:t>
            </w:r>
          </w:p>
        </w:tc>
        <w:tc>
          <w:tcPr>
            <w:tcW w:w="1220" w:type="dxa"/>
            <w:vAlign w:val="bottom"/>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463,464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505,549</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152,668</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210,533</w:t>
            </w: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19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Revenue at the television broadcasting division declined 8% to $463.5 million in 2019, from $505.5 million in 2018. The revenue decrease is due to a $60.2 million decrease in political advertising revenue and $8.6 million in 2018 incremental winter Olympics-related advertising revenue at the Company’s NBC stations, partially offset by $ 18.3 million in higher retransmission revenues. The growth rate for retransmission revenues declined in 2019 due to subscriber declines at traditional cable and satellite distributors. In 2019 and 2018, the television broadcasting division recorded $11.8 million and $3.9 million, respectively, in reductions to operating expenses related to property, plant and equipment gains due to new equipment received at no cost in connection with the spectrum repacking mandate of the FCC. In the fourth quarter of 2019, the television broadcasting division recorded a $7.8 million intangible asset impairment charge on FCC licenses at the WSLS (Roanoke-NBC) and WCWJ (Jacksonville-CW) stations acquired in 2017, due to a decline in local market conditions. Operating income for 2019 was down 27% to $152.7 million, from $210.5 million in 2018, due to lower revenues and higher network fees, and the intangible asset impairment charge, partially offset by higher property, plant and equipment gains.</w:t>
      </w:r>
    </w:p>
    <w:p>
      <w:pPr>
        <w:spacing w:after="0" w:line="11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In March 2019, the Company’s television station in Orlando (WKMG) entered into a new network affiliation agreement with CBS that covers the period April 7, 2019 through June 30, 2022.</w:t>
      </w:r>
    </w:p>
    <w:p>
      <w:pPr>
        <w:spacing w:after="0" w:line="9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October 2019, the Company’s television stations in Houston (KPRC), Detroit (WDIV) and Roanoke (WSLS) entered into a new three-year NBC Affiliation Agreement effective January 1, 2020 through December 31, 2022.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33% in 2019 and 42% in 2018.</w:t>
      </w:r>
    </w:p>
    <w:p>
      <w:pPr>
        <w:spacing w:after="0" w:line="144"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Company’s television stations continue to garner healthy viewership and are well-positioned in their respective markets. On average for the year, KSAT in San Antonio and WJXT in Jacksonville ranked number one in the key 6am, 6pm and late newscasts among the vital 25 to 54 demographic. KPRC in Houston ended the year as number one at 6am and number two at 6pm and 10pm. WDIV in Detroit ended the year as number one at 6pm and in late news, while number two in the mornings. WKMG finished 2019 ranked number two at 6am and 6pm, while ranking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5" w:name="page56"/>
    <w:bookmarkEnd w:id="55"/>
    <w:p>
      <w:pPr>
        <w:ind w:right="300"/>
        <w:spacing w:after="0" w:line="260" w:lineRule="auto"/>
        <w:rPr>
          <w:sz w:val="20"/>
          <w:szCs w:val="20"/>
          <w:color w:val="auto"/>
        </w:rPr>
      </w:pPr>
      <w:r>
        <w:rPr>
          <w:rFonts w:ascii="Arial" w:cs="Arial" w:eastAsia="Arial" w:hAnsi="Arial"/>
          <w:sz w:val="18"/>
          <w:szCs w:val="18"/>
          <w:color w:val="auto"/>
        </w:rPr>
        <w:t>third in late news. WSLS in Roanoke ranked third in key newscasts, while WCWJ’s syndicated viewership niche continues in daytime and early fringe in the Jacksonville market.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color w:val="auto"/>
              </w:rPr>
              <w:t>Year Ended December 31</w:t>
            </w:r>
          </w:p>
        </w:tc>
        <w:tc>
          <w:tcPr>
            <w:tcW w:w="1220" w:type="dxa"/>
            <w:vAlign w:val="bottom"/>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449,053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487,619</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20,467</w:t>
            </w:r>
          </w:p>
        </w:tc>
        <w:tc>
          <w:tcPr>
            <w:tcW w:w="34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28,851</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19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Manufacturing includes four businesses: Hoover Treated Wood Products, Inc., a supplier of pressure impregnated kiln-dried lumber and plywood products for fire retardant and preservative applications; Dekko, a manufacturer of electrical workspace solutions, architectural lighting and electrical components and assemblies; Joyce/Dayton Corp., a manufacturer of screw jacks and other linear motion systems; and Forney, a global supplier of products and systems that control and monitor combustion processes in electric utility and industrial applications. In July 2018, Dekko acquired Furnlite, Inc., a Fallston, NC-based manufacturer of power and data solutions for the hospitality and residential furniture industries.</w:t>
      </w:r>
    </w:p>
    <w:p>
      <w:pPr>
        <w:spacing w:after="0" w:line="11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Manufacturing revenues declined in 2019 due primarily to a decline at Hoover from lower wood prices, partially offset by increases due to the Furnlite acquisition. Operating income declined in 2019 due largely to increased labor and other operating costs at Hoover and a decline at Forney.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color w:val="auto"/>
              </w:rPr>
              <w:t>Year Ended December 31</w:t>
            </w:r>
          </w:p>
        </w:tc>
        <w:tc>
          <w:tcPr>
            <w:tcW w:w="1220" w:type="dxa"/>
            <w:vAlign w:val="bottom"/>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161,768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149,275</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w:t>
            </w:r>
          </w:p>
        </w:tc>
      </w:tr>
      <w:tr>
        <w:trPr>
          <w:trHeight w:val="225"/>
        </w:trPr>
        <w:tc>
          <w:tcPr>
            <w:tcW w:w="76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tcPr>
          <w:p>
            <w:pPr>
              <w:spacing w:after="0"/>
              <w:rPr>
                <w:sz w:val="19"/>
                <w:szCs w:val="19"/>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7,908</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(8,401)</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18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GHG provides home health and hospice services in three states. Healthcare revenues increased 8% in 2019, largely due to patient growth in both home health and hospice. The improvement in GHG operating results in 2019 is due to increased revenues and the absence of integration costs and other overall cost reduction. In the third quarter of 2018, GHG recorded a $7.9 million intangible asset impairment charge related to the Celtic trademark, which was phased out in the second half of 2018.</w:t>
      </w:r>
    </w:p>
    <w:p>
      <w:pPr>
        <w:spacing w:after="0" w:line="111"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In December 2019, GHG acquired a 75% interest in CSI Pharmacy Holding Company, LLC, a Wake Village, TX-based company, which coordinates the prescriptions and nursing care for patients receiving in-home infusion treatments.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4"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On July 31, 2019, the Company acquired Clyde’s Restaurant Group. At the date of acquisition, CRG owned and operated thirteen restaurants and entertainment venues in the Washington, D.C. metropolitan area, including Old Ebbitt Grill and The Hamilton. CRG is managed by its existing management team as a wholly-owned subsidiary of the Company.</w:t>
      </w:r>
    </w:p>
    <w:p>
      <w:pPr>
        <w:spacing w:after="0" w:line="111"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Mr. Ourisman and his team of industry professionals operate and manage the dealerships. In the fourth quarter of 2019, the Company and Mr. Ourisman commenced operations at a new Jeep automotive dealership, which began generating sales in January 2020 as Ourisman Jeep of Bethesda. Mr. Ourisman and his team are also operating and managing this new dealership. The Company holds a 90% stake in all three dealerships.</w:t>
      </w:r>
    </w:p>
    <w:p>
      <w:pPr>
        <w:spacing w:after="0" w:line="111" w:lineRule="exact"/>
        <w:rPr>
          <w:sz w:val="20"/>
          <w:szCs w:val="20"/>
          <w:color w:val="auto"/>
        </w:rPr>
      </w:pPr>
    </w:p>
    <w:p>
      <w:pPr>
        <w:jc w:val="both"/>
        <w:ind w:right="640"/>
        <w:spacing w:after="0" w:line="239" w:lineRule="auto"/>
        <w:rPr>
          <w:sz w:val="20"/>
          <w:szCs w:val="20"/>
          <w:color w:val="auto"/>
        </w:rPr>
      </w:pPr>
      <w:r>
        <w:rPr>
          <w:rFonts w:ascii="Arial" w:cs="Arial" w:eastAsia="Arial" w:hAnsi="Arial"/>
          <w:sz w:val="18"/>
          <w:szCs w:val="18"/>
          <w:color w:val="auto"/>
        </w:rPr>
        <w:t>Revenues from other businesses increased due mostly to the automotive dealership and CRG acquisitions. Operating results for the automotive dealerships and CRG were both positive for 2019, although results were adversely impacted by transaction and transition expenses. Automotive results were also adversely impacted by start-up costs for the new Jeep dealership.</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the third quarter of 2018, SocialCode acquired Marketplace Strategy, a Cleveland-based Amazon sales acceleration agency. SocialCode’s revenue increased 7% in 2019. SocialCode reported an operating loss of $3.3 million in 2019, compared to an operating loss of $1.1 million in 2018. SocialCode’s operating results included a credit of $0.3 million related to phantom equity plans in 2019; whereas 2018 results included a credit of $7.1 million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56" w:name="page57"/>
    <w:bookmarkEnd w:id="56"/>
    <w:p>
      <w:pPr>
        <w:ind w:right="560"/>
        <w:spacing w:after="0" w:line="260" w:lineRule="auto"/>
        <w:rPr>
          <w:sz w:val="20"/>
          <w:szCs w:val="20"/>
          <w:color w:val="auto"/>
        </w:rPr>
      </w:pPr>
      <w:r>
        <w:rPr>
          <w:rFonts w:ascii="Arial" w:cs="Arial" w:eastAsia="Arial" w:hAnsi="Arial"/>
          <w:sz w:val="18"/>
          <w:szCs w:val="18"/>
          <w:color w:val="auto"/>
        </w:rPr>
        <w:t>related to phantom equity plans in 2018. Excluding the amounts related to phantom equity plans for the relevant periods, SocialCode’s results improved in 2019, largely due to cost reductions.</w:t>
      </w:r>
    </w:p>
    <w:p>
      <w:pPr>
        <w:spacing w:after="0" w:line="92" w:lineRule="exact"/>
        <w:rPr>
          <w:sz w:val="20"/>
          <w:szCs w:val="20"/>
          <w:color w:val="auto"/>
        </w:rPr>
      </w:pPr>
    </w:p>
    <w:p>
      <w:pPr>
        <w:jc w:val="both"/>
        <w:ind w:right="80"/>
        <w:spacing w:after="0" w:line="23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three investment stage businesses, Megaphone, Pinna and CyberVista. All five of these businesses reported revenue increases in 2019. Losses from each of these five businesses in 2019 adversely affected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4"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46"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At December 31, 2019,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$11.7 million and $14.5 million for 2019 and 2018, respectively. In the third quarter of 2018, the Company recorded $7.9 million in gains in equity in earnings of affiliates related to two of its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4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On May 30, 2018, the Company issued $400 million of 5.75% unsecured eight-year fixed-rate notes due June 1, 2026. Interest is payable semi-annually on June 1 and December 1. On June 29, 2018, the Company used the net proceeds from the sale of the notes and other cash to repay $ 400 million of 7.25% notes that were due February 1, 2019. The Company incurred $11.4 million in debt extinguishment costs related to the early termination of the 7.25% notes.</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Company incurred net interest expense of $23.6 million in 2019, compared to $ 32.5 million in 2018. The Company incurred $6.2 million in interest expense related to the mandatorily redeemable noncontrolling interest at GHG settled in the second quarter of 2018.</w:t>
      </w:r>
    </w:p>
    <w:p>
      <w:pPr>
        <w:spacing w:after="0" w:line="9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At December 31, 2019, the Company had $512.8 million in borrowings outstanding at an average interest rate of 5.1%, and cash, marketable securities and other investments of $814.0 million. At December 31, 2018, the Company had $477.1 million in borrowings outstanding at an average interest rate of 5.1%, and cash, marketable securities and other investments of $778.7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Company recorded net non-operating pension and postretirement benefit income of $162.8 million in 2019, compared to $120.5 million in 2018.</w:t>
      </w:r>
    </w:p>
    <w:p>
      <w:pPr>
        <w:spacing w:after="0" w:line="9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In the fourth quarter of 2019, the Company’s pension plan purchased a group annuity contract from an insurance company for a group of retirees. As a result, the Company recorded a $91.7 million settlement gain in the fourth quarter of 2019. In the second quarter of 2019, the Company recorded $6.6 million in non-operating pension expense related to a SIP at the education division.</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the fourth quarter of 2018, the Company recorded a $26.9 million gain related to a bulk lump sum pension program offering. Also in the fourth quarter of 2018, the Company made changes to its postretirement healthcare benefit plan, resulting in a $3.4 million curtailment gain.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46"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The Company recognized $98.7 million in net gains and $15.8 million in net losses on marketable equity securities in 2019 and 2018, respectively.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46"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Company recorded total other non-operating income, net, of $32.4 million in 2019, compared to $2.1 million in 2018. The 2019 amounts included a $29.0 million gain on the sale of the Company’s interest in Gimlet Media; $5.1 million in fair value increases on cost method investments; and other items; partially offset by $1.1 million in losses on guarantor lease obligations in connection with the 2015 sale of the KHE Campuses businesses; $1.1 million in foreign currency losses; and $0.6 million in net losses related to sales of businesses and contingent consideration. The 2018 non-operating income, net, included $11.7 million in fair value increases on cost method investments; $ 8.2 million in net gains related to sales of businesses and contingent consideration; a $2.8 million gain on sale of a cost method investment; a $2.5 million gain on sale of land and other items, partially offset by $17.5 million in losses on guarantor lease obligations in connection with the 2015 sale of the KHE Campuses businesses; $3.8 million in foreign currency losses; and $2.7 million in impairments on cost method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Company’s effective tax rate for 2019 was 23.1%. In the first quarter of 2019, the Company recorded income tax benefits related to stock compensation of $1.7 million. Excluding this $1.7 million benefit, the overall income tax rate for 2019 was 23.5%.</w:t>
      </w:r>
    </w:p>
    <w:p>
      <w:pPr>
        <w:spacing w:after="0" w:line="9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Company’s effective tax rate for 2018 was 16.1%. In the third quarter of 2018, the Company recorded a $17.8 million deferred state tax benefit related to the release of valuation allowances. Excluding this $17.8 million benefit and income tax benefit related to stock compensation of $1.8 million recorded in the first quarter of 2018, the overall income tax rate for 2018 was 22.2%.</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Revenue Recognition Standard</w:t>
      </w:r>
    </w:p>
    <w:p>
      <w:pPr>
        <w:spacing w:after="0" w:line="146"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On January 1, 2018, the Company adopted the new revenue recognition guidance using the modified retrospective approach. In connection with the KU Transaction, Kaplan recognized $4.5 million in fee revenue and operating income in the third quarter of 2018. Under the previous guidance, this would not have been recognized, as a determination would not have been made until the end of Purdue Global’s fiscal year (June 30, 2019). If the company applied the accounting policies under the previous guidance for all other revenue streams, revenue and operating expenses would have been $1.7 million and $0.6 million lower, respectively, for 2018.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413,991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200,165</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9,063</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13,879</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587,582</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599,967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512,555</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512,829</w:t>
            </w:r>
          </w:p>
        </w:tc>
      </w:tr>
    </w:tbl>
    <w:p>
      <w:pPr>
        <w:spacing w:after="0" w:line="133"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five-year revolving credit facility, amounting to $225.3 million at December 31, 2020.</w:t>
      </w:r>
    </w:p>
    <w:p>
      <w:pPr>
        <w:spacing w:after="0" w:line="9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In March 2020, the U.S. government enacted legislation, including the CARES Act to provide stimulus in the form of financial aid to businesses affected by the COVID-19 pandemic. Under the CARES Act, employers may defer the payment of the employer share of FICA taxes due for the period beginning on March 27, 2020, and ending December 31, 2020. As of December 31, 2020, the Company has deferred $21.5 million of FICA payments under this program, of which 50% is due by December 31, 2021 and the remaining balance due by December 31, 2022.</w:t>
      </w:r>
    </w:p>
    <w:p>
      <w:pPr>
        <w:spacing w:after="0" w:line="111"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the second quarter of 2020, GHG received $7.4 million under the CARES Act as a general distribution from the Provider Relief Fund to provide relief for lost revenues and expenses incurred in connection with COVID-19. In addition to the above distribution, in April 2020, GHG applied for and received $31.5 million under the expanded Medicare Accelerated and Advanced Payment Program, modified by the CARES Act. The Department of Health and Human Services will recoup this advance beginning 365 days after the payment was issued, and the advance will be reduced by a portion of the amount of revenue recognized for claims submitted for services provided after the recoupment period begins.</w:t>
      </w:r>
    </w:p>
    <w:p>
      <w:pPr>
        <w:spacing w:after="0" w:line="109"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Governments in other jurisdictions where the Company operates also provided relief to businesses affected by the COVID-19 pandemic in the form of job retention schemes, payroll assistance, deferral of income and other tax</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8" w:name="page59"/>
    <w:bookmarkEnd w:id="58"/>
    <w:p>
      <w:pPr>
        <w:ind w:right="20"/>
        <w:spacing w:after="0" w:line="239" w:lineRule="auto"/>
        <w:rPr>
          <w:sz w:val="20"/>
          <w:szCs w:val="20"/>
          <w:color w:val="auto"/>
        </w:rPr>
      </w:pPr>
      <w:r>
        <w:rPr>
          <w:rFonts w:ascii="Arial" w:cs="Arial" w:eastAsia="Arial" w:hAnsi="Arial"/>
          <w:sz w:val="18"/>
          <w:szCs w:val="18"/>
          <w:color w:val="auto"/>
        </w:rPr>
        <w:t>payments, and loans. As of December 31, 2020, Kaplan has recorded benefits totaling $12.2 million related to job retention and payroll schemes, mostly at Kaplan International. Additionally, Kaplan deferred VAT and other tax payments in the U.K. and Ireland amounting to $4.5 million as of December 31, 2020.</w:t>
      </w:r>
    </w:p>
    <w:p>
      <w:pPr>
        <w:spacing w:after="0" w:line="11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During 2020, the Company’s cash and cash equivalents increased by $213.8 million, due largely to cash generated from operations and the proceeds from the sale of Megaphone and marketable equity securities. The increase was offset by the repurchase of common shares, payment of dividends, capital expenditures and the acquisition of three businesses and other investments. In 2020, the Company’s borrowings decreased by $0.3 million primarily due to net repayments of borrowings, partially offset by foreign currency translation adjustments.</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As of December 31, 2020 and 2019, the Company had money market investments of $268.8 million and $45.2 million, respectively, that are included in cash and cash equivalents. At December 31, 2020, the Company held approximately $134 million in cash and cash equivalents in businesses domiciled outside the U.S., of which approximately $8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11" w:lineRule="exact"/>
        <w:rPr>
          <w:sz w:val="20"/>
          <w:szCs w:val="20"/>
          <w:color w:val="auto"/>
        </w:rPr>
      </w:pPr>
    </w:p>
    <w:p>
      <w:pPr>
        <w:ind w:right="580"/>
        <w:spacing w:after="0" w:line="234" w:lineRule="auto"/>
        <w:rPr>
          <w:sz w:val="20"/>
          <w:szCs w:val="20"/>
          <w:color w:val="auto"/>
        </w:rPr>
      </w:pPr>
      <w:r>
        <w:rPr>
          <w:rFonts w:ascii="Arial" w:cs="Arial" w:eastAsia="Arial" w:hAnsi="Arial"/>
          <w:sz w:val="18"/>
          <w:szCs w:val="18"/>
          <w:color w:val="auto"/>
        </w:rPr>
        <w:t>At December 31, 2020, the fair value of the Company’s investments in marketable equity securities was $573.1 million, which includes investments in the common stock of six publicly traded companies. During 2020, the Company sold marketable equity securities that generated proceeds of $93.8 million. At December 31, 2020, the unrealized gain related to the Company’s investments totaled $340.3 million.</w:t>
      </w:r>
    </w:p>
    <w:p>
      <w:pPr>
        <w:spacing w:after="0" w:line="111"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The Company had working capital of $824.5 million and $621.6 million at December 31, 2020 and 2019, respectively. The Company maintains working capital levels consistent with its underlying business requirements and consistently generates cash from operations in excess of required interest or principal payments.</w:t>
      </w:r>
    </w:p>
    <w:p>
      <w:pPr>
        <w:spacing w:after="0" w:line="11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At December 31, 2020 and 2019, the Company had borrowings outstanding of $512.6 million and $ 512.8 million, respectively. The Company’s borrowings at December 31, 2020 were mostly from $400.0 million of 5.75% unsecured notes due June 1, 2026, £ 55 million in outstanding borrowings under the Company’s revolving credit facility and a commercial note of $25.3 million at the Automotive subsidiary. The Company’s borrowings at December 31, 2019 were mostly from $400.0 million of 5.75% unsecured notes due June 1, 2026, £60 million in outstanding borrowings under the Kaplan Credit Agreement and a commercial note of $27.5 million at the Automotive subsidiary. The interest on $400.0 million of 5.75% unsecured notes is payable semiannually on June 1 and December 1.</w:t>
      </w:r>
    </w:p>
    <w:p>
      <w:pPr>
        <w:spacing w:after="0" w:line="11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During 2020 and 2019, the Company had average borrowings outstanding of approximately $512.4 million and $500.6 million, respectively, at average annual interest rates of approximately 5.1%. The Company incurred net interest expense of $34.4 million and $23.6 million, respectively, during 2020 and 2019. Included in the 2020 interest expense is an amount of $8.5 million to adjust the fair value of the mandatorily redeemable noncontrolling interest (see Note 11).</w:t>
      </w:r>
    </w:p>
    <w:p>
      <w:pPr>
        <w:spacing w:after="0" w:line="111"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color w:val="auto"/>
        </w:rPr>
        <w:t>On April 10, 2020, Moody’s affirmed the Company’s credit ratings, but revised the outlook from Stable to Negative. On April 27, 2020, Standard &amp; Poor’s downgraded the Company’s credit rating to BB and revised the outlook from Stable to Negative.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Standard &amp; Poor’s</w:t>
            </w: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ind w:left="4420"/>
              <w:spacing w:after="0"/>
              <w:rPr>
                <w:sz w:val="20"/>
                <w:szCs w:val="20"/>
                <w:color w:val="auto"/>
              </w:rPr>
            </w:pPr>
            <w:r>
              <w:rPr>
                <w:rFonts w:ascii="Arial" w:cs="Arial" w:eastAsia="Arial" w:hAnsi="Arial"/>
                <w:sz w:val="16"/>
                <w:szCs w:val="16"/>
                <w:color w:val="auto"/>
              </w:rPr>
              <w:t>Ba1</w:t>
            </w:r>
          </w:p>
        </w:tc>
        <w:tc>
          <w:tcPr>
            <w:tcW w:w="1660" w:type="dxa"/>
            <w:vAlign w:val="bottom"/>
          </w:tcPr>
          <w:p>
            <w:pPr>
              <w:ind w:left="1420"/>
              <w:spacing w:after="0"/>
              <w:rPr>
                <w:sz w:val="20"/>
                <w:szCs w:val="20"/>
                <w:color w:val="auto"/>
              </w:rPr>
            </w:pPr>
            <w:r>
              <w:rPr>
                <w:rFonts w:ascii="Arial" w:cs="Arial" w:eastAsia="Arial" w:hAnsi="Arial"/>
                <w:sz w:val="16"/>
                <w:szCs w:val="16"/>
                <w:color w:val="auto"/>
              </w:rPr>
              <w:t>BB</w:t>
            </w:r>
          </w:p>
        </w:tc>
      </w:tr>
    </w:tbl>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As of December, 31, 2020, the Company had $ 74.7 million outstanding under the $300 million revolving credit facility, which borrowing was used to repay the £60 million Kaplan U.K. credit facility that matured at the end of June 2020.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2018</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210,663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165,164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287,019</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199,371</w:t>
            </w:r>
          </w:p>
        </w:tc>
        <w:tc>
          <w:tcPr>
            <w:tcW w:w="32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(236,735)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(230,964)</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Arial" w:cs="Arial" w:eastAsia="Arial" w:hAnsi="Arial"/>
                <w:sz w:val="16"/>
                <w:szCs w:val="16"/>
                <w:b w:val="1"/>
                <w:bCs w:val="1"/>
                <w:color w:val="auto"/>
              </w:rPr>
              <w:t>(204,002)</w:t>
            </w:r>
          </w:p>
        </w:tc>
        <w:tc>
          <w:tcPr>
            <w:tcW w:w="32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18,734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(192,359)</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2,978</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2,766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(7,147)</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209,010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(50,071)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(143,451)</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19"/>
        </w:trPr>
        <w:tc>
          <w:tcPr>
            <w:tcW w:w="7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299,968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327,879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271,408</w:t>
            </w:r>
          </w:p>
        </w:tc>
      </w:tr>
      <w:tr>
        <w:trPr>
          <w:trHeight w:val="219"/>
        </w:trPr>
        <w:tc>
          <w:tcPr>
            <w:tcW w:w="764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7640" w:type="dxa"/>
            <w:vAlign w:val="bottom"/>
          </w:tcPr>
          <w:p>
            <w:pPr>
              <w:ind w:left="140"/>
              <w:spacing w:after="0"/>
              <w:rPr>
                <w:sz w:val="20"/>
                <w:szCs w:val="20"/>
                <w:color w:val="auto"/>
              </w:rPr>
            </w:pPr>
            <w:r>
              <w:rPr>
                <w:rFonts w:ascii="Arial" w:cs="Arial" w:eastAsia="Arial" w:hAnsi="Arial"/>
                <w:sz w:val="16"/>
                <w:szCs w:val="16"/>
                <w:color w:val="auto"/>
              </w:rPr>
              <w:t>Depreciation, amortization and goodwill and other long-lived asset impairment</w:t>
            </w:r>
          </w:p>
        </w:tc>
        <w:tc>
          <w:tcPr>
            <w:tcW w:w="2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161,207</w:t>
            </w:r>
          </w:p>
        </w:tc>
        <w:tc>
          <w:tcPr>
            <w:tcW w:w="3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121,648</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112,245</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89,956</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84,185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Net pension benefit, settlement, early retirement and special separation benefit expense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(41,573)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(137,909)</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(100,948)</w:t>
            </w: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Debt extinguishment costs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10,563</w:t>
            </w: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(229,134)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(34,714)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(877)</w:t>
            </w:r>
          </w:p>
        </w:tc>
      </w:tr>
      <w:tr>
        <w:trPr>
          <w:trHeight w:val="233"/>
        </w:trPr>
        <w:tc>
          <w:tcPr>
            <w:tcW w:w="764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(69,761)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(195,925)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(5,372)</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210,663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165,164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287,019</w:t>
            </w:r>
          </w:p>
        </w:tc>
      </w:tr>
      <w:tr>
        <w:trPr>
          <w:trHeight w:val="21"/>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92"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For 2020 compared to 2019, the increase in net cash provided by operating activities is primarily due to changes in operating assets and liabilities. Changes in operating assets and liabilities were driven by the collection of accounts receivable, the advance received by GHG under the expanded Medicare Accelerated and Advanced Payment Program as modified by the CARES Act, and the deferral of FICA payments under the CARES Act.</w:t>
      </w:r>
    </w:p>
    <w:p>
      <w:pPr>
        <w:spacing w:after="0" w:line="1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For 2019 compared to 2018, decrease in net cash provided by operating activities is primarily due to lower operating income and changes in operating assets and liabilities. Changes in operating assets and liabilities were driven by accounts receivable, partially offset by deferred revenue.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provided by (used in) investing activities were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8"/>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p>
      <w:pPr>
        <w:spacing w:after="0" w:line="9" w:lineRule="exact"/>
        <w:rPr>
          <w:sz w:val="20"/>
          <w:szCs w:val="20"/>
          <w:color w:val="auto"/>
        </w:rPr>
      </w:pPr>
    </w:p>
    <w:p>
      <w:pPr>
        <w:ind w:left="20" w:right="3140"/>
        <w:spacing w:after="0" w:line="299" w:lineRule="auto"/>
        <w:rPr>
          <w:sz w:val="20"/>
          <w:szCs w:val="20"/>
          <w:color w:val="auto"/>
        </w:rPr>
      </w:pPr>
      <w:r>
        <w:rPr>
          <w:rFonts w:ascii="Arial" w:cs="Arial" w:eastAsia="Arial" w:hAnsi="Arial"/>
          <w:sz w:val="16"/>
          <w:szCs w:val="16"/>
          <w:color w:val="auto"/>
        </w:rPr>
        <w:t>Investments in certain businesses, net of cash acquired Purchases of property, plant and equipment</w:t>
      </w:r>
    </w:p>
    <w:p>
      <w:pPr>
        <w:spacing w:after="0" w:line="1" w:lineRule="exact"/>
        <w:rPr>
          <w:sz w:val="20"/>
          <w:szCs w:val="20"/>
          <w:color w:val="auto"/>
        </w:rPr>
      </w:pPr>
    </w:p>
    <w:p>
      <w:pPr>
        <w:ind w:left="20" w:right="2340"/>
        <w:spacing w:after="0" w:line="299" w:lineRule="auto"/>
        <w:rPr>
          <w:sz w:val="20"/>
          <w:szCs w:val="20"/>
          <w:color w:val="auto"/>
        </w:rPr>
      </w:pPr>
      <w:r>
        <w:rPr>
          <w:rFonts w:ascii="Arial" w:cs="Arial" w:eastAsia="Arial" w:hAnsi="Arial"/>
          <w:sz w:val="16"/>
          <w:szCs w:val="16"/>
          <w:color w:val="auto"/>
        </w:rPr>
        <w:t>Net proceeds from sales of marketable equity securities Investments in equity affiliates, cost method and other investments</w:t>
      </w:r>
    </w:p>
    <w:p>
      <w:pPr>
        <w:spacing w:after="0" w:line="1" w:lineRule="exact"/>
        <w:rPr>
          <w:sz w:val="20"/>
          <w:szCs w:val="20"/>
          <w:color w:val="auto"/>
        </w:rPr>
      </w:pPr>
    </w:p>
    <w:p>
      <w:pPr>
        <w:ind w:left="20"/>
        <w:spacing w:after="0" w:line="324" w:lineRule="auto"/>
        <w:rPr>
          <w:sz w:val="20"/>
          <w:szCs w:val="20"/>
          <w:color w:val="auto"/>
        </w:rPr>
      </w:pPr>
      <w:r>
        <w:rPr>
          <w:rFonts w:ascii="Arial" w:cs="Arial" w:eastAsia="Arial" w:hAnsi="Arial"/>
          <w:sz w:val="16"/>
          <w:szCs w:val="16"/>
          <w:color w:val="auto"/>
        </w:rPr>
        <w:t>Net proceeds (payments) from sales of businesses, property, plant and equipment and other assets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ind w:left="480" w:hanging="467"/>
        <w:spacing w:after="0"/>
        <w:tabs>
          <w:tab w:leader="none" w:pos="48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(20,080)  </w:t>
      </w:r>
      <w:r>
        <w:rPr>
          <w:rFonts w:ascii="Arial" w:cs="Arial" w:eastAsia="Arial" w:hAnsi="Arial"/>
          <w:sz w:val="16"/>
          <w:szCs w:val="16"/>
          <w:color w:val="auto"/>
        </w:rPr>
        <w:t>$    (179,421)  $    (111,546)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(69,591)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(93,504)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(98,192)</w:t>
            </w:r>
          </w:p>
        </w:tc>
      </w:tr>
      <w:tr>
        <w:trPr>
          <w:trHeight w:val="230"/>
        </w:trPr>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73,771</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11,804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24,082</w:t>
            </w:r>
          </w:p>
        </w:tc>
      </w:tr>
      <w:tr>
        <w:trPr>
          <w:trHeight w:val="230"/>
        </w:trPr>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(12,367)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(27,529)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(11,702)</w:t>
            </w:r>
          </w:p>
        </w:tc>
      </w:tr>
      <w:tr>
        <w:trPr>
          <w:trHeight w:val="229"/>
        </w:trPr>
        <w:tc>
          <w:tcPr>
            <w:tcW w:w="2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225,570</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54,495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(10,344)</w:t>
            </w:r>
          </w:p>
        </w:tc>
      </w:tr>
      <w:tr>
        <w:trPr>
          <w:trHeight w:val="233"/>
        </w:trPr>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2,068</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(23,262)</w:t>
            </w:r>
          </w:p>
        </w:tc>
      </w:tr>
      <w:tr>
        <w:trPr>
          <w:trHeight w:val="226"/>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199,371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(236,735)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(230,964)</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7140" w:space="500"/>
            <w:col w:w="3580"/>
          </w:cols>
          <w:pgMar w:left="320" w:top="1035" w:right="359" w:bottom="1440" w:gutter="0" w:footer="0" w:header="0"/>
          <w:type w:val="continuous"/>
        </w:sectPr>
      </w:pPr>
    </w:p>
    <w:p>
      <w:pPr>
        <w:ind w:right="80"/>
        <w:spacing w:after="0" w:line="228"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2020, the Company acquired three businesses: two small businesses in its education division and an additional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 Framebridge, Inc., which is included in other businesses. The Framebridge purchase price included $ 53.4 million in deferred payments and contingent consideration based on the acquiree achieving certain revenue milestones in the future. During 2019, the Company acquired eight businesses: one in education, three in healthcare, one in manufacturing, and three in other businesses for $211.8 million in cash and contingent consideration and the assumption of $25.8 million in floor plan payables. During 2018, the Company acquired eight businesses: five in education, one in manufacturing, one in healthcare, and one in other businesses for $121.1 million in cash and contingent consideration.</w:t>
      </w:r>
    </w:p>
    <w:p>
      <w:pPr>
        <w:spacing w:after="0" w:line="109"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2020 capital expenditures are significantly lower than 2019 and 2018 primarily due to the completion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an academic and student residential facility in connection with Kaplan’s Pathways program in Liverpool, U.K. All periods include capital expenditures in connection with spectrum repacking at the Company’s television stations in Detroit, MI, Jacksonville, FL, and Roanoke, VA, as mandated by the FCC; these</w:t>
      </w:r>
    </w:p>
    <w:p>
      <w:pPr>
        <w:sectPr>
          <w:pgSz w:w="11900" w:h="16838" w:orient="portrait"/>
          <w:cols w:equalWidth="0" w:num="1">
            <w:col w:w="11220"/>
          </w:cols>
          <w:pgMar w:left="320" w:top="1035" w:right="3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60" w:name="page61"/>
    <w:bookmarkEnd w:id="60"/>
    <w:p>
      <w:pPr>
        <w:ind w:right="80"/>
        <w:spacing w:after="0" w:line="231" w:lineRule="auto"/>
        <w:rPr>
          <w:sz w:val="20"/>
          <w:szCs w:val="20"/>
          <w:color w:val="auto"/>
        </w:rPr>
      </w:pPr>
      <w:r>
        <w:rPr>
          <w:rFonts w:ascii="Arial" w:cs="Arial" w:eastAsia="Arial" w:hAnsi="Arial"/>
          <w:sz w:val="18"/>
          <w:szCs w:val="18"/>
          <w:color w:val="auto"/>
        </w:rPr>
        <w:t>spectrum repacking expenditures are expected to be largely reimbursed to the Company by the FCC. The amounts reflected in the Company’s Statements of Cash Flows are based on cash payments made during the relevant periods, whereas the Company’s capital expenditures for 2020, 2019 and 2018 disclosed in Note 19 to the Consolidated Financial Statements include assets acquired during the year. The Company is also postponing noncritical capital expenditures originally planned for 2020 to preserve cash resources in response to the COVID-19 pandemic. The Company estimates that its capital expenditures will be in the range of $55 million to $65 million in 2021.</w:t>
      </w:r>
    </w:p>
    <w:p>
      <w:pPr>
        <w:spacing w:after="0" w:line="11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i w:val="1"/>
          <w:iCs w:val="1"/>
          <w:color w:val="auto"/>
        </w:rPr>
        <w:t xml:space="preserve">Net Proceeds from Sales of Investments and Businesses. </w:t>
      </w:r>
      <w:r>
        <w:rPr>
          <w:rFonts w:ascii="Arial" w:cs="Arial" w:eastAsia="Arial" w:hAnsi="Arial"/>
          <w:sz w:val="18"/>
          <w:szCs w:val="18"/>
          <w:color w:val="auto"/>
        </w:rPr>
        <w:t>In December 2020, the Company completed the sale of Megaphone; the total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the sale were $223.0 million. In November 2019, Kaplan UK completed the sale of a small business which was included in Kaplan International. The Company sold its interest in Gimlet Media during February 2019; the total proceeds from the sale were $33.5 million. In February 2018, Kaplan completed the sale of a small business which was included in Supplemental Education. In September 2018, Kaplan Australia completed the sale of a small business which was included in Kaplan International.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p>
    <w:p>
      <w:pPr>
        <w:spacing w:after="0" w:line="223" w:lineRule="auto"/>
        <w:rPr>
          <w:sz w:val="20"/>
          <w:szCs w:val="20"/>
          <w:color w:val="auto"/>
        </w:rPr>
      </w:pPr>
      <w:r>
        <w:rPr>
          <w:rFonts w:ascii="Arial" w:cs="Arial" w:eastAsia="Arial" w:hAnsi="Arial"/>
          <w:sz w:val="18"/>
          <w:szCs w:val="18"/>
          <w:color w:val="auto"/>
        </w:rPr>
        <w:t>contribute the institutional assets and operations of Kaplan University to an Indiana nonprofit, public-benefit corporation that is a</w:t>
      </w:r>
    </w:p>
    <w:p>
      <w:pPr>
        <w:spacing w:after="0" w:line="219" w:lineRule="auto"/>
        <w:rPr>
          <w:sz w:val="20"/>
          <w:szCs w:val="20"/>
          <w:color w:val="auto"/>
        </w:rPr>
      </w:pPr>
      <w:r>
        <w:rPr>
          <w:rFonts w:ascii="Arial" w:cs="Arial" w:eastAsia="Arial" w:hAnsi="Arial"/>
          <w:sz w:val="18"/>
          <w:szCs w:val="18"/>
          <w:color w:val="auto"/>
        </w:rPr>
        <w:t>subsidiary affiliated with Purdue University. The closing of the transactions contemplated by the Transfer Agreement occurred on March 22,</w:t>
      </w:r>
    </w:p>
    <w:p>
      <w:pPr>
        <w:spacing w:after="0" w:line="220" w:lineRule="auto"/>
        <w:rPr>
          <w:sz w:val="20"/>
          <w:szCs w:val="20"/>
          <w:color w:val="auto"/>
        </w:rPr>
      </w:pPr>
      <w:r>
        <w:rPr>
          <w:rFonts w:ascii="Arial" w:cs="Arial" w:eastAsia="Arial" w:hAnsi="Arial"/>
          <w:sz w:val="18"/>
          <w:szCs w:val="18"/>
          <w:color w:val="auto"/>
        </w:rPr>
        <w:t>2018. At the same time, the parties entered into the TOSA pursuant to which Kaplan provides key non-academic operations support to the</w:t>
      </w:r>
    </w:p>
    <w:p>
      <w:pPr>
        <w:spacing w:after="0" w:line="219" w:lineRule="auto"/>
        <w:rPr>
          <w:sz w:val="20"/>
          <w:szCs w:val="20"/>
          <w:color w:val="auto"/>
        </w:rPr>
      </w:pPr>
      <w:r>
        <w:rPr>
          <w:rFonts w:ascii="Arial" w:cs="Arial" w:eastAsia="Arial" w:hAnsi="Arial"/>
          <w:sz w:val="18"/>
          <w:szCs w:val="18"/>
          <w:color w:val="auto"/>
        </w:rPr>
        <w:t>new university. At closing, Kaplan paid Purdue Global an advance in the amount of $20 million, representing, and in lieu of, priority payments</w:t>
      </w:r>
    </w:p>
    <w:p>
      <w:pPr>
        <w:spacing w:after="0"/>
        <w:rPr>
          <w:sz w:val="20"/>
          <w:szCs w:val="20"/>
          <w:color w:val="auto"/>
        </w:rPr>
      </w:pPr>
      <w:r>
        <w:rPr>
          <w:rFonts w:ascii="Arial" w:cs="Arial" w:eastAsia="Arial" w:hAnsi="Arial"/>
          <w:sz w:val="18"/>
          <w:szCs w:val="18"/>
          <w:color w:val="auto"/>
        </w:rPr>
        <w:t>for Purdue Global’s fiscal years ending June 30, 2019 and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(Repayments) Issuance of borrowings and early redemption premium</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(81,276)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32,548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(17,159)</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borrowing under revolving credit facilities</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76,241</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Net proceeds from vehicle floor plan payable</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(14,160)</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14,384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(161,829)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(118,030)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(29,970)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(29,553)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(28,617)</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6,992</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3,458</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(28,553)</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(204,002)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18,734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(192,359)</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2020, the Company borrowed £60 million against the $300 million revolving credit facility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used the proceeds to repay the £60 million outstanding balance under the Kaplan Credit Agreement that matured at the end of June 2020. The Company repaid £5 million of these borrowings in the fourth quarter of 2020. In 2019, the Company had cash inflows from borrowings to fund the acquisition of two businesses at Automotive and Healthcare and used floor vehicle plan financing to fund the purchase of new vehicles at its Automotive subsidiary. The Company’s net outflow in 2018 was the result of the redemption of its $400 million of 7.25% notes, which included $11.4 million in debt extinguishment costs due to the early termination, in addition to repayments of other borrowings.</w:t>
      </w:r>
    </w:p>
    <w:p>
      <w:pPr>
        <w:spacing w:after="0" w:line="11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2020, 2019, and 2018, the Company purchased a total of 406,112, 3,392, and 199,023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of its Class B common stock at a cost of approximately $161.8 million, $2.1 million, and $ 118.0 million, respectively. On September 10, 2020, the Board of Directors authorized the Company to acquire up to 500,000 shares of its Class B common stock. The Company did not announce a ceiling price or time limit for the purchases. At December 31, 2020, the Company had remaining authorization from the Board of Directors to purchase up to 364,151 shares of Class B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annual dividend rate per share was $5.80, $5.56 and $5.32 in 2020, 2019 and 2018, respectively.</w:t>
      </w:r>
    </w:p>
    <w:p>
      <w:pPr>
        <w:spacing w:after="0" w:line="144"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2020, the Company received $25.1 million in proceeds from the exercise of stock options. In March 2019, a Hoover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put some shares to the Company, which had a redemption value of $0.6 million. In June 2018, the Company incurred $6.2 million of interest expense related to the mandatorily redeemable noncontrolling interest redemption settlement at GHG; the mandatorily redeemable noncontrolling interest was redeemed and paid in July 2018 for $16.5 million.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reflects a summary of the Company’s contractual obligations as of December 31,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Debt and interest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30,157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32,256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104,876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34,327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27,722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423,627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652,965</w:t>
            </w:r>
          </w:p>
        </w:tc>
      </w:tr>
      <w:tr>
        <w:trPr>
          <w:trHeight w:val="225"/>
        </w:trPr>
        <w:tc>
          <w:tcPr>
            <w:tcW w:w="354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106,994</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88,721</w:t>
            </w:r>
          </w:p>
        </w:tc>
        <w:tc>
          <w:tcPr>
            <w:tcW w:w="3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71,003</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57,310</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45,968</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280,837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650,833</w:t>
            </w:r>
          </w:p>
        </w:tc>
      </w:tr>
      <w:tr>
        <w:trPr>
          <w:trHeight w:val="240"/>
        </w:trPr>
        <w:tc>
          <w:tcPr>
            <w:tcW w:w="354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8,592</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8,355</w:t>
            </w:r>
          </w:p>
        </w:tc>
        <w:tc>
          <w:tcPr>
            <w:tcW w:w="3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4,667</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177</w:t>
            </w:r>
          </w:p>
        </w:tc>
        <w:tc>
          <w:tcPr>
            <w:tcW w:w="3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21,835</w:t>
            </w:r>
          </w:p>
        </w:tc>
      </w:tr>
      <w:tr>
        <w:trPr>
          <w:trHeight w:val="229"/>
        </w:trPr>
        <w:tc>
          <w:tcPr>
            <w:tcW w:w="35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108,503</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50,168</w:t>
            </w:r>
          </w:p>
        </w:tc>
        <w:tc>
          <w:tcPr>
            <w:tcW w:w="30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15,253</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9,632</w:t>
            </w:r>
          </w:p>
        </w:tc>
        <w:tc>
          <w:tcPr>
            <w:tcW w:w="3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6,831</w:t>
            </w:r>
          </w:p>
        </w:tc>
        <w:tc>
          <w:tcPr>
            <w:tcW w:w="20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18,589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208,976</w:t>
            </w:r>
          </w:p>
        </w:tc>
      </w:tr>
      <w:tr>
        <w:trPr>
          <w:trHeight w:val="234"/>
        </w:trPr>
        <w:tc>
          <w:tcPr>
            <w:tcW w:w="354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2,993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2,915</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2,803</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2,634</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2,505</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11,799</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25,649</w:t>
            </w:r>
          </w:p>
        </w:tc>
      </w:tr>
      <w:tr>
        <w:trPr>
          <w:trHeight w:val="223"/>
        </w:trPr>
        <w:tc>
          <w:tcPr>
            <w:tcW w:w="3540" w:type="dxa"/>
            <w:vAlign w:val="bottom"/>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257,239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182,415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198,602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104,080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83,052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734,870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1,560,258</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w:t>
      </w:r>
    </w:p>
    <w:p>
      <w:pPr>
        <w:spacing w:after="0" w:line="31" w:lineRule="exact"/>
        <w:rPr>
          <w:sz w:val="20"/>
          <w:szCs w:val="20"/>
          <w:color w:val="auto"/>
        </w:rPr>
      </w:pPr>
    </w:p>
    <w:p>
      <w:pPr>
        <w:ind w:left="340" w:hanging="332"/>
        <w:spacing w:after="0" w:line="233" w:lineRule="auto"/>
        <w:tabs>
          <w:tab w:leader="none" w:pos="31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6" w:lineRule="exact"/>
        <w:rPr>
          <w:rFonts w:ascii="Arial" w:cs="Arial" w:eastAsia="Arial" w:hAnsi="Arial"/>
          <w:sz w:val="13"/>
          <w:szCs w:val="13"/>
          <w:color w:val="auto"/>
        </w:rPr>
      </w:pPr>
    </w:p>
    <w:p>
      <w:pPr>
        <w:ind w:left="340" w:right="380" w:hanging="332"/>
        <w:spacing w:after="0" w:line="221" w:lineRule="auto"/>
        <w:tabs>
          <w:tab w:leader="none" w:pos="31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spacing w:after="0" w:line="5" w:lineRule="exact"/>
        <w:rPr>
          <w:rFonts w:ascii="Arial" w:cs="Arial" w:eastAsia="Arial" w:hAnsi="Arial"/>
          <w:sz w:val="13"/>
          <w:szCs w:val="13"/>
          <w:color w:val="auto"/>
        </w:rPr>
      </w:pPr>
    </w:p>
    <w:p>
      <w:pPr>
        <w:ind w:left="340" w:right="140" w:hanging="332"/>
        <w:spacing w:after="0" w:line="233" w:lineRule="auto"/>
        <w:tabs>
          <w:tab w:leader="none" w:pos="31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and long-term deferred revenue.</w:t>
      </w:r>
    </w:p>
    <w:p>
      <w:pPr>
        <w:spacing w:after="0" w:line="112" w:lineRule="exact"/>
        <w:rPr>
          <w:sz w:val="20"/>
          <w:szCs w:val="20"/>
          <w:color w:val="auto"/>
        </w:rPr>
      </w:pPr>
    </w:p>
    <w:p>
      <w:pPr>
        <w:ind w:right="660"/>
        <w:spacing w:after="0" w:line="40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r>
        <w:rPr>
          <w:rFonts w:ascii="Arial" w:cs="Arial" w:eastAsia="Arial" w:hAnsi="Arial"/>
          <w:sz w:val="18"/>
          <w:szCs w:val="18"/>
          <w:b w:val="1"/>
          <w:bCs w:val="1"/>
          <w:color w:val="auto"/>
        </w:rPr>
        <w:t xml:space="preserve"> CRITICAL ACCOUNTING POLICIES AND ESTIMATES</w:t>
      </w:r>
    </w:p>
    <w:p>
      <w:pPr>
        <w:ind w:right="80"/>
        <w:spacing w:after="0" w:line="23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11"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0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Credit Losses. </w:t>
      </w:r>
      <w:r>
        <w:rPr>
          <w:rFonts w:ascii="Arial" w:cs="Arial" w:eastAsia="Arial" w:hAnsi="Arial"/>
          <w:sz w:val="18"/>
          <w:szCs w:val="18"/>
          <w:color w:val="auto"/>
        </w:rPr>
        <w:t>Education revenue is primarily derived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services, professional education and test preparation services. Revenue, net of any refunds, corporate discounts, scholarships and employee tuition discounts is recognized ratably over the instruction period or access period for higher education and supplemental education services.</w:t>
      </w:r>
    </w:p>
    <w:p>
      <w:pPr>
        <w:spacing w:after="0" w:line="109"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At Kaplan International and Kaplan Supplemental Education,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1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KHE provides non-academic operations support services to Purdue Global pursuant to a TOSA, which includes technology support, help-desk functions, human resources support for faculty and employees, admissions support, financial aid administration, marketing and advertising, back-office business functions, and certain student recruitment services. KHE is not entitled to receive any reimbursement of costs incurred in providing support services, or any fee, unless and until Purdue Global has first covered all of its operating costs (subject to a cap), received payment for cost efficiencies, if any, and during the first five years of the TOSA receive a priority payment of $10 million per year in addition to the operating cost reimbursements and cost efficiency payments. KHE will receive reimbursement for its operating costs of providing the support services after payment of Purdue Global’s operating costs, cost efficiency payments, and priority payment. If there are sufficient revenues, KHE may be entitled to a cost efficiency payment, if any, and additional fee equal to 12.5% of Purdue Global’s revenue. Subject to certain limitations, a portion of the fee that is earned by KHE in one year may be carried over to subsequent years for payment to Kaplan.</w:t>
      </w:r>
    </w:p>
    <w:p>
      <w:pPr>
        <w:spacing w:after="0" w:line="11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support fee and reimbursement for KHE support costs are entirely dependent on the availability of cash at the end of Purdue Global’s fiscal year (June 30), and therefore, all consideration in the contract is variable. The Company uses significant judgment to forecast the operating results of Purdue Global, the availability of cash at the end of each fiscal year, and the consideration it expects to receive from Purdue Global annually. Key assumptions used in the forecast model include student census and degree enrollment data, Purdue Global and KHE expenses, changes to working capital, contractually stipulated minimum payments, and lead conversion rates. The forecast is updated as uncertainties are resolved. The Company reviews and updates the assumptions regularly, as a</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62" w:name="page63"/>
    <w:bookmarkEnd w:id="62"/>
    <w:p>
      <w:pPr>
        <w:ind w:right="80"/>
        <w:spacing w:after="0" w:line="260" w:lineRule="auto"/>
        <w:rPr>
          <w:sz w:val="20"/>
          <w:szCs w:val="20"/>
          <w:color w:val="auto"/>
        </w:rPr>
      </w:pPr>
      <w:r>
        <w:rPr>
          <w:rFonts w:ascii="Arial" w:cs="Arial" w:eastAsia="Arial" w:hAnsi="Arial"/>
          <w:sz w:val="18"/>
          <w:szCs w:val="18"/>
          <w:color w:val="auto"/>
        </w:rPr>
        <w:t>significant change in one or more of these estimates could affect revenue recognized. Changes to the estimated variable consideration were not material for the year ended December 31, 2020.</w:t>
      </w:r>
    </w:p>
    <w:p>
      <w:pPr>
        <w:spacing w:after="0" w:line="9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is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11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Accounts receivable have been reduced by an allowance that reflects the current expected credit losses associated with the receivables. This estimated allowance is based on historical write-offs, current macroeconomic conditions, reasonable and supportable forecasts of future economic conditions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1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2019</w:t>
            </w:r>
          </w:p>
        </w:tc>
      </w:tr>
      <w:tr>
        <w:trPr>
          <w:trHeight w:val="217"/>
        </w:trPr>
        <w:tc>
          <w:tcPr>
            <w:tcW w:w="8620" w:type="dxa"/>
            <w:vAlign w:val="bottom"/>
          </w:tcPr>
          <w:p>
            <w:pPr>
              <w:ind w:left="20"/>
              <w:spacing w:after="0"/>
              <w:rPr>
                <w:sz w:val="20"/>
                <w:szCs w:val="20"/>
                <w:color w:val="auto"/>
              </w:rPr>
            </w:pPr>
            <w:r>
              <w:rPr>
                <w:rFonts w:ascii="Arial" w:cs="Arial" w:eastAsia="Arial" w:hAnsi="Arial"/>
                <w:sz w:val="16"/>
                <w:szCs w:val="16"/>
                <w:color w:val="auto"/>
              </w:rPr>
              <w:t>Goodwill and indefinite-lived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1,605.2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1,528.5</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9"/>
                <w:szCs w:val="19"/>
                <w:color w:val="auto"/>
              </w:rPr>
            </w:pPr>
          </w:p>
        </w:tc>
        <w:tc>
          <w:tcPr>
            <w:tcW w:w="1020" w:type="dxa"/>
            <w:vAlign w:val="bottom"/>
          </w:tcPr>
          <w:p>
            <w:pPr>
              <w:jc w:val="right"/>
              <w:ind w:right="183"/>
              <w:spacing w:after="0"/>
              <w:rPr>
                <w:sz w:val="20"/>
                <w:szCs w:val="20"/>
                <w:color w:val="auto"/>
              </w:rPr>
            </w:pPr>
            <w:r>
              <w:rPr>
                <w:rFonts w:ascii="Arial" w:cs="Arial" w:eastAsia="Arial" w:hAnsi="Arial"/>
                <w:sz w:val="16"/>
                <w:szCs w:val="16"/>
                <w:b w:val="1"/>
                <w:bCs w:val="1"/>
                <w:color w:val="auto"/>
              </w:rPr>
              <w:t>6,444.1</w:t>
            </w:r>
          </w:p>
        </w:tc>
        <w:tc>
          <w:tcPr>
            <w:tcW w:w="340" w:type="dxa"/>
            <w:vAlign w:val="bottom"/>
          </w:tcPr>
          <w:p>
            <w:pPr>
              <w:spacing w:after="0"/>
              <w:rPr>
                <w:sz w:val="19"/>
                <w:szCs w:val="19"/>
                <w:color w:val="auto"/>
              </w:rPr>
            </w:pPr>
          </w:p>
        </w:tc>
        <w:tc>
          <w:tcPr>
            <w:tcW w:w="960" w:type="dxa"/>
            <w:vAlign w:val="bottom"/>
          </w:tcPr>
          <w:p>
            <w:pPr>
              <w:jc w:val="right"/>
              <w:ind w:right="141"/>
              <w:spacing w:after="0"/>
              <w:rPr>
                <w:sz w:val="20"/>
                <w:szCs w:val="20"/>
                <w:color w:val="auto"/>
              </w:rPr>
            </w:pPr>
            <w:r>
              <w:rPr>
                <w:rFonts w:ascii="Arial" w:cs="Arial" w:eastAsia="Arial" w:hAnsi="Arial"/>
                <w:sz w:val="16"/>
                <w:szCs w:val="16"/>
                <w:color w:val="auto"/>
              </w:rPr>
              <w:t>5,931.2</w:t>
            </w:r>
          </w:p>
        </w:tc>
      </w:tr>
      <w:tr>
        <w:trPr>
          <w:trHeight w:val="229"/>
        </w:trPr>
        <w:tc>
          <w:tcPr>
            <w:tcW w:w="8620" w:type="dxa"/>
            <w:vAlign w:val="bottom"/>
          </w:tcPr>
          <w:p>
            <w:pPr>
              <w:ind w:left="2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28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25 %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26 %</w:t>
            </w:r>
          </w:p>
        </w:tc>
      </w:tr>
    </w:tbl>
    <w:p>
      <w:pPr>
        <w:spacing w:after="0" w:line="228"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111" w:lineRule="exact"/>
        <w:rPr>
          <w:sz w:val="20"/>
          <w:szCs w:val="20"/>
          <w:color w:val="auto"/>
        </w:rPr>
      </w:pPr>
    </w:p>
    <w:p>
      <w:pPr>
        <w:ind w:right="340"/>
        <w:spacing w:after="0" w:line="228"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carrying value of goodwill at the CRG reporting unit and recorded a $6.9 million goodwill impairment charge. The Company estimated the fair value of the reporting unit by utilizing a discounted cash flow model. The Company made estimates and assumptions regarding future cash flows, discount rates and long-term growth rates to determine the reporting unit’s estimated fair value. The carrying value of the CRG reporting unit exceeded the estimated fair value, resulting in a goodwill impairment charge for the amount by which the carrying value exceeded the estimated fair value. Following the impairment, CRG has no remaining goodwill balance. CRG is included in other businesses.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3" w:name="page64"/>
    <w:bookmarkEnd w:id="63"/>
    <w:p>
      <w:pPr>
        <w:ind w:right="340"/>
        <w:spacing w:after="0" w:line="260" w:lineRule="auto"/>
        <w:rPr>
          <w:sz w:val="20"/>
          <w:szCs w:val="20"/>
          <w:color w:val="auto"/>
        </w:rPr>
      </w:pPr>
      <w:r>
        <w:rPr>
          <w:rFonts w:ascii="Arial" w:cs="Arial" w:eastAsia="Arial" w:hAnsi="Arial"/>
          <w:sz w:val="18"/>
          <w:szCs w:val="18"/>
          <w:color w:val="auto"/>
        </w:rPr>
        <w:t>The Company had 18 reporting units as of December 31, 2020. The reporting units with significant goodwill balances as of December 31, 2020, were as follows, representing 88% of the total goodwill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13"/>
        </w:trPr>
        <w:tc>
          <w:tcPr>
            <w:tcW w:w="9960" w:type="dxa"/>
            <w:vAlign w:val="bottom"/>
          </w:tcPr>
          <w:p>
            <w:pPr>
              <w:ind w:left="20"/>
              <w:spacing w:after="0"/>
              <w:rPr>
                <w:sz w:val="20"/>
                <w:szCs w:val="20"/>
                <w:color w:val="auto"/>
              </w:rPr>
            </w:pPr>
            <w:r>
              <w:rPr>
                <w:rFonts w:ascii="Arial" w:cs="Arial" w:eastAsia="Arial" w:hAnsi="Arial"/>
                <w:sz w:val="16"/>
                <w:szCs w:val="16"/>
                <w:color w:val="auto"/>
              </w:rPr>
              <w:t>Education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5"/>
        </w:trPr>
        <w:tc>
          <w:tcPr>
            <w:tcW w:w="99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634.7</w:t>
            </w:r>
          </w:p>
        </w:tc>
      </w:tr>
      <w:tr>
        <w:trPr>
          <w:trHeight w:val="229"/>
        </w:trPr>
        <w:tc>
          <w:tcPr>
            <w:tcW w:w="99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30"/>
        </w:trPr>
        <w:tc>
          <w:tcPr>
            <w:tcW w:w="99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154.2</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Television broadcasting</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190.8</w:t>
            </w:r>
          </w:p>
        </w:tc>
      </w:tr>
      <w:tr>
        <w:trPr>
          <w:trHeight w:val="229"/>
        </w:trPr>
        <w:tc>
          <w:tcPr>
            <w:tcW w:w="9960" w:type="dxa"/>
            <w:vAlign w:val="bottom"/>
          </w:tcPr>
          <w:p>
            <w:pPr>
              <w:ind w:left="2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98.4</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Hoover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238"/>
        </w:trPr>
        <w:tc>
          <w:tcPr>
            <w:tcW w:w="9960" w:type="dxa"/>
            <w:vAlign w:val="bottom"/>
          </w:tcPr>
          <w:p>
            <w:pPr>
              <w:ind w:left="20"/>
              <w:spacing w:after="0"/>
              <w:rPr>
                <w:sz w:val="20"/>
                <w:szCs w:val="20"/>
                <w:color w:val="auto"/>
              </w:rPr>
            </w:pPr>
            <w:r>
              <w:rPr>
                <w:rFonts w:ascii="Arial" w:cs="Arial" w:eastAsia="Arial" w:hAnsi="Arial"/>
                <w:sz w:val="16"/>
                <w:szCs w:val="16"/>
                <w:color w:val="auto"/>
              </w:rPr>
              <w:t>Dekko</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r>
      <w:tr>
        <w:trPr>
          <w:trHeight w:val="230"/>
        </w:trPr>
        <w:tc>
          <w:tcPr>
            <w:tcW w:w="996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1,307.0</w:t>
            </w:r>
          </w:p>
        </w:tc>
      </w:tr>
      <w:tr>
        <w:trPr>
          <w:trHeight w:val="20"/>
        </w:trPr>
        <w:tc>
          <w:tcPr>
            <w:tcW w:w="9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As of November 30, 2020, in connection with the Company’s annual impairment testing, the Company decided to perform the quantitative goodwill impairment process at all of the reporting units with the exception of Framebridge, for which it performed a qualitative assessment.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2020, was consistent with the one used during the 2019 annual goodwill impairment test.</w:t>
      </w:r>
    </w:p>
    <w:p>
      <w:pPr>
        <w:spacing w:after="0" w:line="115"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The Company made changes to certain of its assumptions utilized in the discounted cash flow models for 2020 compared with the prior year to take into account changes in the economic environment, regulations and their impact on the Company’s businesses. The key assumptions used by the Company were as follows:</w:t>
      </w:r>
    </w:p>
    <w:p>
      <w:pPr>
        <w:spacing w:after="0" w:line="111" w:lineRule="exact"/>
        <w:rPr>
          <w:sz w:val="20"/>
          <w:szCs w:val="20"/>
          <w:color w:val="auto"/>
        </w:rPr>
      </w:pPr>
    </w:p>
    <w:p>
      <w:pPr>
        <w:ind w:left="180" w:right="140" w:hanging="172"/>
        <w:spacing w:after="0" w:line="234" w:lineRule="auto"/>
        <w:tabs>
          <w:tab w:leader="none" w:pos="2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2021 through 2025 were used. The Company used expected cash flows for the periods 2021 through 2030 for the Hoover reporting unit. The expected cash flows took into account historical growth rates, the effect of the changed economic outlook at the Company’s businesses, industry challenges and an estimate for the possible impact of any applicable regulations.</w:t>
      </w:r>
    </w:p>
    <w:p>
      <w:pPr>
        <w:spacing w:after="0" w:line="110" w:lineRule="exact"/>
        <w:rPr>
          <w:rFonts w:ascii="Arial" w:cs="Arial" w:eastAsia="Arial" w:hAnsi="Arial"/>
          <w:sz w:val="18"/>
          <w:szCs w:val="18"/>
          <w:color w:val="auto"/>
        </w:rPr>
      </w:pPr>
    </w:p>
    <w:p>
      <w:pPr>
        <w:ind w:left="180" w:right="400" w:hanging="172"/>
        <w:spacing w:after="0" w:line="260" w:lineRule="auto"/>
        <w:tabs>
          <w:tab w:leader="none" w:pos="2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flows beyond 2025 were projected to grow at a long-term growth rate, which the Company estimated between 1.5% and 3% for each reporting unit.</w:t>
      </w:r>
    </w:p>
    <w:p>
      <w:pPr>
        <w:spacing w:after="0" w:line="91"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used a discount rate of 9% to 16.5%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2020.</w:t>
      </w:r>
    </w:p>
    <w:p>
      <w:pPr>
        <w:spacing w:after="0" w:line="144"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The estimated fair values of the Hoover and Dekko reporting units at the manufacturing businesses exceeded their carrying values by a margin less than 25% following a decrease in their estimated fair values compared with the prior year. The total goodwill at these reporting units was $165.7 million as of December 31, 2020, or 11% of the total goodwill of the Company. There exists a reasonable possibility that a decrease in the assumed projected cash flows or long-term growth rate, or an increase in the discount rate assumption used in the discounted cash flow model of these reporting units, could result in an impairment charge.</w:t>
      </w:r>
    </w:p>
    <w:p>
      <w:pPr>
        <w:spacing w:after="0" w:line="11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estimated fair value of the Company’s other reporting units with significant goodwill balances exceeded their respective carrying values by a margin in excess of 25%. It is possible that impairment charges could occur in the future, given changes in market conditions and the inherent variability in projecting future operating performance.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4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4" w:name="page65"/>
    <w:bookmarkEnd w:id="64"/>
    <w:p>
      <w:pPr>
        <w:ind w:right="180"/>
        <w:spacing w:after="0" w:line="239" w:lineRule="auto"/>
        <w:rPr>
          <w:sz w:val="20"/>
          <w:szCs w:val="20"/>
          <w:color w:val="auto"/>
        </w:rPr>
      </w:pPr>
      <w:r>
        <w:rPr>
          <w:rFonts w:ascii="Arial" w:cs="Arial" w:eastAsia="Arial" w:hAnsi="Arial"/>
          <w:sz w:val="18"/>
          <w:szCs w:val="18"/>
          <w:color w:val="auto"/>
        </w:rPr>
        <w:t>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Company’s intangible assets with an indefinite life are principally from trade names, franchise rights and FCC licenses. In the first quarter of 2020, the Company recorded indefinite-lived intangible asset impairment charges of $9.5 million related to the franchise rights at the automotive dealership and the trade names at CRG. The fair value of the indefinite-lived intangible assets exceeded their respective carrying values as of November 30, 2020. There is always a possibility that impairment charges could occur in the future, given the inherent variability in projecting future operating performance.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0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gains,</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gains and special termination benefits, the Company’s net pension credit was $ 55.4 million, $52.7 million and $74.0 million for 2020, 2019 and 2018, respectively. The Company’s pension benefit obligation and related credits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1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assumed a 6.25% expected return on plan assets for 2020, 2019 and 2018. The Company’s actual return (loss) on plan assets was 25.4% in 2020, 23.9% in 2019 and (2.5)% in 2018. The 10-year and 20-year actual returns on plan assets on an annual basis were 12.8% and 9.4%, respectively.</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2020, 2019 and 2018, was 2.5%, 3.3% and 4.3%, respectively, reflecting market interest rates.</w:t>
      </w:r>
    </w:p>
    <w:p>
      <w:pPr>
        <w:spacing w:after="0" w:line="11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2020 pension credit, excluding curtailment gains, settlement gains and special termination benefits:</w:t>
      </w:r>
    </w:p>
    <w:p>
      <w:pPr>
        <w:spacing w:after="0" w:line="92" w:lineRule="exact"/>
        <w:rPr>
          <w:sz w:val="20"/>
          <w:szCs w:val="20"/>
          <w:color w:val="auto"/>
        </w:rPr>
      </w:pPr>
    </w:p>
    <w:p>
      <w:pPr>
        <w:ind w:left="180" w:right="760" w:hanging="172"/>
        <w:spacing w:after="0" w:line="260" w:lineRule="auto"/>
        <w:tabs>
          <w:tab w:leader="none" w:pos="2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$18.2 million.</w:t>
      </w:r>
    </w:p>
    <w:p>
      <w:pPr>
        <w:spacing w:after="0" w:line="91" w:lineRule="exact"/>
        <w:rPr>
          <w:rFonts w:ascii="Arial" w:cs="Arial" w:eastAsia="Arial" w:hAnsi="Arial"/>
          <w:sz w:val="18"/>
          <w:szCs w:val="18"/>
          <w:color w:val="auto"/>
        </w:rPr>
      </w:pPr>
    </w:p>
    <w:p>
      <w:pPr>
        <w:ind w:left="180" w:right="60" w:hanging="172"/>
        <w:spacing w:after="0" w:line="290" w:lineRule="auto"/>
        <w:tabs>
          <w:tab w:leader="none" w:pos="281"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increased the pension credit by approximately $5.8 million. A 1% increase to the Company’s assumed discount rate would have decreased the pension credit by approximately $4.7 million.</w:t>
      </w:r>
    </w:p>
    <w:p>
      <w:pPr>
        <w:spacing w:after="0" w:line="6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65" w:name="page66"/>
    <w:bookmarkEnd w:id="65"/>
    <w:p>
      <w:pPr>
        <w:ind w:right="240"/>
        <w:spacing w:after="0" w:line="260"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92"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144" w:lineRule="exact"/>
        <w:rPr>
          <w:rFonts w:ascii="Arial" w:cs="Arial" w:eastAsia="Arial" w:hAnsi="Arial"/>
          <w:sz w:val="18"/>
          <w:szCs w:val="18"/>
          <w:color w:val="auto"/>
        </w:rPr>
      </w:pPr>
    </w:p>
    <w:p>
      <w:pPr>
        <w:ind w:left="260" w:hanging="252"/>
        <w:spacing w:after="0"/>
        <w:tabs>
          <w:tab w:leader="none" w:pos="2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144" w:lineRule="exact"/>
        <w:rPr>
          <w:rFonts w:ascii="Arial" w:cs="Arial" w:eastAsia="Arial" w:hAnsi="Arial"/>
          <w:sz w:val="18"/>
          <w:szCs w:val="18"/>
          <w:color w:val="auto"/>
        </w:rPr>
      </w:pPr>
    </w:p>
    <w:p>
      <w:pPr>
        <w:ind w:left="180" w:right="160" w:hanging="172"/>
        <w:spacing w:after="0" w:line="290" w:lineRule="auto"/>
        <w:tabs>
          <w:tab w:leader="none" w:pos="271"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68"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2017, the Company had net unamortized actuarial gains in accumulated other comprehensive income subject to amortization outside the 10% corridor, and therefore, an amortized gain of $1.0 million was included in the pension credit for the first three months of 2018.</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As a result of the Kaplan University transaction, the Company remeasured the accumulated and projected benefit obligations as of March 22, 2018, and recorded a curtailment gain. During the first three months there was an increase in the discount rate offset by pension asset losses that resulted in net unamortized actuarial gains in accumulated other comprehensive income subject to amortization outside the 10% corridor, and therefore, an amortized gain of $9.0 million was included in the pension credit for the last nine months of 2018. During the last nine months of 2018, there were significant pension asset losses offset by a further increase in the discount rate that resulted in no net unamortized actuarial gains in accumulated other comprehensive income subject to amortization outside the 10% corridor, and therefore, no amortized gain amount was included in the pension credit for 2019.</w:t>
      </w:r>
    </w:p>
    <w:p>
      <w:pPr>
        <w:spacing w:after="0" w:line="10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During 2019, there were significant pension asset gains offset by a decrease in the discount rate and the purchase of a group annuity contract that resulted in no net unamortized gains in accumulated other comprehensive income subject to amortization outside the 10% corridor, and therefore, no amortized gain amount was included in the pension credit for 2020.</w:t>
      </w:r>
    </w:p>
    <w:p>
      <w:pPr>
        <w:spacing w:after="0" w:line="11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During 2020, there were significant pension asset gains offset by a further decrease in the discount rate; however, the Company currently estimates that there will be net unamortized gains in accumulated other comprehensive income subject to amortization outside the 10% corridor, and therefore, an amortized gain amount of $11.6 million is included in the estimated pension credit for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$98 million in 2021.</w:t>
      </w:r>
    </w:p>
    <w:p>
      <w:pPr>
        <w:spacing w:after="0" w:line="144" w:lineRule="exact"/>
        <w:rPr>
          <w:sz w:val="20"/>
          <w:szCs w:val="20"/>
          <w:color w:val="auto"/>
        </w:rPr>
      </w:pPr>
    </w:p>
    <w:p>
      <w:pPr>
        <w:ind w:right="1100"/>
        <w:spacing w:after="0" w:line="260" w:lineRule="auto"/>
        <w:rPr>
          <w:sz w:val="20"/>
          <w:szCs w:val="20"/>
          <w:color w:val="auto"/>
        </w:rPr>
      </w:pPr>
      <w:r>
        <w:rPr>
          <w:rFonts w:ascii="Arial" w:cs="Arial" w:eastAsia="Arial" w:hAnsi="Arial"/>
          <w:sz w:val="18"/>
          <w:szCs w:val="18"/>
          <w:color w:val="auto"/>
        </w:rPr>
        <w:t>Note 15 to the Company’s Consolidated Financial Statements provides additional details surrounding pension costs and related assumptions.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4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As of December 31, 2020, the Company had state income tax net operating loss carryforwards of $875.0 million, which will expire at various future dates. Also at December 31, 2020, the Company had $71.4 million of non-U.S. income tax loss carryforwards, of which $39.5 million may be carried forward indefinitely; $10.9 million of losses that, if unutilized, will expire in varying amounts through 2025; and $21.0 million of losses that, if unutilized, will start to expire after 2025. At December 31, 2020, the Company has established approximately $47.2 million in total valuation allowances, primarily against deferred state tax assets, net of U.S. Federal income taxes, and non-U.S. deferred tax assets, as the Company believes that it is more likely than not that the benefit from certain state and non-U.S. net operating loss carryforwards and other deferred tax assets will not be realized. The Company has established valuation allowances against state income tax benefits recognized, without considering potentially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6" w:name="page67"/>
    <w:bookmarkEnd w:id="66"/>
    <w:p>
      <w:pPr>
        <w:spacing w:after="0" w:line="224" w:lineRule="auto"/>
        <w:rPr>
          <w:sz w:val="20"/>
          <w:szCs w:val="20"/>
          <w:color w:val="auto"/>
        </w:rPr>
      </w:pPr>
      <w:r>
        <w:rPr>
          <w:rFonts w:ascii="Arial" w:cs="Arial" w:eastAsia="Arial" w:hAnsi="Arial"/>
          <w:sz w:val="18"/>
          <w:szCs w:val="18"/>
          <w:color w:val="auto"/>
        </w:rPr>
        <w:t>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 The Company’s education division released valuation allowances against state deferred tax assets of $20.0 million during 2018, as the education division generated positive operating results that support the realization of these deferred tax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42"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to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termination is made. The Company expects that a $ 1.2 million federal tax benefit and a $0.7 million state tax benefit, net of $0.2 million federal tax expense, will reduce the effective tax rate in the future if recognized.</w:t>
      </w:r>
    </w:p>
    <w:p>
      <w:pPr>
        <w:spacing w:after="0" w:line="109"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7" w:name="page68"/>
    <w:bookmarkEnd w:id="67"/>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Graham Holdings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44"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 xml:space="preserve">We have audited the accompanying consolidated balance sheets of Graham Holdings Company and its subsidiaries (the “Company”) as of December 31, 2020 and 2019, and the related consolidated statements of operations, comprehensive income, changes in common stockholders’ equity and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11"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4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44"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4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68" w:name="page69"/>
    <w:bookmarkEnd w:id="68"/>
    <w:p>
      <w:pPr>
        <w:jc w:val="both"/>
        <w:ind w:right="140"/>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Hoover, Dekko, and Kaplan Test Preparation Reporting Units</w:t>
      </w:r>
    </w:p>
    <w:p>
      <w:pPr>
        <w:spacing w:after="0" w:line="142"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As described in Notes 2, 9, and 19 to the consolidated financial statements, the Company’s consolidated goodwill balance was $1,484.8 million as of December 31, 2020. As disclosed by management, the goodwill associated with the Hoover and Dekko reporting units was $91.3 million and $74.4 million, respectively as of December 31, 2020. The Company changed the presentation of its segments in the fourth quarter of 2020. Prior to the combination, the Company performed an impairment review of the $ 64.7 million goodwill balance at the Kaplan Test Preparation (“KTP”) reporting unit. Management reviews goodwill for possible impairment at least annually, as of November 30, or between annual tests if an event occurs or circumstances change that would more likely than not reduce the fair value of the reporting unit below its carrying value. As disclosed by management, an impairment charge is recognized for the amount by which the carrying value exceeds the reporting unit’s fair value. Management reviews the carrying value of goodwill utilizing a discounted cash flow model. To determine the estimated fair value of the reporting unit, management makes assumptions related to the expected cash flows, discount rate, and long-term growth rate.</w:t>
      </w:r>
    </w:p>
    <w:p>
      <w:pPr>
        <w:spacing w:after="0" w:line="11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assessments of the Hoover, Dekko, and KTP reporting units is a critical audit matter are (i) the significant judgment by management when developing the estimated fair value of the reporting unit; (ii) a high degree of auditor judgment, subjectivity, and effort in performing procedures and evaluating management’s estimates of expected cash flows and significant assumptions related to revenues, operating income margins, and the discount rate; and (iii) the audit effort involved the use of professionals with specialized skill and knowledge.</w:t>
      </w:r>
    </w:p>
    <w:p>
      <w:pPr>
        <w:spacing w:after="0" w:line="11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Company’s reporting units. These procedures also included, among others, testing management’s process for determining the fair value of the reporting units; evaluating the appropriateness of the discounted cash flow model; testing the completeness and accuracy of underlying data used in the model; and evaluating the reasonableness of significant assumptions related to revenues, operating income margins, and the discount rate. Evaluating management’s assumptions related to revenues and operating income margins involved evaluating whether the assumptions used were reasonable considering current and past performance of the reporting unit, relevant industry forecasts and macroeconomic conditions, consistency with external market and industry data, management’s historical forecasting accuracy, consistency with evidence obtained in other areas of the audit, and the Company’s objectives and strategies. Professionals with specialized skill and knowledge were used to assist in evaluating the reasonableness of the discount rate assumption.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Sales of services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2,056,228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2,111,035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2,114,777</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Sales of goods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832,893</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821,064</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581,189</w:t>
            </w:r>
          </w:p>
        </w:tc>
        <w:tc>
          <w:tcPr>
            <w:tcW w:w="0" w:type="dxa"/>
            <w:vAlign w:val="bottom"/>
          </w:tcPr>
          <w:p>
            <w:pPr>
              <w:spacing w:after="0"/>
              <w:rPr>
                <w:sz w:val="1"/>
                <w:szCs w:val="1"/>
                <w:color w:val="auto"/>
              </w:rPr>
            </w:pPr>
          </w:p>
        </w:tc>
      </w:tr>
      <w:tr>
        <w:trPr>
          <w:trHeight w:val="226"/>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2,889,121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2,932,099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2,695,966</w:t>
            </w:r>
          </w:p>
        </w:tc>
        <w:tc>
          <w:tcPr>
            <w:tcW w:w="0" w:type="dxa"/>
            <w:vAlign w:val="bottom"/>
          </w:tcPr>
          <w:p>
            <w:pPr>
              <w:spacing w:after="0"/>
              <w:rPr>
                <w:sz w:val="1"/>
                <w:szCs w:val="1"/>
                <w:color w:val="auto"/>
              </w:rPr>
            </w:pPr>
          </w:p>
        </w:tc>
      </w:tr>
      <w:tr>
        <w:trPr>
          <w:trHeight w:val="206"/>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17"/>
                <w:szCs w:val="17"/>
                <w:color w:val="auto"/>
              </w:rPr>
            </w:pP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1,239,241</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20" w:type="dxa"/>
            <w:vAlign w:val="bottom"/>
          </w:tcPr>
          <w:p>
            <w:pPr>
              <w:ind w:left="140"/>
              <w:spacing w:after="0"/>
              <w:rPr>
                <w:sz w:val="20"/>
                <w:szCs w:val="20"/>
                <w:color w:val="auto"/>
              </w:rPr>
            </w:pPr>
            <w:r>
              <w:rPr>
                <w:rFonts w:ascii="Arial" w:cs="Arial" w:eastAsia="Arial" w:hAnsi="Arial"/>
                <w:sz w:val="16"/>
                <w:szCs w:val="16"/>
                <w:color w:val="auto"/>
              </w:rPr>
              <w:t>Cost of services sold</w:t>
            </w: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1,315,928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1,172,855</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Cost of goods sold</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672,865</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632,318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413,779</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715,401</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717,659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750,926</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74,257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59,253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56,722</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56,780</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53,243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47,414</w:t>
            </w:r>
          </w:p>
        </w:tc>
        <w:tc>
          <w:tcPr>
            <w:tcW w:w="0" w:type="dxa"/>
            <w:vAlign w:val="bottom"/>
          </w:tcPr>
          <w:p>
            <w:pPr>
              <w:spacing w:after="0"/>
              <w:rPr>
                <w:sz w:val="1"/>
                <w:szCs w:val="1"/>
                <w:color w:val="auto"/>
              </w:rPr>
            </w:pPr>
          </w:p>
        </w:tc>
      </w:tr>
      <w:tr>
        <w:trPr>
          <w:trHeight w:val="233"/>
        </w:trPr>
        <w:tc>
          <w:tcPr>
            <w:tcW w:w="7520" w:type="dxa"/>
            <w:vAlign w:val="bottom"/>
          </w:tcPr>
          <w:p>
            <w:pPr>
              <w:ind w:left="1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30,170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9,152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8,109</w:t>
            </w:r>
          </w:p>
        </w:tc>
        <w:tc>
          <w:tcPr>
            <w:tcW w:w="0" w:type="dxa"/>
            <w:vAlign w:val="bottom"/>
          </w:tcPr>
          <w:p>
            <w:pPr>
              <w:spacing w:after="0"/>
              <w:rPr>
                <w:sz w:val="1"/>
                <w:szCs w:val="1"/>
                <w:color w:val="auto"/>
              </w:rPr>
            </w:pPr>
          </w:p>
        </w:tc>
      </w:tr>
      <w:tr>
        <w:trPr>
          <w:trHeight w:val="226"/>
        </w:trPr>
        <w:tc>
          <w:tcPr>
            <w:tcW w:w="7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2,788,714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2,787,553</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2,449,805</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100,407</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144,546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246,161</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6,664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11,664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14,473</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3,871</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6,151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5,353</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(38,310)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(29,779)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(37,902)</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(11,378)</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59,315</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162,798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120,541</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60,787</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98,668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(15,843)</w:t>
            </w:r>
          </w:p>
        </w:tc>
        <w:tc>
          <w:tcPr>
            <w:tcW w:w="0" w:type="dxa"/>
            <w:vAlign w:val="bottom"/>
          </w:tcPr>
          <w:p>
            <w:pPr>
              <w:spacing w:after="0"/>
              <w:rPr>
                <w:sz w:val="1"/>
                <w:szCs w:val="1"/>
                <w:color w:val="auto"/>
              </w:rPr>
            </w:pPr>
          </w:p>
        </w:tc>
      </w:tr>
      <w:tr>
        <w:trPr>
          <w:trHeight w:val="231"/>
        </w:trPr>
        <w:tc>
          <w:tcPr>
            <w:tcW w:w="752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214,534</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32,431</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407,268</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426,479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323,508</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107,300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98,600</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299,968</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327,879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271,408</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397</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3"/>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300,365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327,855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271,206</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58.30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61.70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50.55</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5,124</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5,285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5,333</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58.13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5,139</w:t>
            </w:r>
          </w:p>
        </w:tc>
        <w:tc>
          <w:tcPr>
            <w:tcW w:w="28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5,327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5,370</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60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98"/>
        </w:trPr>
        <w:tc>
          <w:tcPr>
            <w:tcW w:w="7600" w:type="dxa"/>
            <w:vAlign w:val="bottom"/>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2019</w:t>
            </w: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0</wp:posOffset>
            </wp:positionV>
            <wp:extent cx="71151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480" w:right="2380"/>
        <w:spacing w:after="0" w:line="344" w:lineRule="auto"/>
        <w:rPr>
          <w:sz w:val="20"/>
          <w:szCs w:val="20"/>
          <w:color w:val="auto"/>
        </w:rPr>
      </w:pPr>
      <w:r>
        <w:rPr>
          <w:rFonts w:ascii="Arial" w:cs="Arial" w:eastAsia="Arial" w:hAnsi="Arial"/>
          <w:sz w:val="16"/>
          <w:szCs w:val="16"/>
          <w:color w:val="auto"/>
        </w:rPr>
        <w:t>Translation adjustments arising during the year Adjustment for sale of a business with foreign operations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Actuarial gain (loss)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Prior service (cost) credit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of net actuarial loss (gain) included in net income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Amortization of net prior service cost (credit) included in net income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Curtailments and settlements included in net income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flow hedges (loss) gain</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Comprehensive loss (income) attributable to noncontrolling interests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br w:type="column"/>
      </w:r>
    </w:p>
    <w:p>
      <w:pPr>
        <w:ind w:left="480" w:hanging="453"/>
        <w:spacing w:after="0"/>
        <w:tabs>
          <w:tab w:leader="none" w:pos="48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299,968  </w:t>
      </w:r>
      <w:r>
        <w:rPr>
          <w:rFonts w:ascii="Arial" w:cs="Arial" w:eastAsia="Arial" w:hAnsi="Arial"/>
          <w:sz w:val="16"/>
          <w:szCs w:val="16"/>
          <w:color w:val="auto"/>
        </w:rPr>
        <w:t>$327,879   $271,408</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31,642</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5,371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(35,584)</w:t>
            </w:r>
          </w:p>
        </w:tc>
      </w:tr>
      <w:tr>
        <w:trPr>
          <w:trHeight w:val="233"/>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2,011</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31,642</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7,382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(35,584)</w:t>
            </w:r>
          </w:p>
        </w:tc>
      </w:tr>
      <w:tr>
        <w:trPr>
          <w:trHeight w:val="452"/>
        </w:trPr>
        <w:tc>
          <w:tcPr>
            <w:tcW w:w="30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365,164</w:t>
            </w:r>
          </w:p>
        </w:tc>
        <w:tc>
          <w:tcPr>
            <w:tcW w:w="3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231,104</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(101,013)</w:t>
            </w:r>
          </w:p>
        </w:tc>
      </w:tr>
      <w:tr>
        <w:trPr>
          <w:trHeight w:val="229"/>
        </w:trPr>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4,262</w:t>
            </w:r>
          </w:p>
        </w:tc>
      </w:tr>
      <w:tr>
        <w:trPr>
          <w:trHeight w:val="230"/>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1,219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(11,349)</w:t>
            </w:r>
          </w:p>
        </w:tc>
      </w:tr>
      <w:tr>
        <w:trPr>
          <w:trHeight w:val="229"/>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2,680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(4,142)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33"/>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(91,676)</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(30,267)</w:t>
            </w:r>
          </w:p>
        </w:tc>
      </w:tr>
      <w:tr>
        <w:trPr>
          <w:trHeight w:val="220"/>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368,994</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127,515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(139,314)</w:t>
            </w:r>
          </w:p>
        </w:tc>
      </w:tr>
      <w:tr>
        <w:trPr>
          <w:trHeight w:val="232"/>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r>
      <w:tr>
        <w:trPr>
          <w:trHeight w:val="220"/>
        </w:trPr>
        <w:tc>
          <w:tcPr>
            <w:tcW w:w="3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399,354</w:t>
            </w:r>
          </w:p>
        </w:tc>
        <w:tc>
          <w:tcPr>
            <w:tcW w:w="34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133,553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(174,347)</w:t>
            </w:r>
          </w:p>
        </w:tc>
      </w:tr>
      <w:tr>
        <w:trPr>
          <w:trHeight w:val="232"/>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(99,335)</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(34,087)</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37,510</w:t>
            </w:r>
          </w:p>
        </w:tc>
      </w:tr>
      <w:tr>
        <w:trPr>
          <w:trHeight w:val="226"/>
        </w:trPr>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300,019</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99,466</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(136,837)</w:t>
            </w:r>
          </w:p>
        </w:tc>
      </w:tr>
      <w:tr>
        <w:trPr>
          <w:trHeight w:val="217"/>
        </w:trPr>
        <w:tc>
          <w:tcPr>
            <w:tcW w:w="3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599,987</w:t>
            </w:r>
          </w:p>
        </w:tc>
        <w:tc>
          <w:tcPr>
            <w:tcW w:w="3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427,345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134,571</w:t>
            </w:r>
          </w:p>
        </w:tc>
      </w:tr>
      <w:tr>
        <w:trPr>
          <w:trHeight w:val="232"/>
        </w:trPr>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397</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34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600,384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427,321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134,369</w:t>
            </w:r>
          </w:p>
        </w:tc>
      </w:tr>
      <w:tr>
        <w:trPr>
          <w:trHeight w:val="24"/>
        </w:trPr>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577" w:lineRule="exact"/>
        <w:rPr>
          <w:sz w:val="20"/>
          <w:szCs w:val="20"/>
          <w:color w:val="auto"/>
        </w:rPr>
      </w:pPr>
    </w:p>
    <w:p>
      <w:pPr>
        <w:sectPr>
          <w:pgSz w:w="11900" w:h="16838" w:orient="portrait"/>
          <w:cols w:equalWidth="0" w:num="2">
            <w:col w:w="6920" w:space="720"/>
            <w:col w:w="3580"/>
          </w:cols>
          <w:pgMar w:left="320" w:top="1033" w:right="35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8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8"/>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except share amounts)</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2"/>
        </w:trPr>
        <w:tc>
          <w:tcPr>
            <w:tcW w:w="88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Cash and cash equivalents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413,991</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200,165</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9,063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13,879</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587,582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599,967</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537,156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624,216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Inventories and contracts in progress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120,622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120,834</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Prepaid expenses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75,523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92,289</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29,313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10,735</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942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211"/>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1,774,192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1,663,485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378,286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384,670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Right-of-Use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462,560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526,417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155,777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162,249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1,484,750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1,388,279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120,437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140,197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204,646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233,481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1,708,305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1,292,350</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8,396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11,629</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146,770</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128,479</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6,444,119</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5,931,236</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8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Accounts payable and accrued liabilities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520,236</w:t>
            </w:r>
          </w:p>
        </w:tc>
        <w:tc>
          <w:tcPr>
            <w:tcW w:w="2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507,701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331,021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355,156</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Income taxes payable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5,140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4,121</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86,797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92,714</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Current portion of 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6,452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82,179</w:t>
            </w:r>
          </w:p>
        </w:tc>
        <w:tc>
          <w:tcPr>
            <w:tcW w:w="0" w:type="dxa"/>
            <w:vAlign w:val="bottom"/>
          </w:tcPr>
          <w:p>
            <w:pPr>
              <w:spacing w:after="0"/>
              <w:rPr>
                <w:sz w:val="1"/>
                <w:szCs w:val="1"/>
                <w:color w:val="auto"/>
              </w:rPr>
            </w:pPr>
          </w:p>
        </w:tc>
      </w:tr>
      <w:tr>
        <w:trPr>
          <w:trHeight w:val="211"/>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Current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949,646</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1,041,871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201,918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193,836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48,768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27,223</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521,274</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427,372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9,240</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829</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5"/>
                <w:szCs w:val="15"/>
                <w:b w:val="1"/>
                <w:bCs w:val="1"/>
                <w:color w:val="auto"/>
              </w:rPr>
              <w:t>Lease Liabilities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428,849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477,004</w:t>
            </w: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506,103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430,650</w:t>
            </w:r>
          </w:p>
        </w:tc>
        <w:tc>
          <w:tcPr>
            <w:tcW w:w="0" w:type="dxa"/>
            <w:vAlign w:val="bottom"/>
          </w:tcPr>
          <w:p>
            <w:pPr>
              <w:spacing w:after="0"/>
              <w:rPr>
                <w:sz w:val="1"/>
                <w:szCs w:val="1"/>
                <w:color w:val="auto"/>
              </w:rPr>
            </w:pPr>
          </w:p>
        </w:tc>
      </w:tr>
      <w:tr>
        <w:trPr>
          <w:trHeight w:val="210"/>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2,665,798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2,598,785</w:t>
            </w:r>
          </w:p>
        </w:tc>
        <w:tc>
          <w:tcPr>
            <w:tcW w:w="0" w:type="dxa"/>
            <w:vAlign w:val="bottom"/>
          </w:tcPr>
          <w:p>
            <w:pPr>
              <w:spacing w:after="0"/>
              <w:rPr>
                <w:sz w:val="1"/>
                <w:szCs w:val="1"/>
                <w:color w:val="auto"/>
              </w:rPr>
            </w:pPr>
          </w:p>
        </w:tc>
      </w:tr>
      <w:tr>
        <w:trPr>
          <w:trHeight w:val="198"/>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 18)</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5"/>
                <w:szCs w:val="15"/>
                <w:b w:val="1"/>
                <w:bCs w:val="1"/>
                <w:color w:val="auto"/>
              </w:rPr>
              <w:t>Redeemable 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11,928</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5,655</w:t>
            </w:r>
          </w:p>
        </w:tc>
        <w:tc>
          <w:tcPr>
            <w:tcW w:w="0" w:type="dxa"/>
            <w:vAlign w:val="bottom"/>
          </w:tcPr>
          <w:p>
            <w:pPr>
              <w:spacing w:after="0"/>
              <w:rPr>
                <w:sz w:val="1"/>
                <w:szCs w:val="1"/>
                <w:color w:val="auto"/>
              </w:rPr>
            </w:pPr>
          </w:p>
        </w:tc>
      </w:tr>
      <w:tr>
        <w:trPr>
          <w:trHeight w:val="209"/>
        </w:trPr>
        <w:tc>
          <w:tcPr>
            <w:tcW w:w="8820" w:type="dxa"/>
            <w:vAlign w:val="bottom"/>
          </w:tcPr>
          <w:p>
            <w:pPr>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5"/>
                <w:szCs w:val="15"/>
                <w:b w:val="1"/>
                <w:bCs w:val="1"/>
                <w:color w:val="auto"/>
              </w:rPr>
              <w:t>Common Stockholders’ Equity</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Common stock</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Class A Common stock, $1 par value; 7,000,000 shares authorized; 964,001 shares issued and outstanding</w:t>
            </w:r>
          </w:p>
        </w:tc>
        <w:tc>
          <w:tcPr>
            <w:tcW w:w="200" w:type="dxa"/>
            <w:vAlign w:val="bottom"/>
          </w:tcPr>
          <w:p>
            <w:pPr>
              <w:spacing w:after="0"/>
              <w:rPr>
                <w:sz w:val="19"/>
                <w:szCs w:val="19"/>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964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64"/>
        </w:trPr>
        <w:tc>
          <w:tcPr>
            <w:tcW w:w="8820" w:type="dxa"/>
            <w:vAlign w:val="bottom"/>
          </w:tcPr>
          <w:p>
            <w:pPr>
              <w:ind w:left="460"/>
              <w:spacing w:after="0" w:line="164" w:lineRule="exact"/>
              <w:rPr>
                <w:sz w:val="20"/>
                <w:szCs w:val="20"/>
                <w:color w:val="auto"/>
              </w:rPr>
            </w:pPr>
            <w:r>
              <w:rPr>
                <w:rFonts w:ascii="Arial" w:cs="Arial" w:eastAsia="Arial" w:hAnsi="Arial"/>
                <w:sz w:val="15"/>
                <w:szCs w:val="15"/>
                <w:color w:val="auto"/>
              </w:rPr>
              <w:t>Class B Common stock, $1 par value; 40,000,000 shares authorized; 19,035,999 shares issued; 4,018,832 and 4,348,236</w:t>
            </w:r>
          </w:p>
        </w:tc>
        <w:tc>
          <w:tcPr>
            <w:tcW w:w="200" w:type="dxa"/>
            <w:vAlign w:val="bottom"/>
          </w:tcPr>
          <w:p>
            <w:pPr>
              <w:spacing w:after="0"/>
              <w:rPr>
                <w:sz w:val="14"/>
                <w:szCs w:val="14"/>
                <w:color w:val="auto"/>
              </w:rPr>
            </w:pPr>
          </w:p>
        </w:tc>
        <w:tc>
          <w:tcPr>
            <w:tcW w:w="9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19,036</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14"/>
        </w:trPr>
        <w:tc>
          <w:tcPr>
            <w:tcW w:w="8820" w:type="dxa"/>
            <w:vAlign w:val="bottom"/>
          </w:tcPr>
          <w:p>
            <w:pPr>
              <w:ind w:left="620"/>
              <w:spacing w:after="0"/>
              <w:rPr>
                <w:sz w:val="20"/>
                <w:szCs w:val="20"/>
                <w:color w:val="auto"/>
              </w:rPr>
            </w:pPr>
            <w:r>
              <w:rPr>
                <w:rFonts w:ascii="Arial" w:cs="Arial" w:eastAsia="Arial" w:hAnsi="Arial"/>
                <w:sz w:val="15"/>
                <w:szCs w:val="15"/>
                <w:color w:val="auto"/>
              </w:rPr>
              <w:t>shares outstanding</w:t>
            </w: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388,159</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381,669</w:t>
            </w:r>
          </w:p>
        </w:tc>
        <w:tc>
          <w:tcPr>
            <w:tcW w:w="0" w:type="dxa"/>
            <w:vAlign w:val="bottom"/>
          </w:tcPr>
          <w:p>
            <w:pPr>
              <w:spacing w:after="0"/>
              <w:rPr>
                <w:sz w:val="1"/>
                <w:szCs w:val="1"/>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6,804,822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6,534,427</w:t>
            </w:r>
          </w:p>
        </w:tc>
        <w:tc>
          <w:tcPr>
            <w:tcW w:w="0" w:type="dxa"/>
            <w:vAlign w:val="bottom"/>
          </w:tcPr>
          <w:p>
            <w:pPr>
              <w:spacing w:after="0"/>
              <w:rPr>
                <w:sz w:val="1"/>
                <w:szCs w:val="1"/>
                <w:color w:val="auto"/>
              </w:rPr>
            </w:pPr>
          </w:p>
        </w:tc>
      </w:tr>
      <w:tr>
        <w:trPr>
          <w:trHeight w:val="208"/>
        </w:trPr>
        <w:tc>
          <w:tcPr>
            <w:tcW w:w="8820" w:type="dxa"/>
            <w:vAlign w:val="bottom"/>
          </w:tcPr>
          <w:p>
            <w:pPr>
              <w:ind w:left="200"/>
              <w:spacing w:after="0"/>
              <w:rPr>
                <w:sz w:val="20"/>
                <w:szCs w:val="20"/>
                <w:color w:val="auto"/>
              </w:rPr>
            </w:pPr>
            <w:r>
              <w:rPr>
                <w:rFonts w:ascii="Arial" w:cs="Arial" w:eastAsia="Arial" w:hAnsi="Arial"/>
                <w:sz w:val="15"/>
                <w:szCs w:val="15"/>
                <w:color w:val="auto"/>
              </w:rPr>
              <w:t>Accumulated other comprehensive income, net of taxes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20" w:type="dxa"/>
            <w:vAlign w:val="bottom"/>
          </w:tcPr>
          <w:p>
            <w:pPr>
              <w:ind w:left="460"/>
              <w:spacing w:after="0"/>
              <w:rPr>
                <w:sz w:val="20"/>
                <w:szCs w:val="20"/>
                <w:color w:val="auto"/>
              </w:rPr>
            </w:pPr>
            <w:r>
              <w:rPr>
                <w:rFonts w:ascii="Arial" w:cs="Arial" w:eastAsia="Arial" w:hAnsi="Arial"/>
                <w:sz w:val="15"/>
                <w:szCs w:val="15"/>
                <w:color w:val="auto"/>
              </w:rPr>
              <w:t>Cumulative foreign currency translation adjustment</w:t>
            </w:r>
          </w:p>
        </w:tc>
        <w:tc>
          <w:tcPr>
            <w:tcW w:w="200" w:type="dxa"/>
            <w:vAlign w:val="bottom"/>
          </w:tcPr>
          <w:p>
            <w:pPr>
              <w:spacing w:after="0"/>
              <w:rPr>
                <w:sz w:val="19"/>
                <w:szCs w:val="19"/>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9,754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(21,888)</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00" w:type="dxa"/>
            <w:vAlign w:val="bottom"/>
          </w:tcPr>
          <w:p>
            <w:pPr>
              <w:spacing w:after="0"/>
              <w:rPr>
                <w:sz w:val="18"/>
                <w:szCs w:val="18"/>
                <w:color w:val="auto"/>
              </w:rPr>
            </w:pPr>
          </w:p>
        </w:tc>
        <w:tc>
          <w:tcPr>
            <w:tcW w:w="960" w:type="dxa"/>
            <w:vAlign w:val="bottom"/>
          </w:tcPr>
          <w:p>
            <w:pPr>
              <w:jc w:val="right"/>
              <w:ind w:right="44"/>
              <w:spacing w:after="0"/>
              <w:rPr>
                <w:sz w:val="20"/>
                <w:szCs w:val="20"/>
                <w:color w:val="auto"/>
              </w:rPr>
            </w:pPr>
            <w:r>
              <w:rPr>
                <w:rFonts w:ascii="Arial" w:cs="Arial" w:eastAsia="Arial" w:hAnsi="Arial"/>
                <w:sz w:val="15"/>
                <w:szCs w:val="15"/>
                <w:b w:val="1"/>
                <w:bCs w:val="1"/>
                <w:color w:val="auto"/>
              </w:rPr>
              <w:t>595,287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325,921</w:t>
            </w:r>
          </w:p>
        </w:tc>
        <w:tc>
          <w:tcPr>
            <w:tcW w:w="0" w:type="dxa"/>
            <w:vAlign w:val="bottom"/>
          </w:tcPr>
          <w:p>
            <w:pPr>
              <w:spacing w:after="0"/>
              <w:rPr>
                <w:sz w:val="1"/>
                <w:szCs w:val="1"/>
                <w:color w:val="auto"/>
              </w:rPr>
            </w:pPr>
          </w:p>
        </w:tc>
      </w:tr>
      <w:tr>
        <w:trPr>
          <w:trHeight w:val="216"/>
        </w:trPr>
        <w:tc>
          <w:tcPr>
            <w:tcW w:w="8820" w:type="dxa"/>
            <w:vAlign w:val="bottom"/>
          </w:tcPr>
          <w:p>
            <w:pPr>
              <w:ind w:left="460"/>
              <w:spacing w:after="0"/>
              <w:rPr>
                <w:sz w:val="20"/>
                <w:szCs w:val="20"/>
                <w:color w:val="auto"/>
              </w:rPr>
            </w:pPr>
            <w:r>
              <w:rPr>
                <w:rFonts w:ascii="Arial" w:cs="Arial" w:eastAsia="Arial" w:hAnsi="Arial"/>
                <w:sz w:val="15"/>
                <w:szCs w:val="15"/>
                <w:color w:val="auto"/>
              </w:rPr>
              <w:t>Cash flow hedges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(1,727)</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(738)</w:t>
            </w:r>
          </w:p>
        </w:tc>
        <w:tc>
          <w:tcPr>
            <w:tcW w:w="0" w:type="dxa"/>
            <w:vAlign w:val="bottom"/>
          </w:tcPr>
          <w:p>
            <w:pPr>
              <w:spacing w:after="0"/>
              <w:rPr>
                <w:sz w:val="1"/>
                <w:szCs w:val="1"/>
                <w:color w:val="auto"/>
              </w:rPr>
            </w:pPr>
          </w:p>
        </w:tc>
      </w:tr>
      <w:tr>
        <w:trPr>
          <w:trHeight w:val="214"/>
        </w:trPr>
        <w:tc>
          <w:tcPr>
            <w:tcW w:w="8820" w:type="dxa"/>
            <w:vAlign w:val="bottom"/>
          </w:tcPr>
          <w:p>
            <w:pPr>
              <w:ind w:left="200"/>
              <w:spacing w:after="0"/>
              <w:rPr>
                <w:sz w:val="20"/>
                <w:szCs w:val="20"/>
                <w:color w:val="auto"/>
              </w:rPr>
            </w:pPr>
            <w:r>
              <w:rPr>
                <w:rFonts w:ascii="Arial" w:cs="Arial" w:eastAsia="Arial" w:hAnsi="Arial"/>
                <w:sz w:val="15"/>
                <w:szCs w:val="15"/>
                <w:color w:val="auto"/>
              </w:rPr>
              <w:t>Cost of 15,017,167 and 14,687,763 shares of Class B common stock held in treasury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(4,056,993)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(3,920,152)</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Common Stockholders’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3,759,302</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3,319,239</w:t>
            </w:r>
          </w:p>
        </w:tc>
        <w:tc>
          <w:tcPr>
            <w:tcW w:w="0" w:type="dxa"/>
            <w:vAlign w:val="bottom"/>
          </w:tcPr>
          <w:p>
            <w:pPr>
              <w:spacing w:after="0"/>
              <w:rPr>
                <w:sz w:val="1"/>
                <w:szCs w:val="1"/>
                <w:color w:val="auto"/>
              </w:rPr>
            </w:pPr>
          </w:p>
        </w:tc>
      </w:tr>
      <w:tr>
        <w:trPr>
          <w:trHeight w:val="210"/>
        </w:trPr>
        <w:tc>
          <w:tcPr>
            <w:tcW w:w="8820" w:type="dxa"/>
            <w:vAlign w:val="bottom"/>
          </w:tcPr>
          <w:p>
            <w:pPr>
              <w:spacing w:after="0"/>
              <w:rPr>
                <w:sz w:val="20"/>
                <w:szCs w:val="20"/>
                <w:color w:val="auto"/>
              </w:rPr>
            </w:pPr>
            <w:r>
              <w:rPr>
                <w:rFonts w:ascii="Arial" w:cs="Arial" w:eastAsia="Arial" w:hAnsi="Arial"/>
                <w:sz w:val="15"/>
                <w:szCs w:val="15"/>
                <w:b w:val="1"/>
                <w:bCs w:val="1"/>
                <w:color w:val="auto"/>
              </w:rPr>
              <w:t>Noncontrolling Interests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7,091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7,557</w:t>
            </w:r>
          </w:p>
        </w:tc>
        <w:tc>
          <w:tcPr>
            <w:tcW w:w="0" w:type="dxa"/>
            <w:vAlign w:val="bottom"/>
          </w:tcPr>
          <w:p>
            <w:pPr>
              <w:spacing w:after="0"/>
              <w:rPr>
                <w:sz w:val="1"/>
                <w:szCs w:val="1"/>
                <w:color w:val="auto"/>
              </w:rPr>
            </w:pPr>
          </w:p>
        </w:tc>
      </w:tr>
      <w:tr>
        <w:trPr>
          <w:trHeight w:val="209"/>
        </w:trPr>
        <w:tc>
          <w:tcPr>
            <w:tcW w:w="8820" w:type="dxa"/>
            <w:vAlign w:val="bottom"/>
          </w:tcPr>
          <w:p>
            <w:pPr>
              <w:ind w:left="460"/>
              <w:spacing w:after="0"/>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3,766,393</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3,326,796</w:t>
            </w:r>
          </w:p>
        </w:tc>
        <w:tc>
          <w:tcPr>
            <w:tcW w:w="0" w:type="dxa"/>
            <w:vAlign w:val="bottom"/>
          </w:tcPr>
          <w:p>
            <w:pPr>
              <w:spacing w:after="0"/>
              <w:rPr>
                <w:sz w:val="1"/>
                <w:szCs w:val="1"/>
                <w:color w:val="auto"/>
              </w:rPr>
            </w:pPr>
          </w:p>
        </w:tc>
      </w:tr>
      <w:tr>
        <w:trPr>
          <w:trHeight w:val="210"/>
        </w:trPr>
        <w:tc>
          <w:tcPr>
            <w:tcW w:w="8820" w:type="dxa"/>
            <w:vAlign w:val="bottom"/>
          </w:tcPr>
          <w:p>
            <w:pPr>
              <w:ind w:left="660"/>
              <w:spacing w:after="0"/>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6,444,119</w:t>
            </w:r>
          </w:p>
        </w:tc>
        <w:tc>
          <w:tcPr>
            <w:tcW w:w="2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5,931,236</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3" w:right="3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12"/>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299,968</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327,879</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271,408</w:t>
            </w:r>
          </w:p>
        </w:tc>
        <w:tc>
          <w:tcPr>
            <w:tcW w:w="0" w:type="dxa"/>
            <w:vAlign w:val="bottom"/>
          </w:tcPr>
          <w:p>
            <w:pPr>
              <w:spacing w:after="0"/>
              <w:rPr>
                <w:sz w:val="1"/>
                <w:szCs w:val="1"/>
                <w:color w:val="auto"/>
              </w:rPr>
            </w:pPr>
          </w:p>
        </w:tc>
      </w:tr>
      <w:tr>
        <w:trPr>
          <w:trHeight w:val="208"/>
        </w:trPr>
        <w:tc>
          <w:tcPr>
            <w:tcW w:w="7660" w:type="dxa"/>
            <w:vAlign w:val="bottom"/>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2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161,207</w:t>
            </w:r>
          </w:p>
        </w:tc>
        <w:tc>
          <w:tcPr>
            <w:tcW w:w="32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121,648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112,245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Amortization of lease right-of-use asset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89,956</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84,185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pension benefit, settlement, and special separation benefit expense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(41,573)</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(137,909)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(100,948)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(Gain) loss on marketable equity securities and cost method investments,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(64,996)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(103,748)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4,180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Credit loss expense and provision for other receivables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10,667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22,726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10,209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Stock-based compensation expense, net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6,348</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6,278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6,412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Contingent consideration accretion</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2,895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Debt extinguishment costs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10,563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Foreign exchange loss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2,153</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1,070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3,844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(gain) loss on sales and disposition of businesses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(209,787)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1,936</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(8,157)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loss (gain) on sales or write-downs of an equity affiliate and cost method investments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1,210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(29,262)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Equity in earnings of affiliates, net of distributions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6,592</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(2,678)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(10,606)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Provision for (benefit from) deferred income taxes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14,377</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69,751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(7,123)</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loss (gain) on sales or write-downs of property, plant and equipment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978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(1,020)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(1,642)</w:t>
            </w: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61,328</w:t>
            </w:r>
          </w:p>
        </w:tc>
        <w:tc>
          <w:tcPr>
            <w:tcW w:w="320" w:type="dxa"/>
            <w:vAlign w:val="bottom"/>
          </w:tcPr>
          <w:p>
            <w:pPr>
              <w:spacing w:after="0"/>
              <w:rPr>
                <w:sz w:val="19"/>
                <w:szCs w:val="19"/>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(53,602)</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49,638</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3,786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(5,317)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(7,351)</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(32,714)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(47,069)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(44,892)</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(25,728)</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30,487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14,801</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3,310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1,828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9,405</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(79,743)</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(122,252)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(26,973)</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429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233</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2,154</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210,663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165,164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287,019</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proceeds (payments) from sales of businesses, property, plant and equipment and other assets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225,570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54,495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(10,344)</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sales of marketable equity securities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93,775</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19,303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66,741</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(69,591)</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(93,504)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(98,192)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(20,080)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(179,421)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(111,546)</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(20,004)</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(7,499)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(42,659)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(12,367)</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(27,529)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(11,702)</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Return of investment in equity affiliates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506</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920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4,799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Loans to related party and affiliate and advance related to Kaplan University transaction</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(3,500)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(28,061)</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1,562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7660" w:type="dxa"/>
            <w:vAlign w:val="bottom"/>
          </w:tcPr>
          <w:p>
            <w:pPr>
              <w:ind w:left="460"/>
              <w:spacing w:after="0"/>
              <w:rPr>
                <w:sz w:val="20"/>
                <w:szCs w:val="20"/>
                <w:color w:val="auto"/>
              </w:rPr>
            </w:pPr>
            <w:r>
              <w:rPr>
                <w:rFonts w:ascii="Arial" w:cs="Arial" w:eastAsia="Arial" w:hAnsi="Arial"/>
                <w:sz w:val="15"/>
                <w:szCs w:val="15"/>
                <w:color w:val="auto"/>
              </w:rPr>
              <w:t>Net Cash Provided by (Used in)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199,371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(236,735)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(230,964)</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(161,829)</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(2,103)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(118,030)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Repayments of borrowings and early redemption premium</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(83,360)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(8,702)</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(417,159)</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2,084</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41,250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borrowing under revolving credit facilities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76,241</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(29,970)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(29,553)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(28,617)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exercise of stock options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25,129</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481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Net (repayments of) proceeds from vehicle floor plan payable</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(14,160)</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14,384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Purchase of noncontrolling interest and deferred payment of acquisition</w:t>
            </w:r>
          </w:p>
        </w:tc>
        <w:tc>
          <w:tcPr>
            <w:tcW w:w="26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(19,348)</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(2,805)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(16,500)</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Proceeds from (repayments of) bank overdrafts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1,636</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(185)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(5,717)</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Issuance of noncontrolling interest</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6,000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5"/>
                <w:szCs w:val="15"/>
                <w:color w:val="auto"/>
              </w:rPr>
              <w:t>Payments of financing costs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(6,501)</w:t>
            </w:r>
          </w:p>
        </w:tc>
        <w:tc>
          <w:tcPr>
            <w:tcW w:w="0" w:type="dxa"/>
            <w:vAlign w:val="bottom"/>
          </w:tcPr>
          <w:p>
            <w:pPr>
              <w:spacing w:after="0"/>
              <w:rPr>
                <w:sz w:val="1"/>
                <w:szCs w:val="1"/>
                <w:color w:val="auto"/>
              </w:rPr>
            </w:pPr>
          </w:p>
        </w:tc>
      </w:tr>
      <w:tr>
        <w:trPr>
          <w:trHeight w:val="214"/>
        </w:trPr>
        <w:tc>
          <w:tcPr>
            <w:tcW w:w="7660" w:type="dxa"/>
            <w:vAlign w:val="bottom"/>
          </w:tcPr>
          <w:p>
            <w:pPr>
              <w:ind w:left="22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(425)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7660" w:type="dxa"/>
            <w:vAlign w:val="bottom"/>
          </w:tcPr>
          <w:p>
            <w:pPr>
              <w:ind w:left="460"/>
              <w:spacing w:after="0"/>
              <w:rPr>
                <w:sz w:val="20"/>
                <w:szCs w:val="20"/>
                <w:color w:val="auto"/>
              </w:rPr>
            </w:pPr>
            <w:r>
              <w:rPr>
                <w:rFonts w:ascii="Arial" w:cs="Arial" w:eastAsia="Arial" w:hAnsi="Arial"/>
                <w:sz w:val="15"/>
                <w:szCs w:val="15"/>
                <w:color w:val="auto"/>
              </w:rPr>
              <w:t>Net Cash (Used in) Provided by Financing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(204,002)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18,734</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(192,359)</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2,978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2,766</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(7,147)</w:t>
            </w:r>
          </w:p>
        </w:tc>
        <w:tc>
          <w:tcPr>
            <w:tcW w:w="0" w:type="dxa"/>
            <w:vAlign w:val="bottom"/>
          </w:tcPr>
          <w:p>
            <w:pPr>
              <w:spacing w:after="0"/>
              <w:rPr>
                <w:sz w:val="1"/>
                <w:szCs w:val="1"/>
                <w:color w:val="auto"/>
              </w:rPr>
            </w:pPr>
          </w:p>
        </w:tc>
      </w:tr>
      <w:tr>
        <w:trPr>
          <w:trHeight w:val="211"/>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Net Increase (Decrease) in Cash and Cash Equivalents and Restricted Cash</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209,010</w:t>
            </w:r>
          </w:p>
        </w:tc>
        <w:tc>
          <w:tcPr>
            <w:tcW w:w="32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(50,071)</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(143,451)</w:t>
            </w:r>
          </w:p>
        </w:tc>
        <w:tc>
          <w:tcPr>
            <w:tcW w:w="0" w:type="dxa"/>
            <w:vAlign w:val="bottom"/>
          </w:tcPr>
          <w:p>
            <w:pPr>
              <w:spacing w:after="0"/>
              <w:rPr>
                <w:sz w:val="1"/>
                <w:szCs w:val="1"/>
                <w:color w:val="auto"/>
              </w:rPr>
            </w:pPr>
          </w:p>
        </w:tc>
      </w:tr>
      <w:tr>
        <w:trPr>
          <w:trHeight w:val="214"/>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214,044</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264,115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407,566</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423,054</w:t>
            </w:r>
          </w:p>
        </w:tc>
        <w:tc>
          <w:tcPr>
            <w:tcW w:w="3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214,044</w:t>
            </w:r>
          </w:p>
        </w:tc>
        <w:tc>
          <w:tcPr>
            <w:tcW w:w="3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264,115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7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60" w:type="dxa"/>
            <w:vAlign w:val="bottom"/>
          </w:tcPr>
          <w:p>
            <w:pPr>
              <w:ind w:left="22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91,000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28,000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54,000</w:t>
            </w:r>
          </w:p>
        </w:tc>
        <w:tc>
          <w:tcPr>
            <w:tcW w:w="0" w:type="dxa"/>
            <w:vAlign w:val="bottom"/>
          </w:tcPr>
          <w:p>
            <w:pPr>
              <w:spacing w:after="0"/>
              <w:rPr>
                <w:sz w:val="1"/>
                <w:szCs w:val="1"/>
                <w:color w:val="auto"/>
              </w:rPr>
            </w:pPr>
          </w:p>
        </w:tc>
      </w:tr>
      <w:tr>
        <w:trPr>
          <w:trHeight w:val="216"/>
        </w:trPr>
        <w:tc>
          <w:tcPr>
            <w:tcW w:w="7660" w:type="dxa"/>
            <w:vAlign w:val="bottom"/>
          </w:tcPr>
          <w:p>
            <w:pPr>
              <w:ind w:left="46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31,000</w:t>
            </w:r>
          </w:p>
        </w:tc>
        <w:tc>
          <w:tcPr>
            <w:tcW w:w="3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30,000</w:t>
            </w:r>
          </w:p>
        </w:tc>
        <w:tc>
          <w:tcPr>
            <w:tcW w:w="36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42,000</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220"/>
          </w:cols>
          <w:pgMar w:left="320" w:top="1033" w:right="359" w:bottom="585"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585" w:gutter="0" w:footer="0" w:header="0"/>
          <w:type w:val="continuous"/>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t>GRAHAM HOLDINGS COMPANY</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center"/>
              <w:ind w:right="57"/>
              <w:spacing w:after="0"/>
              <w:rPr>
                <w:sz w:val="20"/>
                <w:szCs w:val="20"/>
                <w:color w:val="auto"/>
              </w:rPr>
            </w:pPr>
            <w:r>
              <w:rPr>
                <w:rFonts w:ascii="Arial" w:cs="Arial" w:eastAsia="Arial" w:hAnsi="Arial"/>
                <w:sz w:val="11"/>
                <w:szCs w:val="11"/>
                <w:b w:val="1"/>
                <w:bCs w:val="1"/>
                <w:color w:val="auto"/>
                <w:w w:val="94"/>
              </w:rPr>
              <w:t>Class A</w:t>
            </w:r>
          </w:p>
        </w:tc>
        <w:tc>
          <w:tcPr>
            <w:tcW w:w="12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Class B</w:t>
            </w:r>
          </w:p>
        </w:tc>
        <w:tc>
          <w:tcPr>
            <w:tcW w:w="140" w:type="dxa"/>
            <w:vAlign w:val="bottom"/>
          </w:tcPr>
          <w:p>
            <w:pPr>
              <w:spacing w:after="0"/>
              <w:rPr>
                <w:sz w:val="10"/>
                <w:szCs w:val="10"/>
                <w:color w:val="auto"/>
              </w:rPr>
            </w:pPr>
          </w:p>
        </w:tc>
        <w:tc>
          <w:tcPr>
            <w:tcW w:w="6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Capital in</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center"/>
              <w:ind w:right="17"/>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Retained</w:t>
            </w:r>
          </w:p>
        </w:tc>
        <w:tc>
          <w:tcPr>
            <w:tcW w:w="100" w:type="dxa"/>
            <w:vAlign w:val="bottom"/>
          </w:tcPr>
          <w:p>
            <w:pPr>
              <w:spacing w:after="0"/>
              <w:rPr>
                <w:sz w:val="9"/>
                <w:szCs w:val="9"/>
                <w:color w:val="auto"/>
              </w:rPr>
            </w:pPr>
          </w:p>
        </w:tc>
        <w:tc>
          <w:tcPr>
            <w:tcW w:w="920" w:type="dxa"/>
            <w:vAlign w:val="bottom"/>
          </w:tcPr>
          <w:p>
            <w:pPr>
              <w:jc w:val="center"/>
              <w:ind w:right="37"/>
              <w:spacing w:after="0" w:line="108" w:lineRule="exact"/>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9"/>
                <w:szCs w:val="9"/>
                <w:color w:val="auto"/>
              </w:rPr>
            </w:pPr>
          </w:p>
        </w:tc>
        <w:tc>
          <w:tcPr>
            <w:tcW w:w="780" w:type="dxa"/>
            <w:vAlign w:val="bottom"/>
            <w:vMerge w:val="restart"/>
          </w:tcPr>
          <w:p>
            <w:pPr>
              <w:jc w:val="right"/>
              <w:ind w:right="195"/>
              <w:spacing w:after="0"/>
              <w:rPr>
                <w:sz w:val="20"/>
                <w:szCs w:val="20"/>
                <w:color w:val="auto"/>
              </w:rPr>
            </w:pPr>
            <w:r>
              <w:rPr>
                <w:rFonts w:ascii="Arial" w:cs="Arial" w:eastAsia="Arial" w:hAnsi="Arial"/>
                <w:sz w:val="11"/>
                <w:szCs w:val="11"/>
                <w:b w:val="1"/>
                <w:bCs w:val="1"/>
                <w:color w:val="auto"/>
              </w:rPr>
              <w:t>Treasury</w:t>
            </w:r>
          </w:p>
        </w:tc>
        <w:tc>
          <w:tcPr>
            <w:tcW w:w="960" w:type="dxa"/>
            <w:vAlign w:val="bottom"/>
            <w:gridSpan w:val="2"/>
            <w:vMerge w:val="restart"/>
          </w:tcPr>
          <w:p>
            <w:pPr>
              <w:jc w:val="right"/>
              <w:ind w:right="34"/>
              <w:spacing w:after="0"/>
              <w:rPr>
                <w:sz w:val="20"/>
                <w:szCs w:val="20"/>
                <w:color w:val="auto"/>
              </w:rPr>
            </w:pPr>
            <w:r>
              <w:rPr>
                <w:rFonts w:ascii="Arial" w:cs="Arial" w:eastAsia="Arial" w:hAnsi="Arial"/>
                <w:sz w:val="11"/>
                <w:szCs w:val="11"/>
                <w:b w:val="1"/>
                <w:bCs w:val="1"/>
                <w:color w:val="auto"/>
              </w:rPr>
              <w:t>Noncontrolling</w:t>
            </w: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vMerge w:val="restart"/>
          </w:tcPr>
          <w:p>
            <w:pPr>
              <w:spacing w:after="0"/>
              <w:rPr>
                <w:sz w:val="20"/>
                <w:szCs w:val="20"/>
                <w:color w:val="auto"/>
              </w:rPr>
            </w:pPr>
            <w:r>
              <w:rPr>
                <w:rFonts w:ascii="Arial" w:cs="Arial" w:eastAsia="Arial" w:hAnsi="Arial"/>
                <w:sz w:val="11"/>
                <w:szCs w:val="11"/>
                <w:color w:val="auto"/>
              </w:rPr>
              <w:t>(in thousands)</w:t>
            </w:r>
          </w:p>
        </w:tc>
        <w:tc>
          <w:tcPr>
            <w:tcW w:w="6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6"/>
              </w:rPr>
              <w:t>Common</w:t>
            </w:r>
          </w:p>
        </w:tc>
        <w:tc>
          <w:tcPr>
            <w:tcW w:w="120" w:type="dxa"/>
            <w:vAlign w:val="bottom"/>
          </w:tcPr>
          <w:p>
            <w:pPr>
              <w:spacing w:after="0"/>
              <w:rPr>
                <w:sz w:val="9"/>
                <w:szCs w:val="9"/>
                <w:color w:val="auto"/>
              </w:rPr>
            </w:pPr>
          </w:p>
        </w:tc>
        <w:tc>
          <w:tcPr>
            <w:tcW w:w="580" w:type="dxa"/>
            <w:vAlign w:val="bottom"/>
          </w:tcPr>
          <w:p>
            <w:pPr>
              <w:jc w:val="center"/>
              <w:ind w:right="38"/>
              <w:spacing w:after="0" w:line="108" w:lineRule="exact"/>
              <w:rPr>
                <w:sz w:val="20"/>
                <w:szCs w:val="20"/>
                <w:color w:val="auto"/>
              </w:rPr>
            </w:pPr>
            <w:r>
              <w:rPr>
                <w:rFonts w:ascii="Arial" w:cs="Arial" w:eastAsia="Arial" w:hAnsi="Arial"/>
                <w:sz w:val="11"/>
                <w:szCs w:val="11"/>
                <w:b w:val="1"/>
                <w:bCs w:val="1"/>
                <w:color w:val="auto"/>
              </w:rPr>
              <w:t>Common</w:t>
            </w:r>
          </w:p>
        </w:tc>
        <w:tc>
          <w:tcPr>
            <w:tcW w:w="140" w:type="dxa"/>
            <w:vAlign w:val="bottom"/>
          </w:tcPr>
          <w:p>
            <w:pPr>
              <w:spacing w:after="0"/>
              <w:rPr>
                <w:sz w:val="9"/>
                <w:szCs w:val="9"/>
                <w:color w:val="auto"/>
              </w:rPr>
            </w:pPr>
          </w:p>
        </w:tc>
        <w:tc>
          <w:tcPr>
            <w:tcW w:w="68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Excess of</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center"/>
              <w:ind w:right="37"/>
              <w:spacing w:after="0" w:line="108" w:lineRule="exact"/>
              <w:rPr>
                <w:sz w:val="20"/>
                <w:szCs w:val="20"/>
                <w:color w:val="auto"/>
              </w:rPr>
            </w:pPr>
            <w:r>
              <w:rPr>
                <w:rFonts w:ascii="Arial" w:cs="Arial" w:eastAsia="Arial" w:hAnsi="Arial"/>
                <w:sz w:val="11"/>
                <w:szCs w:val="11"/>
                <w:b w:val="1"/>
                <w:bCs w:val="1"/>
                <w:color w:val="auto"/>
                <w:w w:val="99"/>
              </w:rPr>
              <w:t>Comprehensive</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right"/>
              <w:ind w:right="133"/>
              <w:spacing w:after="0"/>
              <w:rPr>
                <w:sz w:val="20"/>
                <w:szCs w:val="20"/>
                <w:color w:val="auto"/>
              </w:rPr>
            </w:pPr>
            <w:r>
              <w:rPr>
                <w:rFonts w:ascii="Arial" w:cs="Arial" w:eastAsia="Arial" w:hAnsi="Arial"/>
                <w:sz w:val="11"/>
                <w:szCs w:val="11"/>
                <w:b w:val="1"/>
                <w:bCs w:val="1"/>
                <w:color w:val="auto"/>
                <w:w w:val="98"/>
              </w:rPr>
              <w:t>Total Equity</w:t>
            </w:r>
          </w:p>
        </w:tc>
        <w:tc>
          <w:tcPr>
            <w:tcW w:w="160" w:type="dxa"/>
            <w:vAlign w:val="bottom"/>
          </w:tcPr>
          <w:p>
            <w:pPr>
              <w:spacing w:after="0"/>
              <w:rPr>
                <w:sz w:val="9"/>
                <w:szCs w:val="9"/>
                <w:color w:val="auto"/>
              </w:rPr>
            </w:pPr>
          </w:p>
        </w:tc>
        <w:tc>
          <w:tcPr>
            <w:tcW w:w="860" w:type="dxa"/>
            <w:vAlign w:val="bottom"/>
          </w:tcPr>
          <w:p>
            <w:pPr>
              <w:jc w:val="center"/>
              <w:ind w:right="35"/>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0" w:type="dxa"/>
            <w:vAlign w:val="bottom"/>
          </w:tcPr>
          <w:p>
            <w:pPr>
              <w:spacing w:after="0"/>
              <w:rPr>
                <w:sz w:val="1"/>
                <w:szCs w:val="1"/>
                <w:color w:val="auto"/>
              </w:rPr>
            </w:pPr>
          </w:p>
        </w:tc>
      </w:tr>
      <w:tr>
        <w:trPr>
          <w:trHeight w:val="157"/>
        </w:trPr>
        <w:tc>
          <w:tcPr>
            <w:tcW w:w="30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99"/>
              </w:rPr>
              <w:t>Stock</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99"/>
              </w:rPr>
              <w:t>Stock</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Par Value</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Earnings</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98"/>
              </w:rPr>
              <w:t>Income</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Stock</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Interest</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rPr>
              <w:t>Interest</w:t>
            </w:r>
          </w:p>
        </w:tc>
        <w:tc>
          <w:tcPr>
            <w:tcW w:w="0" w:type="dxa"/>
            <w:vAlign w:val="bottom"/>
          </w:tcPr>
          <w:p>
            <w:pPr>
              <w:spacing w:after="0"/>
              <w:rPr>
                <w:sz w:val="1"/>
                <w:szCs w:val="1"/>
                <w:color w:val="auto"/>
              </w:rPr>
            </w:pPr>
          </w:p>
        </w:tc>
      </w:tr>
      <w:tr>
        <w:trPr>
          <w:trHeight w:val="197"/>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2017</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370,700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5,791,724</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535,555</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(3,802,834)</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2,915,145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4,607</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271,408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271,408</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Net income attributable to redeemable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(202)</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413</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413</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(28,617)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(28,617)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(118,030)</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(118,030)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Issuance of Class B common stock, net of</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160"/>
              <w:spacing w:after="0"/>
              <w:rPr>
                <w:sz w:val="20"/>
                <w:szCs w:val="20"/>
                <w:color w:val="auto"/>
              </w:rPr>
            </w:pPr>
            <w:r>
              <w:rPr>
                <w:rFonts w:ascii="Arial" w:cs="Arial" w:eastAsia="Arial" w:hAnsi="Arial"/>
                <w:sz w:val="13"/>
                <w:szCs w:val="13"/>
                <w:color w:val="auto"/>
              </w:rPr>
              <w:t>restricted stock award forfeitures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(340)</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(1,145)</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(1,485)</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16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8,064</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8,064</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(136,837)</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(136,837)</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Cumulative effect of accounting change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201,812</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(194,889)</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6,923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99"/>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2018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378,837</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6,236,125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203,829</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(3,922,009)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2,916,782</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4,346</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Arial" w:cs="Arial" w:eastAsia="Arial" w:hAnsi="Arial"/>
                <w:sz w:val="13"/>
                <w:szCs w:val="13"/>
                <w:color w:val="auto"/>
              </w:rPr>
              <w:t>Net income for the year</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327,879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327,879</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Issuance of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6,556</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6,556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Acquisition of redeemable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1,715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Net loss attributable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(152)</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Acquisition of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1,153</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1,153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Net income attributable to redeemable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(176)</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(29,553)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(29,553)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(2,103)</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(2,103)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Issuance of Class B common stock, net of</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160"/>
              <w:spacing w:after="0"/>
              <w:rPr>
                <w:sz w:val="20"/>
                <w:szCs w:val="20"/>
                <w:color w:val="auto"/>
              </w:rPr>
            </w:pPr>
            <w:r>
              <w:rPr>
                <w:rFonts w:ascii="Arial" w:cs="Arial" w:eastAsia="Arial" w:hAnsi="Arial"/>
                <w:sz w:val="13"/>
                <w:szCs w:val="13"/>
                <w:color w:val="auto"/>
              </w:rPr>
              <w:t>restricted stock award forfeitures</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(3,721)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3,960</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239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3"/>
                <w:szCs w:val="13"/>
                <w:color w:val="auto"/>
              </w:rPr>
              <w:t>Amortization of unearned stock compensation and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80" w:type="dxa"/>
            <w:vAlign w:val="bottom"/>
          </w:tcPr>
          <w:p>
            <w:pPr>
              <w:ind w:left="160"/>
              <w:spacing w:after="0"/>
              <w:rPr>
                <w:sz w:val="20"/>
                <w:szCs w:val="20"/>
                <w:color w:val="auto"/>
              </w:rPr>
            </w:pPr>
            <w:r>
              <w:rPr>
                <w:rFonts w:ascii="Arial" w:cs="Arial" w:eastAsia="Arial" w:hAnsi="Arial"/>
                <w:sz w:val="13"/>
                <w:szCs w:val="13"/>
                <w:color w:val="auto"/>
              </w:rPr>
              <w:t>stock option expense</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6,521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6,521</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99,466</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99,466</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99"/>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2019</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964</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19,036</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381,669</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6,534,427</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303,295</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(3,920,152)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7,557</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3,326,796</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5,655</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Net income for the year</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299,968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299,968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Net loss attributable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386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(386)</w:t>
            </w:r>
          </w:p>
        </w:tc>
        <w:tc>
          <w:tcPr>
            <w:tcW w:w="14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b w:val="1"/>
                <w:bCs w:val="1"/>
                <w:color w:val="auto"/>
              </w:rPr>
              <w:t>Acquisition of redeemable noncontrolling</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6,005</w:t>
            </w:r>
          </w:p>
        </w:tc>
        <w:tc>
          <w:tcPr>
            <w:tcW w:w="0" w:type="dxa"/>
            <w:vAlign w:val="bottom"/>
          </w:tcPr>
          <w:p>
            <w:pPr>
              <w:spacing w:after="0"/>
              <w:rPr>
                <w:sz w:val="1"/>
                <w:szCs w:val="1"/>
                <w:color w:val="auto"/>
              </w:rPr>
            </w:pPr>
          </w:p>
        </w:tc>
      </w:tr>
      <w:tr>
        <w:trPr>
          <w:trHeight w:val="190"/>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b w:val="1"/>
                <w:bCs w:val="1"/>
                <w:color w:val="auto"/>
              </w:rPr>
              <w:t>Net loss attributable to redeemable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11</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w:t>
            </w:r>
          </w:p>
        </w:tc>
        <w:tc>
          <w:tcPr>
            <w:tcW w:w="0" w:type="dxa"/>
            <w:vAlign w:val="bottom"/>
          </w:tcPr>
          <w:p>
            <w:pPr>
              <w:spacing w:after="0"/>
              <w:rPr>
                <w:sz w:val="1"/>
                <w:szCs w:val="1"/>
                <w:color w:val="auto"/>
              </w:rPr>
            </w:pPr>
          </w:p>
        </w:tc>
      </w:tr>
      <w:tr>
        <w:trPr>
          <w:trHeight w:val="190"/>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273</w:t>
            </w:r>
          </w:p>
        </w:tc>
        <w:tc>
          <w:tcPr>
            <w:tcW w:w="140" w:type="dxa"/>
            <w:vAlign w:val="bottom"/>
          </w:tcPr>
          <w:p>
            <w:pPr>
              <w:spacing w:after="0"/>
              <w:rPr>
                <w:sz w:val="13"/>
                <w:szCs w:val="13"/>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273</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279</w:t>
            </w:r>
          </w:p>
        </w:tc>
        <w:tc>
          <w:tcPr>
            <w:tcW w:w="0" w:type="dxa"/>
            <w:vAlign w:val="bottom"/>
          </w:tcPr>
          <w:p>
            <w:pPr>
              <w:spacing w:after="0"/>
              <w:rPr>
                <w:sz w:val="1"/>
                <w:szCs w:val="1"/>
                <w:color w:val="auto"/>
              </w:rPr>
            </w:pPr>
          </w:p>
        </w:tc>
      </w:tr>
      <w:tr>
        <w:trPr>
          <w:trHeight w:val="190"/>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Distribution to noncontrolling interest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(353)</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(353)</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20"/>
                <w:szCs w:val="20"/>
                <w:color w:val="auto"/>
              </w:rPr>
            </w:pPr>
            <w:r>
              <w:rPr>
                <w:rFonts w:ascii="Arial" w:cs="Arial" w:eastAsia="Arial" w:hAnsi="Arial"/>
                <w:sz w:val="13"/>
                <w:szCs w:val="13"/>
                <w:b w:val="1"/>
                <w:bCs w:val="1"/>
                <w:color w:val="auto"/>
              </w:rPr>
              <w:t>Dividends paid on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(29,970)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(29,970)</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8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(161,829)</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(161,829)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b w:val="1"/>
                <w:bCs w:val="1"/>
                <w:color w:val="auto"/>
              </w:rPr>
              <w:t>Issuance of Class B common stock, net of</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(411)</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24,988</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24,577</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restricted stock award forfeitures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6,901</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6,901</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and stock option expense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b w:val="1"/>
                <w:bCs w:val="1"/>
                <w:color w:val="auto"/>
              </w:rPr>
              <w:t>Other comprehensive income, net of income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300,019</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300,019</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080" w:type="dxa"/>
            <w:vAlign w:val="bottom"/>
          </w:tcPr>
          <w:p>
            <w:pPr>
              <w:ind w:left="160"/>
              <w:spacing w:after="0"/>
              <w:rPr>
                <w:sz w:val="20"/>
                <w:szCs w:val="20"/>
                <w:color w:val="auto"/>
              </w:rPr>
            </w:pPr>
            <w:r>
              <w:rPr>
                <w:rFonts w:ascii="Arial" w:cs="Arial" w:eastAsia="Arial" w:hAnsi="Arial"/>
                <w:sz w:val="13"/>
                <w:szCs w:val="13"/>
                <w:b w:val="1"/>
                <w:bCs w:val="1"/>
                <w:color w:val="auto"/>
              </w:rPr>
              <w:t>taxes</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20"/>
                <w:szCs w:val="20"/>
                <w:color w:val="auto"/>
              </w:rPr>
            </w:pPr>
            <w:r>
              <w:rPr>
                <w:rFonts w:ascii="Arial" w:cs="Arial" w:eastAsia="Arial" w:hAnsi="Arial"/>
                <w:sz w:val="13"/>
                <w:szCs w:val="13"/>
                <w:b w:val="1"/>
                <w:bCs w:val="1"/>
                <w:color w:val="auto"/>
              </w:rPr>
              <w:t>As of December 31,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19,036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388,159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6,804,822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603,314</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(4,056,993)</w:t>
            </w: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7,091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3,766,393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11,928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33" w:right="39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4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(U.S.). The Company’s media operations comprise the ownership and operation of seven television broadcasting stations.</w:t>
      </w:r>
    </w:p>
    <w:p>
      <w:pPr>
        <w:spacing w:after="0" w:line="1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three categories: Kaplan International, Higher Education (KHE) and Supplemental Education.</w:t>
      </w:r>
    </w:p>
    <w:p>
      <w:pPr>
        <w:spacing w:after="0" w:line="8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podcast</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and a marketing solutions provider.</w:t>
      </w:r>
    </w:p>
    <w:p>
      <w:pPr>
        <w:spacing w:after="0" w:line="88" w:lineRule="exact"/>
        <w:rPr>
          <w:sz w:val="20"/>
          <w:szCs w:val="20"/>
          <w:color w:val="auto"/>
        </w:rPr>
      </w:pPr>
    </w:p>
    <w:p>
      <w:pPr>
        <w:jc w:val="both"/>
        <w:ind w:right="540"/>
        <w:spacing w:after="0" w:line="239" w:lineRule="auto"/>
        <w:rPr>
          <w:sz w:val="20"/>
          <w:szCs w:val="20"/>
          <w:color w:val="auto"/>
        </w:rPr>
      </w:pPr>
      <w:r>
        <w:rPr>
          <w:rFonts w:ascii="Arial" w:cs="Arial" w:eastAsia="Arial" w:hAnsi="Arial"/>
          <w:sz w:val="18"/>
          <w:szCs w:val="18"/>
          <w:i w:val="1"/>
          <w:iCs w:val="1"/>
          <w:color w:val="auto"/>
        </w:rPr>
        <w:t xml:space="preserve">Television broadcasting. </w:t>
      </w:r>
      <w:r>
        <w:rPr>
          <w:rFonts w:ascii="Arial" w:cs="Arial" w:eastAsia="Arial" w:hAnsi="Arial"/>
          <w:sz w:val="18"/>
          <w:szCs w:val="18"/>
          <w:color w:val="auto"/>
        </w:rPr>
        <w:t>As of December 31, 2020, the Company owned seven television stations located in Houston, TX; Detroit, MI;</w:t>
      </w:r>
      <w:r>
        <w:rPr>
          <w:rFonts w:ascii="Arial" w:cs="Arial" w:eastAsia="Arial" w:hAnsi="Arial"/>
          <w:sz w:val="18"/>
          <w:szCs w:val="18"/>
          <w:i w:val="1"/>
          <w:iCs w:val="1"/>
          <w:color w:val="auto"/>
        </w:rPr>
        <w:t xml:space="preserve"> </w:t>
      </w:r>
      <w:r>
        <w:rPr>
          <w:rFonts w:ascii="Arial" w:cs="Arial" w:eastAsia="Arial" w:hAnsi="Arial"/>
          <w:sz w:val="18"/>
          <w:szCs w:val="18"/>
          <w:color w:val="auto"/>
        </w:rPr>
        <w:t>Orlando, FL; San Antonio, TX; Roanoke, VA; and two stations in Jacksonville, FL. All stations are network-affiliated except for WJXT in Jacksonville, FL.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r>
        <w:rPr>
          <w:rFonts w:ascii="Arial" w:cs="Arial" w:eastAsia="Arial" w:hAnsi="Arial"/>
          <w:sz w:val="18"/>
          <w:szCs w:val="18"/>
          <w:color w:val="auto"/>
        </w:rPr>
        <w:t>—The Company’s manufacturing businesses include Hoover, Dekko, Joyce/Dayton and Forney.</w:t>
      </w:r>
    </w:p>
    <w:p>
      <w:pPr>
        <w:spacing w:after="0" w:line="1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automotive dealerships, restaurants and entertainment venues, custom framing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and home health and hospice services.</w:t>
      </w:r>
    </w:p>
    <w:p>
      <w:pPr>
        <w:spacing w:after="0" w:line="86"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0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amounts in previously issued financial statements have been reclassified to conform with the presentation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2020. The Company disaggregated its operating revenues into sales of services and sales of goods, and also disaggregated the corresponding operating costs into cost of services sold and cost of goods sold. Additionally, the Company reclassified $75.0 million and $100.8 million from cost of services and goods sold (previously operating) to selling, general and administrative in the Consolidated Statement of Operations for the years ended December 31, 2019 and 2018, respectively.</w:t>
      </w:r>
    </w:p>
    <w:p>
      <w:pPr>
        <w:spacing w:after="0" w:line="10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09"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 December 31, 2020 and through the date of this filing. The accounting matters assessed included, but were not limited to, the Company’s carrying value of goodwill and other long-lived assets, allowance for doubtful accounts, inventory valuation and related reserves, fair value of financial assets, valuation allowances for tax assets and revenue recognition. Other than the goodwill, indefinite-lived asset and other long-lived asset impairment charges (see Notes 9, 12 and 19), there were no other impacts to the Company’s consolidated financial statements as of and for the year ended December 31, 2020 resulting from our assessments. The Company’s future assessment of the magnitude and duration of COVID-19, as well as other factors, could result in material impacts to the Company’s consolidated financial statements in future reporting periods.</w:t>
      </w:r>
    </w:p>
    <w:p>
      <w:pPr>
        <w:spacing w:after="0" w:line="107"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75" w:name="page76"/>
    <w:bookmarkEnd w:id="75"/>
    <w:p>
      <w:pPr>
        <w:ind w:right="180"/>
        <w:spacing w:after="0" w:line="263"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86"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required to be held by non-U.S. higher education institutions for prepaid tuition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foreign government regulations. These regulations stipulate that the Company has a fiduciary responsibility to segregate certain funds to ensure these funds are only used for the benefit of eligible students.</w:t>
      </w:r>
    </w:p>
    <w:p>
      <w:pPr>
        <w:spacing w:after="0" w:line="105"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receivables from contracts with customers.</w:t>
      </w:r>
    </w:p>
    <w:p>
      <w:pPr>
        <w:spacing w:after="0" w:line="107"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Accounts receivable have been reduced by an allowance that reflects the current expected credit losses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receivables. The current expected credit losses are estimated based on historical write-offs, current macroeconomic conditions and reasonable and supportable forecasts of future economic conditions. Reserves are also established against specific receivables based on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109" w:lineRule="exact"/>
        <w:rPr>
          <w:sz w:val="20"/>
          <w:szCs w:val="20"/>
          <w:color w:val="auto"/>
        </w:rPr>
      </w:pPr>
    </w:p>
    <w:p>
      <w:pPr>
        <w:spacing w:after="0" w:line="247" w:lineRule="auto"/>
        <w:rPr>
          <w:sz w:val="20"/>
          <w:szCs w:val="20"/>
          <w:color w:val="auto"/>
        </w:rPr>
      </w:pPr>
      <w:r>
        <w:rPr>
          <w:rFonts w:ascii="Arial" w:cs="Arial" w:eastAsia="Arial" w:hAnsi="Arial"/>
          <w:sz w:val="17"/>
          <w:szCs w:val="17"/>
          <w:b w:val="1"/>
          <w:bCs w:val="1"/>
          <w:color w:val="auto"/>
        </w:rPr>
        <w:t xml:space="preserve">Investments in Equity Securities. </w:t>
      </w:r>
      <w:r>
        <w:rPr>
          <w:rFonts w:ascii="Arial" w:cs="Arial" w:eastAsia="Arial" w:hAnsi="Arial"/>
          <w:sz w:val="17"/>
          <w:szCs w:val="17"/>
          <w:color w:val="auto"/>
        </w:rPr>
        <w:t>The Company measures its investments in equity securities at fair value with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in earnings. The Company elected the measurement alternative to measure cost method investments that do not have readily determinable fair value at cost less impairment, adjusted by observable price changes with any fair value changes recognized in earnings. If 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101"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1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lease right-of-use assets;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0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hedges are determined based on a number of observable inputs, including time to maturity and market interest rates.</w:t>
      </w:r>
    </w:p>
    <w:p>
      <w:pPr>
        <w:spacing w:after="0" w:line="1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76" w:name="page77"/>
    <w:bookmarkEnd w:id="76"/>
    <w:p>
      <w:pPr>
        <w:ind w:right="140"/>
        <w:spacing w:after="0" w:line="260" w:lineRule="auto"/>
        <w:rPr>
          <w:sz w:val="20"/>
          <w:szCs w:val="20"/>
          <w:color w:val="auto"/>
        </w:rPr>
      </w:pPr>
      <w:r>
        <w:rPr>
          <w:rFonts w:ascii="Arial" w:cs="Arial" w:eastAsia="Arial" w:hAnsi="Arial"/>
          <w:sz w:val="18"/>
          <w:szCs w:val="18"/>
          <w:color w:val="auto"/>
        </w:rPr>
        <w:t>for excess and obsolete inventory is based on management’s evaluation of inventories on hand relative to historical usage, estimated future usage and technological developments.</w:t>
      </w:r>
    </w:p>
    <w:p>
      <w:pPr>
        <w:spacing w:after="0" w:line="9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Vehicle inventory is based on the specific identification method. The cost of new and used vehicle inventories includes the cost of any equipment added, reconditioning and transportation. In certain instances, vehicle manufacturers provide incentives which are reflected as a reduction in the carrying value of each vehicle purchased.</w:t>
      </w:r>
    </w:p>
    <w:p>
      <w:pPr>
        <w:spacing w:after="0" w:line="95"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107"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0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franchise agreements and FCC licenses. Amortized intangible assets are primarily student and customer relationships and trade names and trademarks, with amortization periods up to 10 years. Costs associated with renewing or extending intangible assets are insignificant and expensed as incurred.</w:t>
      </w:r>
    </w:p>
    <w:p>
      <w:pPr>
        <w:spacing w:after="0" w:line="10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110"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control, but over which it exerts significant influence.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11"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adopted the new revenue guidance on January 1, 2018, using the modified retrospective approach</w:t>
      </w:r>
      <w:r>
        <w:rPr>
          <w:rFonts w:ascii="Arial" w:cs="Arial" w:eastAsia="Arial" w:hAnsi="Arial"/>
          <w:sz w:val="18"/>
          <w:szCs w:val="18"/>
          <w:b w:val="1"/>
          <w:bCs w:val="1"/>
          <w:color w:val="auto"/>
        </w:rPr>
        <w:t xml:space="preserve"> </w:t>
      </w:r>
      <w:r>
        <w:rPr>
          <w:rFonts w:ascii="Arial" w:cs="Arial" w:eastAsia="Arial" w:hAnsi="Arial"/>
          <w:sz w:val="18"/>
          <w:szCs w:val="18"/>
          <w:color w:val="auto"/>
        </w:rPr>
        <w:t>for contracts not completed as of the adoption date. Prior to the adoption of the new revenue guidance, the Company recognized revenue when persuasive evidence of an arrangement existed, the fees were fixed or determinable, the product or service had been delivered and collectability was assured. The Company considered the terms of each arrangement to determine the appropriate accounting treatment.</w:t>
      </w:r>
    </w:p>
    <w:p>
      <w:pPr>
        <w:spacing w:after="0" w:line="10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Subsequent to the adoption of the new guidance, the Company identifies a contract for revenue recognition when there is approval and 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1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Education 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Education revenue is primarily derived from postsecondary education and supplementary education services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domestically and abroad. Generally, tuition and other fees are paid upfront and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77" w:name="page78"/>
    <w:bookmarkEnd w:id="77"/>
    <w:p>
      <w:pPr>
        <w:ind w:right="340"/>
        <w:spacing w:after="0" w:line="231" w:lineRule="auto"/>
        <w:rPr>
          <w:sz w:val="20"/>
          <w:szCs w:val="20"/>
          <w:color w:val="auto"/>
        </w:rPr>
      </w:pPr>
      <w:r>
        <w:rPr>
          <w:rFonts w:ascii="Arial" w:cs="Arial" w:eastAsia="Arial" w:hAnsi="Arial"/>
          <w:sz w:val="18"/>
          <w:szCs w:val="18"/>
          <w:color w:val="auto"/>
        </w:rPr>
        <w:t>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11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i w:val="1"/>
          <w:iCs w:val="1"/>
          <w:color w:val="auto"/>
        </w:rPr>
        <w:t>Kaplan International</w:t>
      </w:r>
      <w:r>
        <w:rPr>
          <w:rFonts w:ascii="Arial" w:cs="Arial" w:eastAsia="Arial" w:hAnsi="Arial"/>
          <w:sz w:val="18"/>
          <w:szCs w:val="18"/>
          <w:color w:val="auto"/>
        </w:rPr>
        <w:t>. Kaplan International provides higher education, professional education, and test preparation services and materials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primarily in the United Kingdom (U.K.), Singapore, and Australia. Some Kaplan International contracts consist of one performance obligation that is a combination of indistinct promises to the student, while other Kaplan International contracts include multiple performance obligations as the 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111"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Kaplan International generally determines standalone selling prices based on prices charged to students.</w:t>
      </w:r>
    </w:p>
    <w:p>
      <w:pPr>
        <w:spacing w:after="0" w:line="11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 services. Kaplan International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111"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i w:val="1"/>
          <w:iCs w:val="1"/>
          <w:color w:val="auto"/>
        </w:rPr>
        <w:t>Higher Education (KHE)</w:t>
      </w:r>
      <w:r>
        <w:rPr>
          <w:rFonts w:ascii="Arial" w:cs="Arial" w:eastAsia="Arial" w:hAnsi="Arial"/>
          <w:sz w:val="18"/>
          <w:szCs w:val="18"/>
          <w:color w:val="auto"/>
        </w:rPr>
        <w:t>. In the first quarter of 2018, KHE provided postsecondary education services to students through KU’s online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and fixed-facility colleges.</w:t>
      </w:r>
    </w:p>
    <w:p>
      <w:pPr>
        <w:spacing w:after="0" w:line="92"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These contracts consisted either of one performance obligation that is a combination of distinct promises to a student, or two performance obligations if the student also enrolled in the Kaplan Tuition Cap, which established a maximum amount of tuition that KHE may charge students for higher education services. The Kaplan Tuition Cap was accounted for as a material right. The transaction price of a higher education contract was stated in the contract and known at the time of contract inception; therefore, no variable consideration existed. A portion of the transaction price was allocated to the material right, if applicable, based on the expected value method.</w:t>
      </w:r>
    </w:p>
    <w:p>
      <w:pPr>
        <w:spacing w:after="0" w:line="11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Higher education services revenue was recognized ratably over the instruction period. The Company used the time elapsed method, an input measure, as it best depicts the simultaneous consumption and delivery of higher education services.</w:t>
      </w:r>
    </w:p>
    <w:p>
      <w:pPr>
        <w:spacing w:after="0" w:line="92"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March 22, 2018, Kaplan contributed the institutional assets and operations of KU to Purdue University Global (Purdue Global) (see Note 3). Subsequent to the transaction, KHE provides non-academic operations support services to Purdue Global pursuant to a Transition and Operations Support Agreement (TOSA). This contract has a 30-year term and consists of one performance obligation, which represents a series of daily promises to provide support services to Purdue Global. The transaction price is entirely made up of variable consideration related to the reimbursement of KHE support costs and the KHE fee. The TOSA outlines a payment structure, which dictates how cash will be distributed at the end of Purdue Global’s fiscal year, which is the 30th of June. The collectability of the KHE support costs and KHE fee is entirely dependent on the availability of cash at the end of the fiscal year. This variable consideration is constrained based on fiscal year forecasts prepared for Purdue Global. The forecasts are updated throughout the fiscal year until the uncertainty is ultimately resolved, which is at the end of each Purdue Global fiscal year. As KHE’s performance obligation is made up of a series, the variable consideration is allocated to the distinct service period to which it relates, which is the Purdue Global fiscal year.</w:t>
      </w:r>
    </w:p>
    <w:p>
      <w:pPr>
        <w:spacing w:after="0" w:line="11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 KHE fee revenue is also recognized over time based on the amount of Purdue Global revenue recognized to date and the percentage of fee expected to be collected for the fiscal year. The Company used these input measures as Purdue Global simultaneously receives and consumes the benefits of the services provided by KHE.</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i w:val="1"/>
          <w:iCs w:val="1"/>
          <w:color w:val="auto"/>
        </w:rPr>
        <w:t>Kaplan Supplemental Education</w:t>
      </w:r>
      <w:r>
        <w:rPr>
          <w:rFonts w:ascii="Arial" w:cs="Arial" w:eastAsia="Arial" w:hAnsi="Arial"/>
          <w:sz w:val="18"/>
          <w:szCs w:val="18"/>
          <w:color w:val="auto"/>
        </w:rPr>
        <w:t>. Supplemental Education offers test preparation services and materials to students, as well as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training and exam preparation for professional certifications and licensures to students. Generally Supplemental Education contracts consist of multiple performance obligations as promises for these services are distinct within the context of the contract. The transaction price is stated in the contract and known at the time of contract inception, therefore no variable consideration exists. Revenue is allocated to each performance obligation based on its standalone selling price. Supplemental Education generally determines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8" w:name="page79"/>
    <w:bookmarkEnd w:id="78"/>
    <w:p>
      <w:pPr>
        <w:jc w:val="both"/>
        <w:ind w:right="140"/>
        <w:spacing w:after="0" w:line="260" w:lineRule="auto"/>
        <w:rPr>
          <w:sz w:val="20"/>
          <w:szCs w:val="20"/>
          <w:color w:val="auto"/>
        </w:rPr>
      </w:pPr>
      <w:r>
        <w:rPr>
          <w:rFonts w:ascii="Arial" w:cs="Arial" w:eastAsia="Arial" w:hAnsi="Arial"/>
          <w:sz w:val="18"/>
          <w:szCs w:val="18"/>
          <w:color w:val="auto"/>
        </w:rPr>
        <w:t>standalone selling prices based 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92"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Supplemental Education services revenue is recognized ratably over the period of access to the education materials. An estimate of the average access period is developed for each course, and this estimate is evaluated on an ongoing basis and adjusted as necessary. The time elapsed method, an input measure, is used as it best depicts the simultaneous consumption and availability of access to the services. Revenue associated with distinct course materials is recognized at the point in time when control transfers to the student, generally when products are delivered to the student.</w:t>
      </w:r>
    </w:p>
    <w:p>
      <w:pPr>
        <w:spacing w:after="0" w:line="11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Supplemental Education offers a guarantee on certain courses that gives students the ability to repeat a course if they are not satisfied with their exam score. The Company accounts for this guarantee as a separate performance obligation.</w:t>
      </w:r>
    </w:p>
    <w:p>
      <w:pPr>
        <w:spacing w:after="0" w:line="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Television Broadcasting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broadcasting revenue at Graham Media Group (GMG) is primarily comprised of television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internet advertising revenue, and retransmission revenue.</w:t>
      </w:r>
    </w:p>
    <w:p>
      <w:pPr>
        <w:spacing w:after="0" w:line="88"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and recognizes advertising revenue over time. The Company 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GMG has the right to invoice the customer. Payment is typically received in arrears within 60 days of revenue recognition.</w:t>
      </w:r>
    </w:p>
    <w:p>
      <w:pPr>
        <w:spacing w:after="0" w:line="111" w:lineRule="exact"/>
        <w:rPr>
          <w:sz w:val="20"/>
          <w:szCs w:val="20"/>
          <w:color w:val="auto"/>
        </w:rPr>
      </w:pPr>
    </w:p>
    <w:p>
      <w:pPr>
        <w:ind w:right="280"/>
        <w:spacing w:after="0" w:line="228" w:lineRule="auto"/>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distributors (MVPDs) to retransmit GMG’s stations’ broadcasts in their designated market areas.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 user rate identified in the retransmission contract. Payment is typically received in arrears within 60 days of revenue recognition.</w:t>
      </w:r>
    </w:p>
    <w:p>
      <w:pPr>
        <w:spacing w:after="0" w:line="107"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i w:val="1"/>
          <w:iCs w:val="1"/>
          <w:color w:val="auto"/>
        </w:rPr>
        <w:t>Manufacturing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revenue consists primarily of product sales generated by four businesses: Hoover, Dekko, Joyce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Forney. The Company has determined that each item ordered by the 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113" w:lineRule="exact"/>
        <w:rPr>
          <w:sz w:val="20"/>
          <w:szCs w:val="20"/>
          <w:color w:val="auto"/>
        </w:rPr>
      </w:pPr>
    </w:p>
    <w:p>
      <w:pPr>
        <w:ind w:right="940"/>
        <w:spacing w:after="0" w:line="260"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9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Company recognizes revenue when or as control transfers to the customer. Some manufacturing revenue is recognized ratably over the manufacturing period, if the product created for the customer does not have an alternative use to the Company and the Company has an enforceable right to payment for performance completed to date. The determination of the method by which the Company measures its progress toward the satisfaction of its performance obligations requires judgment. The Company measures its progress for these products using the units delivered method, an output measure. These arrangements represented 23%, 28% and 27% of the manufacturing revenue recognized for the years ended December 31, 2020, 2019 and 2018, respectively.</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Other manufacturing revenue is recognized at the point in time when control transfers to the customer, generally when the products are shipped. Some customers have a bill and hold arrangement with the Company. Revenue for bill and 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90 days of delivery.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79" w:name="page80"/>
    <w:bookmarkEnd w:id="79"/>
    <w:p>
      <w:pPr>
        <w:ind w:right="440"/>
        <w:spacing w:after="0" w:line="260"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90"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b w:val="1"/>
          <w:bCs w:val="1"/>
          <w:i w:val="1"/>
          <w:iCs w:val="1"/>
          <w:color w:val="auto"/>
        </w:rPr>
        <w:t>Healthcare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contracts with patients to provide home health or hospice services. Payment is typically received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payors such as Medicare, Medicaid, and private insurers. The payor is a third party to the contract that stipulates the transaction price of the contract. The Company identifies the patient as the party who benefits from its healthcare services and as such, the patient is its customer.</w:t>
      </w:r>
    </w:p>
    <w:p>
      <w:pPr>
        <w:spacing w:after="0" w:line="109"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The Centers for Medicare and Medicaid Services released a revised reimbursement structure under the Patient Driven Groupings Model (PDGM) for Medicare claims for home healthcare services effective for new and modified revenue contracts beginning on or after January 1, 2020. Home health services contracts generally have one performance obligation to provide home health services to patients. Under the PDGM model, the Company recognizes revenue using the right to invoice practical expedient, an output method, as the contractual right to revenue corresponds directly with the transfer of services to the patient. Given the election of the practical expedient, the Company does not determine the transaction price or allocate any variable consideration at contract inception. Rather, the Company recognizes revenue commensurate with the amount to which it has the right to invoice the customer, which is a function of the average length of stay within each of the two 30 day payment periods. Payment is typically received from Medicare within 30 days after a claim is filed. Medicare is the most common third-party payor for home health services.</w:t>
      </w:r>
    </w:p>
    <w:p>
      <w:pPr>
        <w:spacing w:after="0" w:line="10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Hospice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Hospice service revenue is recognized ratably over the period of care. The Company generally uses the time-elapsed method, an input measure as it best depicts the simultaneous delivery and consumption of healthcare services. Payment is received from third-party payors for hospice services within 60 days after a claim is filed, or in some cases in two installments, one during the contract and one after the services have been provided. Medicare is the most common third-party payor.</w:t>
      </w:r>
    </w:p>
    <w:p>
      <w:pPr>
        <w:spacing w:after="0" w:line="10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The Company recognizes revenue associated with management services it provides to its affiliates. The Company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107"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Automotive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automotive subsidiary generates revenue primarily through the sale of new and used vehicles,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arrangement of vehicle financing, insurance and other service contracts (F&amp;I revenue) and the performance of vehicle repair and maintenance services.</w:t>
      </w:r>
    </w:p>
    <w:p>
      <w:pPr>
        <w:spacing w:after="0" w:line="107"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New and used vehicle revenue contracts generally contain one performance obligation to deliver the vehicle to the customer in exchange for the stated contract consideration. Revenue is recognized at the point in time when control of the vehicle passes to the customer. F&amp;I revenue is recognized at the point in time when the agreement between the customer and financing, insurance or service provider is executed. As the automotive division acts as an agent in these F&amp;I revenue transactions, revenue is recognized net of any financing, insurance and service provider costs. Repair and maintenance services revenue is recognized over time, as the service is performed.</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auto"/>
        </w:rPr>
        <w:t xml:space="preserve">Restaurant Revenue. </w:t>
      </w:r>
      <w:r>
        <w:rPr>
          <w:rFonts w:ascii="Arial" w:cs="Arial" w:eastAsia="Arial" w:hAnsi="Arial"/>
          <w:sz w:val="18"/>
          <w:szCs w:val="18"/>
          <w:color w:val="auto"/>
        </w:rPr>
        <w:t>Restaurant revenues consists of sales generated by Clyde’s Restaurant Group. Food and beverage revenue,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taxes, is recognized at the point in time when it is delivered to the customer. Proceeds from the sale of gift cards are recorded as deferred revenue and recognized as revenue upon redemption by the customer.</w:t>
      </w:r>
    </w:p>
    <w:p>
      <w:pPr>
        <w:spacing w:after="0" w:line="111" w:lineRule="exact"/>
        <w:rPr>
          <w:sz w:val="20"/>
          <w:szCs w:val="20"/>
          <w:color w:val="auto"/>
        </w:rPr>
      </w:pPr>
    </w:p>
    <w:p>
      <w:pPr>
        <w:jc w:val="both"/>
        <w:ind w:right="360"/>
        <w:spacing w:after="0" w:line="239" w:lineRule="auto"/>
        <w:rPr>
          <w:sz w:val="20"/>
          <w:szCs w:val="20"/>
          <w:color w:val="auto"/>
        </w:rPr>
      </w:pPr>
      <w:r>
        <w:rPr>
          <w:rFonts w:ascii="Arial" w:cs="Arial" w:eastAsia="Arial" w:hAnsi="Arial"/>
          <w:sz w:val="18"/>
          <w:szCs w:val="18"/>
          <w:i w:val="1"/>
          <w:iCs w:val="1"/>
          <w:color w:val="auto"/>
        </w:rPr>
        <w:t xml:space="preserve">Custom Framing Services Revenue. </w:t>
      </w:r>
      <w:r>
        <w:rPr>
          <w:rFonts w:ascii="Arial" w:cs="Arial" w:eastAsia="Arial" w:hAnsi="Arial"/>
          <w:sz w:val="18"/>
          <w:szCs w:val="18"/>
          <w:color w:val="auto"/>
        </w:rPr>
        <w:t>Framebridge sells custom framing solutions to customers. Custom framing services revenue, net of</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taxes, is recognized when the products are delivered to the customer. Proceeds from the sale of gift cards are recorded as deferred revenue and recognized as revenue upon redemption by the customer.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0" w:name="page81"/>
    <w:bookmarkEnd w:id="80"/>
    <w:p>
      <w:pPr>
        <w:spacing w:after="0" w:line="239" w:lineRule="auto"/>
        <w:rPr>
          <w:sz w:val="20"/>
          <w:szCs w:val="20"/>
          <w:color w:val="auto"/>
        </w:rPr>
      </w:pPr>
      <w:r>
        <w:rPr>
          <w:rFonts w:ascii="Arial" w:cs="Arial" w:eastAsia="Arial" w:hAnsi="Arial"/>
          <w:sz w:val="18"/>
          <w:szCs w:val="18"/>
          <w:i w:val="1"/>
          <w:iCs w:val="1"/>
          <w:color w:val="auto"/>
        </w:rPr>
        <w:t>Code3 Revenue</w:t>
      </w:r>
      <w:r>
        <w:rPr>
          <w:rFonts w:ascii="Arial" w:cs="Arial" w:eastAsia="Arial" w:hAnsi="Arial"/>
          <w:sz w:val="18"/>
          <w:szCs w:val="18"/>
          <w:color w:val="auto"/>
        </w:rPr>
        <w:t>. Code3 generates media management revenue in exchange for providing social media marketing solutions to its clients.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Code3 contracts generally have one performance obligation made up of a series of promises to manage the client’s media spend on advertising platforms for the duration of the contract period.</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Code3 recognizes revenue, net of media acquisition costs, over time as media management services are delivered to the customer. Generally, Code3 recognizes revenue using the right to invoice practical expedient, an output method, as Code3’s right to revenue corresponds directly with the value delivered to its customer. As a result of the election to use the right to invoice practical expedient, Code3 does not determine the transaction price or allocate any variable consideration at contract inception. Rather, Code3 recognizes revenue 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11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Code3 evaluates whether it is the principal (i.e. presents revenue on a gross basis) or agent (i.e. presents revenue on a net basis) in its contracts. Code3 presents revenue for media management services, net of media acquisition costs, as an agent, as Code3 does not control the media before placement on social media platforms.</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includes advertising, circulation and subscription revenue from Slate, Megaphone, Decile, Pinna and</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Policy. The Company accounts for other advertising revenues consistently with the advertising revenue streams addressed above. Circulation revenue consists of fees that provide customers access to online and print publications. The Company recognizes circulation and subscription revenue ratably over the subscription period beginning on the date that the publication or product is made available to the customer. Circulation revenue contracts are generally annual or monthly subscription contracts that are paid in advance of delivery of performance obligations.</w:t>
      </w:r>
    </w:p>
    <w:p>
      <w:pPr>
        <w:spacing w:after="0" w:line="109"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b w:val="1"/>
          <w:bCs w:val="1"/>
          <w:i w:val="1"/>
          <w:iCs w:val="1"/>
          <w:color w:val="auto"/>
        </w:rPr>
        <w:t>Revenue Policy Elections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elected to account for shipping and handling activities that occur after the customer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ind w:right="80"/>
        <w:spacing w:after="0" w:line="237"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07" w:lineRule="exact"/>
        <w:rPr>
          <w:sz w:val="20"/>
          <w:szCs w:val="20"/>
          <w:color w:val="auto"/>
        </w:rPr>
      </w:pPr>
    </w:p>
    <w:p>
      <w:pPr>
        <w:jc w:val="both"/>
        <w:ind w:right="140"/>
        <w:spacing w:after="0" w:line="232" w:lineRule="auto"/>
        <w:rPr>
          <w:sz w:val="20"/>
          <w:szCs w:val="20"/>
          <w:color w:val="auto"/>
        </w:rPr>
      </w:pPr>
      <w:r>
        <w:rPr>
          <w:rFonts w:ascii="Arial" w:cs="Arial" w:eastAsia="Arial" w:hAnsi="Arial"/>
          <w:sz w:val="18"/>
          <w:szCs w:val="18"/>
          <w:b w:val="1"/>
          <w:bCs w:val="1"/>
          <w:i w:val="1"/>
          <w:iCs w:val="1"/>
          <w:color w:val="auto"/>
        </w:rPr>
        <w:t>Revenue Practical Expedients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disclose the value of unsatisfied performance obligations for (i) contracts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0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i w:val="1"/>
          <w:iCs w:val="1"/>
          <w:color w:val="auto"/>
        </w:rPr>
        <w:t>Costs to Obtain a Contract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incurs costs to obtain a contract that are both incremental and expected to be recovered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straight-line basis over the amortization period. These expenses are included as cost of services or products in the Company’s Consolidated Statements of Operations.</w:t>
      </w:r>
    </w:p>
    <w:p>
      <w:pPr>
        <w:spacing w:after="0" w:line="108"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has operating leases for substantially all of its educational facilities, corporate offices and other facilities used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conducting its business, as well as certain equipment. The Company determines if an arrangement is a lease at inception. Prior to the adoption of the new leasing guidance on January 1, 2019, the Company evaluated the lease agreement to determine whether the lease was an operating or capital lease at lease inception. Additionally, many of the Company’s lease agreements contained renewal options, tenant improvement allowances, rent holidays and/or rent escalation clauses. When such items were included in a lease agreement, the Company recorded a deferred rent asset or liability in the Consolidated Financial Statements and recorded these items in rent expense evenly over the terms of the lease.</w:t>
      </w:r>
    </w:p>
    <w:p>
      <w:pPr>
        <w:spacing w:after="0" w:line="111"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color w:val="auto"/>
        </w:rPr>
        <w:t>The Company was also required to make additional payments under operating lease terms for taxes, insurance and other operating expenses incurred during the operating lease period; such items were expensed as incurred. Rental</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1" w:name="page82"/>
    <w:bookmarkEnd w:id="81"/>
    <w:p>
      <w:pPr>
        <w:ind w:right="560"/>
        <w:spacing w:after="0" w:line="260" w:lineRule="auto"/>
        <w:rPr>
          <w:sz w:val="20"/>
          <w:szCs w:val="20"/>
          <w:color w:val="auto"/>
        </w:rPr>
      </w:pPr>
      <w:r>
        <w:rPr>
          <w:rFonts w:ascii="Arial" w:cs="Arial" w:eastAsia="Arial" w:hAnsi="Arial"/>
          <w:sz w:val="18"/>
          <w:szCs w:val="18"/>
          <w:color w:val="auto"/>
        </w:rPr>
        <w:t>deposits were included as other assets in the Company’s Consolidated Balance Sheets for lease agreements that require payments in advance or deposits held for security that are refundable, less any damages, at the end of the respective lease.</w:t>
      </w:r>
    </w:p>
    <w:p>
      <w:pPr>
        <w:spacing w:after="0" w:line="9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Subsequent to the adoption of the new guidance, operating leases are included in lease right-of-use (ROU) assets, current portion of lease liabilities, and lease liabilities on the Company’s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present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115"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Company’s lease terms may include options to extend or terminate the lease by one to 10 years or more when it is reasonably certain that the option will be exercised. Leases with a term of twelve months or less are not recorded on the balance sheet; however, lease expense for these leases is recognized on a straight-line basis. The Company 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The Company’s lease agreements do not contain any significant residual value guarantees or restrictive covenants. In some instances, the Company subleases its leased real estate facilities to third parties.</w:t>
      </w:r>
    </w:p>
    <w:p>
      <w:pPr>
        <w:spacing w:after="0" w:line="109"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As of December 31, 2020 and 2019, the Company had $5.9 million and $4.1 million, respectively, in net, property, plant and equipment and current finance lease liabilities related to service loaner vehicles at the automotive subsidiary. Service loaner vehicles are generally purchased from the lessor within six months of contract commencement and upon purchase the vehicles are placed into used vehicle inventory at cost. The Company does not have any other significant financing leases.</w:t>
      </w:r>
    </w:p>
    <w:p>
      <w:pPr>
        <w:spacing w:after="0" w:line="109" w:lineRule="exact"/>
        <w:rPr>
          <w:sz w:val="20"/>
          <w:szCs w:val="20"/>
          <w:color w:val="auto"/>
        </w:rPr>
      </w:pPr>
    </w:p>
    <w:p>
      <w:pPr>
        <w:ind w:right="480"/>
        <w:spacing w:after="0" w:line="241"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employees are covered by these plans. The Company also provides healthcare and life insurance benefits to certain retired employees. These employees become eligible for benefits after meeting age and service requirements.</w:t>
      </w:r>
    </w:p>
    <w:p>
      <w:pPr>
        <w:spacing w:after="0" w:line="107"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the rate of compensation increase. The Company uses a measurement date of December 31 for its pension and other postretirement benefit plans.</w:t>
      </w:r>
    </w:p>
    <w:p>
      <w:pPr>
        <w:spacing w:after="0" w:line="109"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07"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09"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1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2" w:name="page83"/>
    <w:bookmarkEnd w:id="82"/>
    <w:p>
      <w:pPr>
        <w:spacing w:after="0" w:line="239" w:lineRule="auto"/>
        <w:rPr>
          <w:sz w:val="20"/>
          <w:szCs w:val="20"/>
          <w:color w:val="auto"/>
        </w:rPr>
      </w:pPr>
      <w:r>
        <w:rPr>
          <w:rFonts w:ascii="Arial" w:cs="Arial" w:eastAsia="Arial" w:hAnsi="Arial"/>
          <w:sz w:val="18"/>
          <w:szCs w:val="18"/>
          <w:color w:val="auto"/>
        </w:rPr>
        <w:t>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0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1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award. The Company measures compensation expense for awards settled in cash, or that may be settled in cash, based on the fair value at each reporting date. The Company recognizes the expense over the requisite service period, which is generally the vesting period of the award. Stock award forfeitures are accounted for as they occur.</w:t>
      </w:r>
    </w:p>
    <w:p>
      <w:pPr>
        <w:spacing w:after="0" w:line="10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0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Company’s mandatorily redeemable noncontrolling interest represents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in GHC One LLC, (GHC One), a subsidiary of Graham Healthcare Group (GHG). The minority shareholders must liquidate their 5% interest in GHC One upon its required liquidation in 2026. This interest is reported as a noncurrent liability at December 31, 2020 and 2019 in the Consolidated Balance Sheets. The Company presents this liability at fair value, which is computed quarterly at the current redemption value. Changes in the redemption value is recorded as interest expense or income in the Company’s Consolidated Statement of Operations. Prior to July 2018, the Company’s mandatorily redeemable noncontrolling interest represented the noncontrolling interest in Graham Healthcare Group (GHG), which was 90% owned. The minority shareholders had an option to put their shares to the Company starting in 2020 and were required to put a percentage of their shares in 2022 and 2024, with the remaining shares required to be put by the minority shareholders in 2026. Since the noncontrolling interest was mandatorily redeemable by 2026, it was reported as a noncurrent liability. This mandatorily redeemable noncontrolling interest was redeemed and paid in July 2018 (see Note 3).</w:t>
      </w:r>
    </w:p>
    <w:p>
      <w:pPr>
        <w:spacing w:after="0" w:line="11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Hoover,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98.01% owned, CSI Pharmacy, which is 75% owned and Framebridge, which is 93.4% owned. Hoover’s minority shareholders have an option to put some of their shares to the Company in 2019 and the remaining shares starting in 2021. The Company has an option to buy the shares of minority shareholders starting in 2027. CSI’s minority shareholders may put up to 50% of their shares to the Company. The first put period begins in 2022. A second put period for another tranche of shares begins in 2024. The minority shareholder of Framebridge has an option to put 20% of the shares to the Company annually starting in 2024. The Company presents the redeemable noncontrolling interests at the greater of its carrying amount or redemption value at the end of each reporting period in the Consolidated Balance Sheets. Changes in the redemption value are recorded to capital in excess of par value in the Company’s Consolidated Balance Sheets.</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net changes in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hedges, and pension and other postretirement plan adjustments.</w:t>
      </w:r>
    </w:p>
    <w:p>
      <w:pPr>
        <w:spacing w:after="0" w:line="8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June 2016, the FASB issued new guidance that requires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measured at amortized cost, including accounts receivable, to be measured using the current expected credit losses model (CECL). CECL requires current expected credit losses to be measured upon the initial recognition of a financial asset by considering all available relevant information, including information about past events, current conditions and reasonable and supportable forecasts of future economic conditions. The standard was adopted by the Company in the first quarter of 2020 and did not have a significant impact on its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3" w:name="page84"/>
    <w:bookmarkEnd w:id="83"/>
    <w:p>
      <w:pPr>
        <w:ind w:right="660"/>
        <w:spacing w:after="0" w:line="260" w:lineRule="auto"/>
        <w:rPr>
          <w:sz w:val="20"/>
          <w:szCs w:val="20"/>
          <w:color w:val="auto"/>
        </w:rPr>
      </w:pPr>
      <w:r>
        <w:rPr>
          <w:rFonts w:ascii="Arial" w:cs="Arial" w:eastAsia="Arial" w:hAnsi="Arial"/>
          <w:sz w:val="18"/>
          <w:szCs w:val="18"/>
          <w:color w:val="auto"/>
        </w:rPr>
        <w:t>Other new pronouncements issued but not effective until after December 31, 2020, are not expected to have a material impact on the Company’s Consolidated Financial Statements.</w:t>
      </w:r>
    </w:p>
    <w:p>
      <w:pPr>
        <w:spacing w:after="0" w:line="90"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jc w:val="both"/>
        <w:ind w:right="100"/>
        <w:spacing w:after="0" w:line="241"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During 2020, the Company acquired three businesses: two in education and one in other businesses for $96.8 million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contingent consideration. The assets and liabilities of the companies acquired were recorded at their estimated fair values at the date of acquisition.</w:t>
      </w:r>
    </w:p>
    <w:p>
      <w:pPr>
        <w:spacing w:after="0" w:line="107" w:lineRule="exact"/>
        <w:rPr>
          <w:sz w:val="20"/>
          <w:szCs w:val="20"/>
          <w:color w:val="auto"/>
        </w:rPr>
      </w:pPr>
    </w:p>
    <w:p>
      <w:pPr>
        <w:ind w:right="1000"/>
        <w:spacing w:after="0" w:line="260" w:lineRule="auto"/>
        <w:rPr>
          <w:sz w:val="20"/>
          <w:szCs w:val="20"/>
          <w:color w:val="auto"/>
        </w:rPr>
      </w:pPr>
      <w:r>
        <w:rPr>
          <w:rFonts w:ascii="Arial" w:cs="Arial" w:eastAsia="Arial" w:hAnsi="Arial"/>
          <w:sz w:val="18"/>
          <w:szCs w:val="18"/>
          <w:color w:val="auto"/>
        </w:rPr>
        <w:t>In the first three months of 2020, Kaplan acquired two small businesses; one in its supplemental education division and one in its international division.</w:t>
      </w:r>
    </w:p>
    <w:p>
      <w:pPr>
        <w:spacing w:after="0" w:line="9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 accounted for Framebridge under the equity method, and included it in Investments in Affiliates on the Consolidated Balance Sheet (see Note 4). The contingent consideration is primarily based on Framebridge achieving revenue milestones within a specific time period. The fair value of the contingent consideration at the acquisition date was $50.6 million, determined using a Monte Carlo simulation. The fair value of the redeemable noncontrolling interest in Framebridge was $6.0 million as of the acquisition date, determined using a market approach. The minority shareholder has an option to put 20% of the minority shares annually starting in 2024. The acquisition is expected to provide benefits in the future by diversifying the Company’s business operations and is included in other businesses.</w:t>
      </w:r>
    </w:p>
    <w:p>
      <w:pPr>
        <w:spacing w:after="0" w:line="11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During 2019, the Company acquired eight businesses: one in education, three in healthcare, one in manufacturing, and three in other businesses for $211.8 million in cash and contingent consideration and the assumption of $25.8 million in floor plan payables. The assets and liabilities of the companies acquired were recorded at their estimated fair values at the date of acquisition.</w:t>
      </w:r>
    </w:p>
    <w:p>
      <w:pPr>
        <w:spacing w:after="0" w:line="11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(see Note 6). In connection with the acquisition, the automotive subsidiary of the Company borrowed $ 30 million to finance the acquisition and entered into an interest rate swap to fix the interest rate on the debt at 4.7% per annum (see Note 11). The Company has a 90% interest in the automotive subsidiary. The Company also entered into a management services agreement with an entity affiliated with Christopher J. Ourisman, a member of the Ourisman Automotive Group family of dealerships. Mr. Ourisman and his team operate and manage the dealerships. The Company paid a fee of $2.3 million for the year ended December 31, 2019 in connection with the management services provided under this agreement. In addition, the Company advanced $3.5 million to the minority shareholder, an entity controlled by Mr. Ourisman, at an interest rate of 6% per annum. The minority shareholder has the option to acquire up to an additional 10% interest in the automotive subsidiary. The acquisition is expected to provide benefits in the future by diversifying the Company’s business operations and is included in other businesses.</w:t>
      </w:r>
    </w:p>
    <w:p>
      <w:pPr>
        <w:spacing w:after="0" w:line="112"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In July 2019, GHG acquired a 100% interest in a small business which is expected to provide certain strategic benefits in the future and is included in healthcare. On July 11, 2019, Kaplan acquired a 100% interest in Heverald, the owner of ESL Education, Europe’s largest language-travel agency and Alpadia, a chain of German and French language schools and junior summer camps. The acquisition is expected to provide synergies within Kaplan’s International English business and is included in Kaplan’s international division.</w:t>
      </w:r>
    </w:p>
    <w:p>
      <w:pPr>
        <w:spacing w:after="0" w:line="11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On July 31, 2019, the Company closed its acquisition of Clyde’s Restaurant Group (CRG). At the date of acquisition, CRG owned and operated 13 restaurants and entertainment venues in the Washington, D.C. metropolitan area, including Old Ebbitt Grill and The Hamilton. In connection with the acquisition, the Company entered into several leases with an entity affiliated with some of CRG’s senior managers. The acquisition is expected to provide benefits in the future by diversifying the Company’s business operations and is included in other businesses.</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September 2019, Joyce/Dayton Corp. acquired the assets of a small business. The acquisition is expected to complement current product offerings and is included in manufacturing.</w:t>
      </w:r>
    </w:p>
    <w:p>
      <w:pPr>
        <w:spacing w:after="0" w:line="9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On December 1, 2019, GHG acquired 75% of the preferred shares of CSI Pharmacy Holding Company, LLC (CSI). In connection with the acquisition, CSI entered into an $11.25 million Term Loan (see Note 11) to finance the acquisition. CSI is a specialty and home infusion pharmacy, which provides intravenous immunoglobulin therapies to patients. The minority shareholders may put up to 50% of their preferred shares to GHG and the first put period begins in 2022. A second put period for another tranche of preferred shares begins in 2024. The fair value of the redeemable noncontrolling interest in CSI was $1.7 million at the acquisition date, determined using an income approach. The acquisition is expected to expand the product offerings of the healthcare division.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4" w:name="page85"/>
    <w:bookmarkEnd w:id="84"/>
    <w:p>
      <w:pPr>
        <w:ind w:right="320"/>
        <w:spacing w:after="0" w:line="239" w:lineRule="auto"/>
        <w:rPr>
          <w:sz w:val="20"/>
          <w:szCs w:val="20"/>
          <w:color w:val="auto"/>
        </w:rPr>
      </w:pPr>
      <w:r>
        <w:rPr>
          <w:rFonts w:ascii="Arial" w:cs="Arial" w:eastAsia="Arial" w:hAnsi="Arial"/>
          <w:sz w:val="18"/>
          <w:szCs w:val="18"/>
          <w:color w:val="auto"/>
        </w:rPr>
        <w:t>During 2018, the Company acquired eight businesses: five in education, one in manufacturing, one in healthcare, and one in other businesses for $121.1 million in cash and contingent consideration. The assets and liabilities of the companies acquired were recorded at their estimated fair values at the date of acquisition.</w:t>
      </w:r>
    </w:p>
    <w:p>
      <w:pPr>
        <w:spacing w:after="0" w:line="11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the supplemental education and international divisions, respectively. These acquisitions are expected to provide strategic benefits in the future.</w:t>
      </w:r>
    </w:p>
    <w:p>
      <w:pPr>
        <w:spacing w:after="0" w:line="111"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the supplemental education division.</w:t>
      </w:r>
    </w:p>
    <w:p>
      <w:pPr>
        <w:spacing w:after="0" w:line="11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the supplemental education division.</w:t>
      </w:r>
    </w:p>
    <w:p>
      <w:pPr>
        <w:spacing w:after="0" w:line="1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manufacturing.</w:t>
      </w:r>
    </w:p>
    <w:p>
      <w:pPr>
        <w:spacing w:after="0" w:line="111"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In August 2018, Code3 acquired 100% of the membership interests of Marketplace Strategy (MPS), a Cleveland-based digital marketing agency that provides strategy consulting, optimization services, advertising management and creative solutions on online marketplaces including Amazon. Code3’s primary reason for the acquisition is to expand its platform offerings. The acquisition is included in other businesses.</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September 2018,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the supplemental education division.</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Acquisition-related costs for acquisitions that closed during 2020, 2019 and 2018 were $1.1 million, $3.0 million and $1.5 million, respectively, and expensed as incurred. The aggregate purchase price of these acquisitions was allocated as follows, based on acquisition date fair values to the following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ind w:left="601"/>
              <w:spacing w:after="0"/>
              <w:rPr>
                <w:sz w:val="20"/>
                <w:szCs w:val="20"/>
                <w:color w:val="auto"/>
              </w:rPr>
            </w:pPr>
            <w:r>
              <w:rPr>
                <w:rFonts w:ascii="Arial" w:cs="Arial" w:eastAsia="Arial" w:hAnsi="Arial"/>
                <w:sz w:val="14"/>
                <w:szCs w:val="14"/>
                <w:b w:val="1"/>
                <w:bCs w:val="1"/>
                <w:color w:val="auto"/>
              </w:rPr>
              <w:t>Purchase Price Allocation</w:t>
            </w:r>
          </w:p>
        </w:tc>
        <w:tc>
          <w:tcPr>
            <w:tcW w:w="980" w:type="dxa"/>
            <w:vAlign w:val="bottom"/>
            <w:tcBorders>
              <w:bottom w:val="single" w:sz="8" w:color="auto"/>
            </w:tcBorders>
          </w:tcPr>
          <w:p>
            <w:pPr>
              <w:spacing w:after="0"/>
              <w:rPr>
                <w:sz w:val="17"/>
                <w:szCs w:val="17"/>
                <w:color w:val="auto"/>
              </w:rPr>
            </w:pPr>
          </w:p>
        </w:tc>
      </w:tr>
      <w:tr>
        <w:trPr>
          <w:trHeight w:val="197"/>
        </w:trPr>
        <w:tc>
          <w:tcPr>
            <w:tcW w:w="70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2018</w:t>
            </w:r>
          </w:p>
        </w:tc>
      </w:tr>
      <w:tr>
        <w:trPr>
          <w:trHeight w:val="217"/>
        </w:trPr>
        <w:tc>
          <w:tcPr>
            <w:tcW w:w="70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745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6,762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2,344</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3,496</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34,134</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1,268</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3,346</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56,391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6,580</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98,505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73,951</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84,669</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41,840</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46,900</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14,589</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21,291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78,427</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975</w:t>
            </w:r>
          </w:p>
        </w:tc>
        <w:tc>
          <w:tcPr>
            <w:tcW w:w="36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8,308</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5,198</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15,958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(2,703)</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(4,900)</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32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(25,755)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(14,917)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(42,555)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(7,678)</w:t>
            </w: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(6,593)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(99,131)</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3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(6,005)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(1,715)</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0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Aggregate purchase price, net of cash acquired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92,125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183,947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118,017</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 2020 fair values recorded were based upon valuations and the estimates and assumptions used in such valuations are subject to change within the measurement period (up to one year from the acquisition date). The 2019 values above reflect a measurement period adjustment related to the lease right-of-use assets, current and noncurrent lease liabilities and the finalization of working capital. Goodwill is calculated as the excess of the consideration transferred over the net assets recognized and represents the estimated future economic benefits arising from other assets acquired that could not be individually identified and separately recognized. The goodwill</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85" w:name="page86"/>
    <w:bookmarkEnd w:id="85"/>
    <w:p>
      <w:pPr>
        <w:ind w:right="40"/>
        <w:spacing w:after="0" w:line="239" w:lineRule="auto"/>
        <w:rPr>
          <w:sz w:val="20"/>
          <w:szCs w:val="20"/>
          <w:color w:val="auto"/>
        </w:rPr>
      </w:pPr>
      <w:r>
        <w:rPr>
          <w:rFonts w:ascii="Arial" w:cs="Arial" w:eastAsia="Arial" w:hAnsi="Arial"/>
          <w:sz w:val="18"/>
          <w:szCs w:val="18"/>
          <w:color w:val="auto"/>
        </w:rPr>
        <w:t>recorded due to these acquisitions is attributable to the assembled workforces of the acquired companies and expected synergies. The Company expects to deduct $3.2 million, $70.7 million and $32.3 million of goodwill for income tax purposes for the acquisitions completed in 2020, 2019 and 2018, respectively.</w:t>
      </w:r>
    </w:p>
    <w:p>
      <w:pPr>
        <w:spacing w:after="0" w:line="111"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 and operating loss of $28.8 million and $13.8 million, respectively, for the year ended December 31, 2020. The following unaudited pro forma financial information presents the Company’s results as if the current year acquisitions had occurred at the beginning of 2019. The unaudited pro forma information also includes the 2019 acquisitions as if they occurred at the beginning of 2018 and the 2018 acquisitions as if they had occurred at the beginning of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2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198"/>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2018</w:t>
            </w: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   2,896,476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3,089,712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3,166,907</w:t>
            </w:r>
          </w:p>
        </w:tc>
      </w:tr>
      <w:tr>
        <w:trPr>
          <w:trHeight w:val="229"/>
        </w:trPr>
        <w:tc>
          <w:tcPr>
            <w:tcW w:w="7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293,514</w:t>
            </w:r>
          </w:p>
        </w:tc>
        <w:tc>
          <w:tcPr>
            <w:tcW w:w="320" w:type="dxa"/>
            <w:vAlign w:val="bottom"/>
          </w:tcPr>
          <w:p>
            <w:pPr>
              <w:spacing w:after="0"/>
              <w:rPr>
                <w:sz w:val="19"/>
                <w:szCs w:val="19"/>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304,734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275,074</w:t>
            </w:r>
          </w:p>
        </w:tc>
      </w:tr>
    </w:tbl>
    <w:p>
      <w:pPr>
        <w:spacing w:after="0" w:line="228"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p>
    <w:p>
      <w:pPr>
        <w:spacing w:after="0" w:line="226" w:lineRule="auto"/>
        <w:rPr>
          <w:sz w:val="20"/>
          <w:szCs w:val="20"/>
          <w:color w:val="auto"/>
        </w:rPr>
      </w:pPr>
      <w:r>
        <w:rPr>
          <w:rFonts w:ascii="Arial" w:cs="Arial" w:eastAsia="Arial" w:hAnsi="Arial"/>
          <w:sz w:val="18"/>
          <w:szCs w:val="18"/>
          <w:color w:val="auto"/>
        </w:rPr>
        <w:t>contribute the institutional assets and operations of Kaplan University to an Indiana nonprofit, public-benefit corporation that is a</w:t>
      </w:r>
    </w:p>
    <w:p>
      <w:pPr>
        <w:spacing w:after="0" w:line="219" w:lineRule="auto"/>
        <w:rPr>
          <w:sz w:val="20"/>
          <w:szCs w:val="20"/>
          <w:color w:val="auto"/>
        </w:rPr>
      </w:pPr>
      <w:r>
        <w:rPr>
          <w:rFonts w:ascii="Arial" w:cs="Arial" w:eastAsia="Arial" w:hAnsi="Arial"/>
          <w:sz w:val="18"/>
          <w:szCs w:val="18"/>
          <w:color w:val="auto"/>
        </w:rPr>
        <w:t>subsidiary affiliated with Purdue University. The closing of the transactions contemplated by the Transfer Agreement occurred on March 22,</w:t>
      </w:r>
    </w:p>
    <w:p>
      <w:pPr>
        <w:spacing w:after="0" w:line="219" w:lineRule="auto"/>
        <w:rPr>
          <w:sz w:val="20"/>
          <w:szCs w:val="20"/>
          <w:color w:val="auto"/>
        </w:rPr>
      </w:pPr>
      <w:r>
        <w:rPr>
          <w:rFonts w:ascii="Arial" w:cs="Arial" w:eastAsia="Arial" w:hAnsi="Arial"/>
          <w:sz w:val="18"/>
          <w:szCs w:val="18"/>
          <w:color w:val="auto"/>
        </w:rPr>
        <w:t>2018. At the same time, the parties entered into the TOSA pursuant to which Kaplan provides key non-academic operations support to the</w:t>
      </w:r>
    </w:p>
    <w:p>
      <w:pPr>
        <w:spacing w:after="0"/>
        <w:rPr>
          <w:sz w:val="20"/>
          <w:szCs w:val="20"/>
          <w:color w:val="auto"/>
        </w:rPr>
      </w:pPr>
      <w:r>
        <w:rPr>
          <w:rFonts w:ascii="Arial" w:cs="Arial" w:eastAsia="Arial" w:hAnsi="Arial"/>
          <w:sz w:val="18"/>
          <w:szCs w:val="18"/>
          <w:color w:val="auto"/>
        </w:rPr>
        <w:t>new university.</w:t>
      </w:r>
    </w:p>
    <w:p>
      <w:pPr>
        <w:spacing w:after="0" w:line="12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new university operates largely online as a new Indiana public university affiliated with Purdue under the name Purdue Global. As part of the transfer to Purdue Global, KU transferred students, academic personnel, faculty and operations, property leases for KU’s campuses and learning centers, Kaplan-owned academic curricula and content related to KU courses. The operations support activities that Kaplan provides to Purdue Global includes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transfer of KU did not include any of the assets of the KU School of Professional and Continuing Education, which provides professional training and exam preparation for professional certifications and licensures, nor did it include the transfer of other Kaplan businesses such as Supplemental Education and Kaplan International. Those entities, programs and business lines remain part of Kaplan. Kaplan received nominal cash consideration upon transfer of the institutional assets.</w:t>
      </w:r>
    </w:p>
    <w:p>
      <w:pPr>
        <w:spacing w:after="0" w:line="11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compensation, unless and until Purdue Global has first covered all of its operating costs (subject to a cap). If Purdue Global achieves cost efficiencies in its operations, then Purdue Global may be entitled to an additional payment equal to 20% of such cost efficiencies (Purdue Efficiency Payment). In addition, during each of Purdue Global’s first five years, prior to any payment to Kaplan, Purdue Global is entitled to a priority payment of $10 million per year beyond costs. To the extent Purdue Global’s revenue is insufficient to pay the $10 million per year priority payment, Kaplan is required to advance an amount to Purdue Global to cover such insufficiency. At closing, Kaplan paid to Purdue Global an advance in the amount of $20 million, representing, and in lieu of, priority payments for Purdue Global’s fiscal years ending June 30, 2019 and June 30,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there are sufficient revenues to pay the Purdue Efficiency Payment, Purdue Global is reimbursed for its operating</w:t>
      </w:r>
    </w:p>
    <w:p>
      <w:pPr>
        <w:spacing w:after="0" w:line="4"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costs (subject to a cap) and the priority payment to Purdue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of such cost efficiencies (Kaplan Efficiency Payment). If there are sufficient revenues, Kaplan may also receive a fee equal to 12.5% of Purdue Global’s revenue. The fee will increase to 13% beginning with Purdue Global’s fiscal year ending June 30, 2023 and continuing through Purdue Global’s fiscal year ending June 30, 2027, and then the fee will return to 12.5% thereafter. Subject to certain limitations, a portion of the fee that is earned by Kaplan in one year may be carried over and instead paid to Kaplan in subsequent years. After the first five years of the TOSA, Kaplan and Purdue Global will be entitled to payments in a manner consistent with the structure described above, except that (i) Purdue Global will no longer be entitled to a priority payment and (ii)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6" w:name="page87"/>
    <w:bookmarkEnd w:id="86"/>
    <w:p>
      <w:pPr>
        <w:spacing w:after="0" w:line="235" w:lineRule="auto"/>
        <w:rPr>
          <w:sz w:val="20"/>
          <w:szCs w:val="20"/>
          <w:color w:val="auto"/>
        </w:rPr>
      </w:pPr>
      <w:r>
        <w:rPr>
          <w:rFonts w:ascii="Arial" w:cs="Arial" w:eastAsia="Arial" w:hAnsi="Arial"/>
          <w:sz w:val="17"/>
          <w:szCs w:val="17"/>
          <w:color w:val="auto"/>
        </w:rPr>
        <w:t>the extent that there are sufficient revenues after payment of the Kaplan Efficiency Payment (if any), Purdue Global will be entitled to an annual payment equal to 10% of the remaining revenue after the Kaplan Efficiency Payment (if any) is paid and subject to certain other adjustments. The TOSA has a 30-year initial term, which will automatically renew for five-year periods unless terminated. After the sixth year, Purdue Global has the right to terminate the agreement upon payment of a termination fee equal to 1.25 times Purdue Global’s revenue for the preceding 12-month period, which payment would be made pursuant to a 10-year note, and at the election of Purdue Global, it may receive for no additional consideration certain assets used by Kaplan to provide the support activities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it may receive for no additional consideration certain assets used by Kaplan to provide the support activities pursuant to the TOSA.</w:t>
      </w:r>
    </w:p>
    <w:p>
      <w:pPr>
        <w:ind w:right="300"/>
        <w:spacing w:after="0" w:line="225" w:lineRule="auto"/>
        <w:rPr>
          <w:sz w:val="20"/>
          <w:szCs w:val="20"/>
          <w:color w:val="auto"/>
        </w:rPr>
      </w:pPr>
      <w:r>
        <w:rPr>
          <w:rFonts w:ascii="Arial" w:cs="Arial" w:eastAsia="Arial" w:hAnsi="Arial"/>
          <w:sz w:val="18"/>
          <w:szCs w:val="18"/>
          <w:color w:val="auto"/>
        </w:rPr>
        <w:t>Either party may terminate the TOSA at any time if Purdue Global generates (i) $25 million in cash operating losses for three consecutive years or (ii) aggregate cash operating losses greater than $75 million at any point during the initial term. Operating loss is defined as the amount of revenue Purdue Global generates minus the sum of (1) Purdue Global’s and Kaplan’s respective costs in performing academic and support functions and (2) the $10 million priority payment to Purdue Global in each of the first five years. Upon termination for any reason, Purdue Global will retain the assets that Kaplan contributed pursuant to the Transfer Agreement. Each party also has certain termination rights in connection with a material default or material breach of the TOSA by the other party.</w:t>
      </w:r>
    </w:p>
    <w:p>
      <w:pPr>
        <w:spacing w:after="0" w:line="110"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0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recorded a $3.5 million, $1.4 million and $1.9 million contingent consideration gain related to the disposition in 2020, 2019 and 2018,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income related to the KU business disposed of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64"/>
              <w:spacing w:after="0"/>
              <w:rPr>
                <w:sz w:val="20"/>
                <w:szCs w:val="20"/>
                <w:color w:val="auto"/>
              </w:rPr>
            </w:pPr>
            <w:r>
              <w:rPr>
                <w:rFonts w:ascii="Arial" w:cs="Arial" w:eastAsia="Arial" w:hAnsi="Arial"/>
                <w:sz w:val="14"/>
                <w:szCs w:val="14"/>
                <w:b w:val="1"/>
                <w:bCs w:val="1"/>
                <w:color w:val="auto"/>
              </w:rPr>
              <w:t>Year Ended</w:t>
            </w:r>
          </w:p>
        </w:tc>
      </w:tr>
      <w:tr>
        <w:trPr>
          <w:trHeight w:val="202"/>
        </w:trPr>
        <w:tc>
          <w:tcPr>
            <w:tcW w:w="99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color w:val="auto"/>
              </w:rPr>
              <w:t>2018</w:t>
            </w:r>
          </w:p>
        </w:tc>
      </w:tr>
      <w:tr>
        <w:trPr>
          <w:trHeight w:val="216"/>
        </w:trPr>
        <w:tc>
          <w:tcPr>
            <w:tcW w:w="9940" w:type="dxa"/>
            <w:vAlign w:val="bottom"/>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91,526</w:t>
            </w:r>
          </w:p>
        </w:tc>
      </w:tr>
      <w:tr>
        <w:trPr>
          <w:trHeight w:val="225"/>
        </w:trPr>
        <w:tc>
          <w:tcPr>
            <w:tcW w:w="99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213</w:t>
            </w:r>
          </w:p>
        </w:tc>
      </w:tr>
    </w:tbl>
    <w:p>
      <w:pPr>
        <w:spacing w:after="0" w:line="234"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December 2020, the Company completed the sale of Megaphone which was included in other businesses.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2019, Kaplan UK completed the sale of a small business which was included in Kaplan International. In February 2018, Kaplan completed the sale of a small business which was included in Supplemental Education. In September 2018, Kaplan Australia completed the sale of a small business which was included in Kaplan International. As a result of these sales, the Company reported gains (losses) in other non-operating income (see Note 16).</w:t>
      </w:r>
    </w:p>
    <w:p>
      <w:pPr>
        <w:spacing w:after="0" w:line="10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During 2019, the Company established GHC One as a vehicle to invest in a portfolio of healthcare businesses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 group of senior managers of GHG. As a holder of preferred units, the Company is obligated to contribute 95% of the capital required for the acquisition of portfolio investments with the remaining 5% of the capital coming from the group of senior managers. The operating agreement of GHC One requires the dissolution of the entity on March 31, 2026, at which time the net assets will be distributed to its members. As a preferred unit holder, the Company will receive an amount up to its contributed capital plus a preferred annual return of 8% (guaranteed return) after the group of senior managers has received a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7" w:name="page88"/>
    <w:bookmarkEnd w:id="87"/>
    <w:p>
      <w:pPr>
        <w:ind w:right="40"/>
        <w:spacing w:after="0" w:line="234" w:lineRule="auto"/>
        <w:rPr>
          <w:sz w:val="20"/>
          <w:szCs w:val="20"/>
          <w:color w:val="auto"/>
        </w:rPr>
      </w:pPr>
      <w:r>
        <w:rPr>
          <w:rFonts w:ascii="Arial" w:cs="Arial" w:eastAsia="Arial" w:hAnsi="Arial"/>
          <w:sz w:val="18"/>
          <w:szCs w:val="18"/>
          <w:color w:val="auto"/>
        </w:rPr>
        <w:t>As of December 31, 2020, the Company holds a controlling financial interest in GHC One and therefore includes the assets, liabilities, results of operations and cash flows in its consolidated financial statements. GHC One acquired CSI and another small business during 2019. The Company accounts for the minority ownership of the group of senior managers as a mandatorily redeemable noncontrolling interest (see Note 2).</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March 2019, a Hoover minority shareholder put some shares to the Company, which had a redemption value of $0.6 million. Following the redemption, the Company owns 98.01% of Hoover. 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109" w:lineRule="exact"/>
        <w:rPr>
          <w:sz w:val="20"/>
          <w:szCs w:val="20"/>
          <w:color w:val="auto"/>
        </w:rPr>
      </w:pPr>
    </w:p>
    <w:p>
      <w:pPr>
        <w:ind w:left="360" w:hanging="352"/>
        <w:spacing w:after="0"/>
        <w:tabs>
          <w:tab w:leader="none" w:pos="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December 31, 2020 and 2019, the Company had money market investments of $268.8 million and $45.2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respectively, that are classified as cash and cash equivalents in the Company’s Consolidated Balance Sheets.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36"/>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232,847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282,349</w:t>
            </w:r>
          </w:p>
        </w:tc>
      </w:tr>
      <w:tr>
        <w:trPr>
          <w:trHeight w:val="247"/>
        </w:trPr>
        <w:tc>
          <w:tcPr>
            <w:tcW w:w="88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340,255</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302,731</w:t>
            </w:r>
          </w:p>
        </w:tc>
      </w:tr>
      <w:tr>
        <w:trPr>
          <w:trHeight w:val="240"/>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573,102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585,080</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At December 31, 2020 and 2019, the Company owned 28,000 shares in Markel Corporation (Markel) valued at $28.9 million and $32.0 million, respectively. The Co-Chief Executive Officer of Markel, Mr. Thomas S. Gayner, is a member of the Company’s Board of Directors. As of December 31, 2020, there was no marketable equity security holding that exceeded 5% of the Company’s total assets.</w:t>
      </w:r>
    </w:p>
    <w:p>
      <w:pPr>
        <w:spacing w:after="0" w:line="11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The Company purchased $20.0 million, $7.5 million and $42.7 million of marketable equity securities during 2020, 2019 and 2018, respectively.</w:t>
      </w:r>
    </w:p>
    <w:p>
      <w:pPr>
        <w:spacing w:after="0" w:line="9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During 2020, 2019 and 2018, the gross cumulative realized net gains from the sales of marketable equity securities were $23.0 million, $9.5 million and $37.3 million, respectively. The total proceeds from such sales were $93.8 million, $19.3 million and $66.7 million,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60,787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98,668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(15,843)</w:t>
            </w:r>
          </w:p>
        </w:tc>
        <w:tc>
          <w:tcPr>
            <w:tcW w:w="0" w:type="dxa"/>
            <w:vAlign w:val="bottom"/>
          </w:tcPr>
          <w:p>
            <w:pPr>
              <w:spacing w:after="0"/>
              <w:rPr>
                <w:sz w:val="1"/>
                <w:szCs w:val="1"/>
                <w:color w:val="auto"/>
              </w:rPr>
            </w:pPr>
          </w:p>
        </w:tc>
      </w:tr>
      <w:tr>
        <w:trPr>
          <w:trHeight w:val="244"/>
        </w:trPr>
        <w:tc>
          <w:tcPr>
            <w:tcW w:w="768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13,382</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4,271</w:t>
            </w:r>
          </w:p>
        </w:tc>
        <w:tc>
          <w:tcPr>
            <w:tcW w:w="0" w:type="dxa"/>
            <w:vAlign w:val="bottom"/>
          </w:tcPr>
          <w:p>
            <w:pPr>
              <w:spacing w:after="0"/>
              <w:rPr>
                <w:sz w:val="1"/>
                <w:szCs w:val="1"/>
                <w:color w:val="auto"/>
              </w:rPr>
            </w:pPr>
          </w:p>
        </w:tc>
      </w:tr>
      <w:tr>
        <w:trPr>
          <w:trHeight w:val="155"/>
        </w:trPr>
        <w:tc>
          <w:tcPr>
            <w:tcW w:w="768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Net unrealized gains (losses) in earnings from marketable equity securities still held at the end of</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auto"/>
              </w:rPr>
              <w:t>74,169</w:t>
            </w: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21"/>
              <w:spacing w:after="0"/>
              <w:rPr>
                <w:sz w:val="20"/>
                <w:szCs w:val="20"/>
                <w:color w:val="auto"/>
              </w:rPr>
            </w:pPr>
            <w:r>
              <w:rPr>
                <w:rFonts w:ascii="Arial" w:cs="Arial" w:eastAsia="Arial" w:hAnsi="Arial"/>
                <w:sz w:val="16"/>
                <w:szCs w:val="16"/>
                <w:color w:val="auto"/>
              </w:rPr>
              <w:t>95,858</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(11,572)</w:t>
            </w:r>
          </w:p>
        </w:tc>
        <w:tc>
          <w:tcPr>
            <w:tcW w:w="0" w:type="dxa"/>
            <w:vAlign w:val="bottom"/>
          </w:tcPr>
          <w:p>
            <w:pPr>
              <w:spacing w:after="0"/>
              <w:rPr>
                <w:sz w:val="1"/>
                <w:szCs w:val="1"/>
                <w:color w:val="auto"/>
              </w:rPr>
            </w:pPr>
          </w:p>
        </w:tc>
      </w:tr>
      <w:tr>
        <w:trPr>
          <w:trHeight w:val="214"/>
        </w:trPr>
        <w:tc>
          <w:tcPr>
            <w:tcW w:w="7680" w:type="dxa"/>
            <w:vAlign w:val="bottom"/>
          </w:tcPr>
          <w:p>
            <w:pPr>
              <w:ind w:left="180"/>
              <w:spacing w:after="0"/>
              <w:rPr>
                <w:sz w:val="20"/>
                <w:szCs w:val="20"/>
                <w:color w:val="auto"/>
              </w:rPr>
            </w:pPr>
            <w:r>
              <w:rPr>
                <w:rFonts w:ascii="Arial" w:cs="Arial" w:eastAsia="Arial" w:hAnsi="Arial"/>
                <w:sz w:val="16"/>
                <w:szCs w:val="16"/>
                <w:b w:val="1"/>
                <w:bCs w:val="1"/>
                <w:color w:val="auto"/>
              </w:rPr>
              <w:t>the year</w:t>
            </w: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December 31, 2020, the Company held an approximate 12%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years ended December 31, 2020, 2019 and 2018, the Company recorded $9.6 million, $9.3 million and $12.1 million, respectively, in revenue for services provided to the affiliates of GHG.</w:t>
      </w:r>
    </w:p>
    <w:p>
      <w:pPr>
        <w:spacing w:after="0" w:line="109" w:lineRule="exact"/>
        <w:rPr>
          <w:sz w:val="20"/>
          <w:szCs w:val="20"/>
          <w:color w:val="auto"/>
        </w:rPr>
      </w:pPr>
    </w:p>
    <w:p>
      <w:pPr>
        <w:ind w:right="980"/>
        <w:spacing w:after="0" w:line="260" w:lineRule="auto"/>
        <w:rPr>
          <w:sz w:val="20"/>
          <w:szCs w:val="20"/>
          <w:color w:val="auto"/>
        </w:rPr>
      </w:pPr>
      <w:r>
        <w:rPr>
          <w:rFonts w:ascii="Arial" w:cs="Arial" w:eastAsia="Arial" w:hAnsi="Arial"/>
          <w:sz w:val="18"/>
          <w:szCs w:val="18"/>
          <w:color w:val="auto"/>
        </w:rPr>
        <w:t>The Company had $26.1 million and $25.6 million in its investment account that represents cumulative undistributed income in its investments in affiliates as of December 31, 2020 and 2019, respectively.</w:t>
      </w:r>
    </w:p>
    <w:p>
      <w:pPr>
        <w:spacing w:after="0" w:line="9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In the first quarter of 2020, the Company recorded impairment charges of $3.6 million on two of its investments in affiliates as a result of the challenging economic environment for these businesses, of which $2.7 million related to the Company’s investment in Framebridge. It is reasonably possible that further COVID-19 disruptions could result in additional impairment charges related to the Company’s investments in affiliates should the impact of COVID-19 not dissipate or have a worsening adverse impact on our affiliates in future periods. The Company records its share of the earnings or losses of its affiliates from their most recent available financial statements. In some instances, the reporting period of the affiliates’ financial statements lags the Company’s financial reporting period, but such lag is never more than three months. It is possible that the Company’s results of operations for the year ended December 31, 2020 does not capture the impact of the COVID-19 pandemic on the earnings or losses of the affiliates whose financial results are recorded on a lag basis.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8" w:name="page89"/>
    <w:bookmarkEnd w:id="88"/>
    <w:p>
      <w:pPr>
        <w:ind w:right="100"/>
        <w:spacing w:after="0" w:line="228" w:lineRule="auto"/>
        <w:rPr>
          <w:sz w:val="20"/>
          <w:szCs w:val="20"/>
          <w:color w:val="auto"/>
        </w:rPr>
      </w:pPr>
      <w:r>
        <w:rPr>
          <w:rFonts w:ascii="Arial" w:cs="Arial" w:eastAsia="Arial" w:hAnsi="Arial"/>
          <w:sz w:val="18"/>
          <w:szCs w:val="18"/>
          <w:color w:val="auto"/>
        </w:rPr>
        <w:t>In the second quarter of 2019, the Company made an investment in Framebridge, a custom framing service company based in Washington, D.C. The Company accounted for this investment under the equity method, and included it in Investments in Affiliates on the Consolidated Balance Sheet. In May 2020, the Company made an additional investment in Framebridge (see Note 3) that resulted in the Company obtaining control of the investee. The results of operations, cash flows, assets and liabilities of Framebridge are included in the consolidated financial statements of the Company from the date of the acquisition. Timothy J. O’Shaughnessy, President and Chief Executive Officer of Graham Holdings Company, was a personal investor in Framebridge and served as Chairman of the Board prior to the acquisition of the additional interest. The Company acquired Mr. O’Shaughnessy’s interest under the same terms as the other Framebridge investors.</w:t>
      </w:r>
    </w:p>
    <w:p>
      <w:pPr>
        <w:spacing w:after="0" w:line="10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9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In the second quarter of 2018, KIHL advanced a final amount of £6 million in additional funding to the joint venture under this agreement, bringing the total amount advanced to £22 million. The loan is repayable over 25 years at an interest rate of 7% and guaranteed by the University of York. The loan is repayable by 2041.</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the third quarter of 2018, the Company recorded a $2.1 million gain in equity in earnings of affiliates following the receipt of a final distribution upon the liquidation of HomeHero, a company that managed an online senior home care marketplace. Also in the third quarter of 2018, the Company recorded a $5.8 million gain in equity in earnings of affiliates due to a funding event that increased the estimated liquidation value of the Company’s investment in one of its affiliates.</w:t>
      </w:r>
    </w:p>
    <w:p>
      <w:pPr>
        <w:spacing w:after="0" w:line="109"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$35.7 million and $38.5 million as of December 31, 2020 and 2019, respectively. During the years ended December 31, 2020, 2019 and 2018, the Company recorded gains of $4.2 million, $ 5.1 million and $11.7 million, respectively, to those equity securities based on observable transactions. During 2020 and 2018, the Company recorded impairment losses of $7.3 million and $2.7 million, respectively, to those securities.</w:t>
      </w:r>
    </w:p>
    <w:p>
      <w:pPr>
        <w:spacing w:after="0" w:line="111"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$21,494 and $14,276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519,577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595,321</w:t>
            </w:r>
          </w:p>
        </w:tc>
      </w:tr>
      <w:tr>
        <w:trPr>
          <w:trHeight w:val="232"/>
        </w:trPr>
        <w:tc>
          <w:tcPr>
            <w:tcW w:w="886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17,579</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28,895</w:t>
            </w:r>
          </w:p>
        </w:tc>
      </w:tr>
      <w:tr>
        <w:trPr>
          <w:trHeight w:val="226"/>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537,156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624,216</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estimated credit losses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100" w:type="dxa"/>
            <w:vAlign w:val="bottom"/>
          </w:tcPr>
          <w:p>
            <w:pPr>
              <w:jc w:val="center"/>
              <w:ind w:right="144"/>
              <w:spacing w:after="0"/>
              <w:rPr>
                <w:sz w:val="20"/>
                <w:szCs w:val="20"/>
                <w:color w:val="auto"/>
              </w:rPr>
            </w:pPr>
            <w:r>
              <w:rPr>
                <w:rFonts w:ascii="Arial" w:cs="Arial" w:eastAsia="Arial" w:hAnsi="Arial"/>
                <w:sz w:val="14"/>
                <w:szCs w:val="14"/>
                <w:b w:val="1"/>
                <w:bCs w:val="1"/>
                <w:color w:val="auto"/>
              </w:rPr>
              <w:t>Additions –</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40" w:type="dxa"/>
            <w:vAlign w:val="bottom"/>
          </w:tcPr>
          <w:p>
            <w:pPr>
              <w:spacing w:after="0"/>
              <w:rPr>
                <w:sz w:val="12"/>
                <w:szCs w:val="12"/>
                <w:color w:val="auto"/>
              </w:rPr>
            </w:pPr>
          </w:p>
        </w:tc>
        <w:tc>
          <w:tcPr>
            <w:tcW w:w="11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Beginning of</w:t>
            </w:r>
          </w:p>
        </w:tc>
        <w:tc>
          <w:tcPr>
            <w:tcW w:w="220" w:type="dxa"/>
            <w:vAlign w:val="bottom"/>
          </w:tcPr>
          <w:p>
            <w:pPr>
              <w:spacing w:after="0"/>
              <w:rPr>
                <w:sz w:val="12"/>
                <w:szCs w:val="12"/>
                <w:color w:val="auto"/>
              </w:rPr>
            </w:pPr>
          </w:p>
        </w:tc>
        <w:tc>
          <w:tcPr>
            <w:tcW w:w="11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Costs and</w:t>
            </w:r>
          </w:p>
        </w:tc>
        <w:tc>
          <w:tcPr>
            <w:tcW w:w="240" w:type="dxa"/>
            <w:vAlign w:val="bottom"/>
          </w:tcPr>
          <w:p>
            <w:pPr>
              <w:spacing w:after="0"/>
              <w:rPr>
                <w:sz w:val="12"/>
                <w:szCs w:val="12"/>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220" w:type="dxa"/>
            <w:vAlign w:val="bottom"/>
          </w:tcPr>
          <w:p>
            <w:pPr>
              <w:spacing w:after="0"/>
              <w:rPr>
                <w:sz w:val="12"/>
                <w:szCs w:val="12"/>
                <w:color w:val="auto"/>
              </w:rPr>
            </w:pPr>
          </w:p>
        </w:tc>
        <w:tc>
          <w:tcPr>
            <w:tcW w:w="10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202"/>
        </w:trPr>
        <w:tc>
          <w:tcPr>
            <w:tcW w:w="3480" w:type="dxa"/>
            <w:vAlign w:val="bottom"/>
            <w:tcBorders>
              <w:bottom w:val="single" w:sz="8" w:color="auto"/>
            </w:tcBorders>
            <w:vMerge w:val="continue"/>
          </w:tcPr>
          <w:p>
            <w:pPr>
              <w:spacing w:after="0"/>
              <w:rPr>
                <w:sz w:val="17"/>
                <w:szCs w:val="17"/>
                <w:color w:val="auto"/>
              </w:rPr>
            </w:pPr>
          </w:p>
        </w:tc>
        <w:tc>
          <w:tcPr>
            <w:tcW w:w="2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2020</w:t>
            </w:r>
          </w:p>
        </w:tc>
        <w:tc>
          <w:tcPr>
            <w:tcW w:w="2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14,276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4"/>
              <w:spacing w:after="0"/>
              <w:rPr>
                <w:sz w:val="20"/>
                <w:szCs w:val="20"/>
                <w:color w:val="auto"/>
              </w:rPr>
            </w:pPr>
            <w:r>
              <w:rPr>
                <w:rFonts w:ascii="Arial" w:cs="Arial" w:eastAsia="Arial" w:hAnsi="Arial"/>
                <w:sz w:val="16"/>
                <w:szCs w:val="16"/>
                <w:b w:val="1"/>
                <w:bCs w:val="1"/>
                <w:color w:val="auto"/>
              </w:rPr>
              <w:t>10,667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(3,449)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
              <w:spacing w:after="0"/>
              <w:rPr>
                <w:sz w:val="20"/>
                <w:szCs w:val="20"/>
                <w:color w:val="auto"/>
              </w:rPr>
            </w:pPr>
            <w:r>
              <w:rPr>
                <w:rFonts w:ascii="Arial" w:cs="Arial" w:eastAsia="Arial" w:hAnsi="Arial"/>
                <w:sz w:val="16"/>
                <w:szCs w:val="16"/>
                <w:b w:val="1"/>
                <w:bCs w:val="1"/>
                <w:color w:val="auto"/>
              </w:rPr>
              <w:t>21,494</w:t>
            </w:r>
          </w:p>
        </w:tc>
        <w:tc>
          <w:tcPr>
            <w:tcW w:w="0" w:type="dxa"/>
            <w:vAlign w:val="bottom"/>
          </w:tcPr>
          <w:p>
            <w:pPr>
              <w:spacing w:after="0"/>
              <w:rPr>
                <w:sz w:val="1"/>
                <w:szCs w:val="1"/>
                <w:color w:val="auto"/>
              </w:rPr>
            </w:pPr>
          </w:p>
        </w:tc>
      </w:tr>
      <w:tr>
        <w:trPr>
          <w:trHeight w:val="219"/>
        </w:trPr>
        <w:tc>
          <w:tcPr>
            <w:tcW w:w="3480" w:type="dxa"/>
            <w:vAlign w:val="bottom"/>
          </w:tcPr>
          <w:p>
            <w:pPr>
              <w:ind w:left="20"/>
              <w:spacing w:after="0"/>
              <w:rPr>
                <w:sz w:val="20"/>
                <w:szCs w:val="20"/>
                <w:color w:val="auto"/>
              </w:rPr>
            </w:pPr>
            <w:r>
              <w:rPr>
                <w:rFonts w:ascii="Arial" w:cs="Arial" w:eastAsia="Arial" w:hAnsi="Arial"/>
                <w:sz w:val="16"/>
                <w:szCs w:val="16"/>
                <w:color w:val="auto"/>
              </w:rPr>
              <w:t>2019</w:t>
            </w:r>
          </w:p>
        </w:tc>
        <w:tc>
          <w:tcPr>
            <w:tcW w:w="264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14,775</w:t>
            </w:r>
          </w:p>
        </w:tc>
        <w:tc>
          <w:tcPr>
            <w:tcW w:w="220" w:type="dxa"/>
            <w:vAlign w:val="bottom"/>
          </w:tcPr>
          <w:p>
            <w:pPr>
              <w:spacing w:after="0"/>
              <w:rPr>
                <w:sz w:val="19"/>
                <w:szCs w:val="19"/>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1,706</w:t>
            </w:r>
          </w:p>
        </w:tc>
        <w:tc>
          <w:tcPr>
            <w:tcW w:w="2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(2,205)</w:t>
            </w:r>
          </w:p>
        </w:tc>
        <w:tc>
          <w:tcPr>
            <w:tcW w:w="22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14,276</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6"/>
                <w:szCs w:val="16"/>
                <w:color w:val="auto"/>
              </w:rPr>
              <w:t>2018</w:t>
            </w:r>
          </w:p>
        </w:tc>
        <w:tc>
          <w:tcPr>
            <w:tcW w:w="264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22,975</w:t>
            </w:r>
          </w:p>
        </w:tc>
        <w:tc>
          <w:tcPr>
            <w:tcW w:w="220" w:type="dxa"/>
            <w:vAlign w:val="bottom"/>
          </w:tcPr>
          <w:p>
            <w:pPr>
              <w:spacing w:after="0"/>
              <w:rPr>
                <w:sz w:val="19"/>
                <w:szCs w:val="19"/>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10,209</w:t>
            </w:r>
          </w:p>
        </w:tc>
        <w:tc>
          <w:tcPr>
            <w:tcW w:w="24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(18,409)</w:t>
            </w:r>
          </w:p>
        </w:tc>
        <w:tc>
          <w:tcPr>
            <w:tcW w:w="220" w:type="dxa"/>
            <w:vAlign w:val="bottom"/>
          </w:tcPr>
          <w:p>
            <w:pPr>
              <w:spacing w:after="0"/>
              <w:rPr>
                <w:sz w:val="19"/>
                <w:szCs w:val="19"/>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14,775</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384,743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366,963</w:t>
            </w:r>
          </w:p>
        </w:tc>
      </w:tr>
      <w:tr>
        <w:trPr>
          <w:trHeight w:val="232"/>
        </w:trPr>
        <w:tc>
          <w:tcPr>
            <w:tcW w:w="886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135,493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140,738</w:t>
            </w:r>
          </w:p>
        </w:tc>
      </w:tr>
      <w:tr>
        <w:trPr>
          <w:trHeight w:val="226"/>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520,236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507,701</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Cash overdrafts of $2.1 million and $0.5 million are included in accounts payable and accrued liabilities at December 31, 2020 and 2019, respectively.</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89" w:name="page90"/>
    <w:bookmarkEnd w:id="89"/>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CONTRACTS IN PROGRESS AND VEHICLE FLOOR PLAN PAYABLE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45,382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35,119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10,402</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10,775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tcPr>
          <w:p>
            <w:pPr>
              <w:spacing w:after="0"/>
              <w:rPr>
                <w:sz w:val="19"/>
                <w:szCs w:val="19"/>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64,061</w:t>
            </w:r>
          </w:p>
        </w:tc>
        <w:tc>
          <w:tcPr>
            <w:tcW w:w="320" w:type="dxa"/>
            <w:vAlign w:val="bottom"/>
          </w:tcPr>
          <w:p>
            <w:pPr>
              <w:spacing w:after="0"/>
              <w:rPr>
                <w:sz w:val="19"/>
                <w:szCs w:val="19"/>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70,602</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777</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4,338</w:t>
            </w:r>
          </w:p>
        </w:tc>
      </w:tr>
      <w:tr>
        <w:trPr>
          <w:trHeight w:val="226"/>
        </w:trPr>
        <w:tc>
          <w:tcPr>
            <w:tcW w:w="886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120,622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120,834</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finances new and used vehicle inventory through a standardized floor plan facility (floor plan facility) with Truist Bank. The vehicle floor plan facility bears interest at variable rates that are based on LIBOR plus 1.15% per annum. The weighted average interest rate for the floor plan facility was 1.7% and 3.3% for the years ended December 31, 2020 and 2019, respectively. As of December 31, 2020, the aggregate capacity under the floor plan facility was $50 million, of which $ 26.0 million had been utilized, and is included in accounts payable and accrued liabilities in the Consolidated Balance Sheet. Changes in the vehicle floor plan payable are reported as cash flows from financing activities in the Consolidated Statements of Cash Flows.</w:t>
      </w:r>
    </w:p>
    <w:p>
      <w:pPr>
        <w:spacing w:after="0" w:line="111"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December 31, 2020.</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operating expense in the Consolidated Statements of Operations when the associated inventory is sold. For the years ended December 31, 2020 and 2019, the Company recognized a reduction in operating expense of $2.1 million and $1.8 million, respectively, related to manufacturer floor plan assistance.</w:t>
      </w:r>
    </w:p>
    <w:p>
      <w:pPr>
        <w:spacing w:after="0" w:line="10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PROPERTY, PLANT AND EQUIPMENT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2019</w:t>
            </w:r>
          </w:p>
        </w:tc>
      </w:tr>
      <w:tr>
        <w:trPr>
          <w:trHeight w:val="217"/>
        </w:trPr>
        <w:tc>
          <w:tcPr>
            <w:tcW w:w="8800" w:type="dxa"/>
            <w:vAlign w:val="bottom"/>
          </w:tcPr>
          <w:p>
            <w:pPr>
              <w:ind w:left="2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19,394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17,489</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176,653</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133,189</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color w:val="auto"/>
              </w:rPr>
              <w:t>Machinery, equipment and fixtures</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398,334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370,218</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229,512</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233,842</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25,301</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79,963</w:t>
            </w:r>
          </w:p>
        </w:tc>
      </w:tr>
      <w:tr>
        <w:trPr>
          <w:trHeight w:val="220"/>
        </w:trPr>
        <w:tc>
          <w:tcPr>
            <w:tcW w:w="8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849,194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834,701</w:t>
            </w:r>
          </w:p>
        </w:tc>
      </w:tr>
      <w:tr>
        <w:trPr>
          <w:trHeight w:val="232"/>
        </w:trPr>
        <w:tc>
          <w:tcPr>
            <w:tcW w:w="88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(470,908)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(450,031)</w:t>
            </w:r>
          </w:p>
        </w:tc>
      </w:tr>
      <w:tr>
        <w:trPr>
          <w:trHeight w:val="226"/>
        </w:trPr>
        <w:tc>
          <w:tcPr>
            <w:tcW w:w="88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378,286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384,670</w:t>
            </w:r>
          </w:p>
        </w:tc>
      </w:tr>
      <w:tr>
        <w:trPr>
          <w:trHeight w:val="21"/>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$74.3 million, $59.3 million, and $56.7 million in 2020, 2019 and 2018,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capitalized $2.1 million and $0.8 million of interest related to the construction of buildings in 2019 and 2018, respectively.</w:t>
      </w:r>
    </w:p>
    <w:p>
      <w:pPr>
        <w:spacing w:after="0" w:line="144"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The Company recorded property, plant and equipment impairment charges of $ 2.3 million, $0.3 million and $ 0.2 million in 2020, 2019 and 2018, respectively. The Company estimated the fair value of the property, plant and equipment using income and market approaches.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sectPr>
      </w:pPr>
    </w:p>
    <w:bookmarkStart w:id="90" w:name="page91"/>
    <w:bookmarkEnd w:id="90"/>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LEASES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rPr>
              <w:t>Year ended December 31</w:t>
            </w:r>
          </w:p>
        </w:tc>
      </w:tr>
      <w:tr>
        <w:trPr>
          <w:trHeight w:val="198"/>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2019</w:t>
            </w:r>
          </w:p>
        </w:tc>
      </w:tr>
      <w:tr>
        <w:trPr>
          <w:trHeight w:val="217"/>
        </w:trPr>
        <w:tc>
          <w:tcPr>
            <w:tcW w:w="782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42"/>
              <w:spacing w:after="0"/>
              <w:rPr>
                <w:sz w:val="20"/>
                <w:szCs w:val="20"/>
                <w:color w:val="auto"/>
              </w:rPr>
            </w:pPr>
            <w:r>
              <w:rPr>
                <w:rFonts w:ascii="Arial" w:cs="Arial" w:eastAsia="Arial" w:hAnsi="Arial"/>
                <w:sz w:val="16"/>
                <w:szCs w:val="16"/>
                <w:b w:val="1"/>
                <w:bCs w:val="1"/>
                <w:color w:val="auto"/>
              </w:rPr>
              <w:t>113,669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104,007</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Short-term and month-to-month lease cost</w:t>
            </w:r>
          </w:p>
        </w:tc>
        <w:tc>
          <w:tcPr>
            <w:tcW w:w="380" w:type="dxa"/>
            <w:vAlign w:val="bottom"/>
          </w:tcPr>
          <w:p>
            <w:pPr>
              <w:spacing w:after="0"/>
              <w:rPr>
                <w:sz w:val="19"/>
                <w:szCs w:val="19"/>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b w:val="1"/>
                <w:bCs w:val="1"/>
                <w:color w:val="auto"/>
              </w:rPr>
              <w:t>21,862</w:t>
            </w:r>
          </w:p>
        </w:tc>
        <w:tc>
          <w:tcPr>
            <w:tcW w:w="44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19,267</w:t>
            </w:r>
          </w:p>
        </w:tc>
      </w:tr>
      <w:tr>
        <w:trPr>
          <w:trHeight w:val="230"/>
        </w:trPr>
        <w:tc>
          <w:tcPr>
            <w:tcW w:w="782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380" w:type="dxa"/>
            <w:vAlign w:val="bottom"/>
          </w:tcPr>
          <w:p>
            <w:pPr>
              <w:spacing w:after="0"/>
              <w:rPr>
                <w:sz w:val="19"/>
                <w:szCs w:val="19"/>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b w:val="1"/>
                <w:bCs w:val="1"/>
                <w:color w:val="auto"/>
              </w:rPr>
              <w:t>18,718</w:t>
            </w:r>
          </w:p>
        </w:tc>
        <w:tc>
          <w:tcPr>
            <w:tcW w:w="44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20,582</w:t>
            </w:r>
          </w:p>
        </w:tc>
      </w:tr>
      <w:tr>
        <w:trPr>
          <w:trHeight w:val="233"/>
        </w:trPr>
        <w:tc>
          <w:tcPr>
            <w:tcW w:w="7820" w:type="dxa"/>
            <w:vAlign w:val="bottom"/>
          </w:tcPr>
          <w:p>
            <w:pPr>
              <w:ind w:left="20"/>
              <w:spacing w:after="0"/>
              <w:rPr>
                <w:sz w:val="20"/>
                <w:szCs w:val="20"/>
                <w:color w:val="auto"/>
              </w:rPr>
            </w:pPr>
            <w:r>
              <w:rPr>
                <w:rFonts w:ascii="Arial" w:cs="Arial" w:eastAsia="Arial" w:hAnsi="Arial"/>
                <w:sz w:val="16"/>
                <w:szCs w:val="16"/>
                <w:color w:val="auto"/>
              </w:rPr>
              <w:t>Sublease income</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(18,508)</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(20,108)</w:t>
            </w:r>
          </w:p>
        </w:tc>
      </w:tr>
      <w:tr>
        <w:trPr>
          <w:trHeight w:val="227"/>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Total net lease cost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135,741</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123,748</w:t>
            </w: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Company recorded impairment charges of $ 11.4 million and $1.1 million in 2020 and 2019, respectively. The Company estimated the fair value of the right-of-use assets using an income approach.</w:t>
      </w:r>
    </w:p>
    <w:p>
      <w:pPr>
        <w:spacing w:after="0" w:line="92" w:lineRule="exact"/>
        <w:rPr>
          <w:sz w:val="20"/>
          <w:szCs w:val="20"/>
          <w:color w:val="auto"/>
        </w:rPr>
      </w:pPr>
    </w:p>
    <w:p>
      <w:pPr>
        <w:jc w:val="both"/>
        <w:ind w:right="440"/>
        <w:spacing w:after="0" w:line="239" w:lineRule="auto"/>
        <w:rPr>
          <w:sz w:val="20"/>
          <w:szCs w:val="20"/>
          <w:color w:val="auto"/>
        </w:rPr>
      </w:pPr>
      <w:r>
        <w:rPr>
          <w:rFonts w:ascii="Arial" w:cs="Arial" w:eastAsia="Arial" w:hAnsi="Arial"/>
          <w:sz w:val="18"/>
          <w:szCs w:val="18"/>
          <w:color w:val="auto"/>
        </w:rPr>
        <w:t>In connection with the sale of the KHE Campuses business, the Company is the guarantor of several leases for which it has established ROU assets and lease liabilities (see Note 18). Any net lease cost or sublease income related to these leases is recorded in other non-operating income. The total net lease cost related to these leases was $0.8 million in each year for 2020 and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8"/>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7560" w:type="dxa"/>
            <w:vAlign w:val="bottom"/>
          </w:tcPr>
          <w:p>
            <w:pPr>
              <w:ind w:left="20"/>
              <w:spacing w:after="0"/>
              <w:rPr>
                <w:sz w:val="20"/>
                <w:szCs w:val="20"/>
                <w:color w:val="auto"/>
              </w:rPr>
            </w:pPr>
            <w:r>
              <w:rPr>
                <w:rFonts w:ascii="Arial" w:cs="Arial" w:eastAsia="Arial" w:hAnsi="Arial"/>
                <w:sz w:val="16"/>
                <w:szCs w:val="16"/>
                <w:b w:val="1"/>
                <w:bCs w:val="1"/>
                <w:color w:val="auto"/>
              </w:rPr>
              <w:t>Cash Flow Information:</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 (payments)</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22"/>
              <w:spacing w:after="0"/>
              <w:rPr>
                <w:sz w:val="20"/>
                <w:szCs w:val="20"/>
                <w:color w:val="auto"/>
              </w:rPr>
            </w:pPr>
            <w:r>
              <w:rPr>
                <w:rFonts w:ascii="Arial" w:cs="Arial" w:eastAsia="Arial" w:hAnsi="Arial"/>
                <w:sz w:val="16"/>
                <w:szCs w:val="16"/>
                <w:b w:val="1"/>
                <w:bCs w:val="1"/>
                <w:color w:val="auto"/>
              </w:rPr>
              <w:t>113,664</w:t>
            </w:r>
          </w:p>
        </w:tc>
        <w:tc>
          <w:tcPr>
            <w:tcW w:w="120" w:type="dxa"/>
            <w:vAlign w:val="bottom"/>
          </w:tcPr>
          <w:p>
            <w:pPr>
              <w:spacing w:after="0"/>
              <w:rPr>
                <w:sz w:val="19"/>
                <w:szCs w:val="19"/>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112,671</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6"/>
                <w:szCs w:val="16"/>
                <w:color w:val="auto"/>
              </w:rPr>
              <w:t>Right-of-use assets obtained in exchange for new operating lease liabilities (noncash)</w:t>
            </w:r>
          </w:p>
        </w:tc>
        <w:tc>
          <w:tcPr>
            <w:tcW w:w="420" w:type="dxa"/>
            <w:vAlign w:val="bottom"/>
          </w:tcPr>
          <w:p>
            <w:pPr>
              <w:spacing w:after="0"/>
              <w:rPr>
                <w:sz w:val="19"/>
                <w:szCs w:val="19"/>
                <w:color w:val="auto"/>
              </w:rPr>
            </w:pPr>
          </w:p>
        </w:tc>
        <w:tc>
          <w:tcPr>
            <w:tcW w:w="1360" w:type="dxa"/>
            <w:vAlign w:val="bottom"/>
          </w:tcPr>
          <w:p>
            <w:pPr>
              <w:jc w:val="right"/>
              <w:ind w:right="122"/>
              <w:spacing w:after="0"/>
              <w:rPr>
                <w:sz w:val="20"/>
                <w:szCs w:val="20"/>
                <w:color w:val="auto"/>
              </w:rPr>
            </w:pPr>
            <w:r>
              <w:rPr>
                <w:rFonts w:ascii="Arial" w:cs="Arial" w:eastAsia="Arial" w:hAnsi="Arial"/>
                <w:sz w:val="16"/>
                <w:szCs w:val="16"/>
                <w:b w:val="1"/>
                <w:bCs w:val="1"/>
                <w:color w:val="auto"/>
              </w:rPr>
              <w:t>27,031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236,714</w:t>
            </w:r>
          </w:p>
        </w:tc>
        <w:tc>
          <w:tcPr>
            <w:tcW w:w="0" w:type="dxa"/>
            <w:vAlign w:val="bottom"/>
          </w:tcPr>
          <w:p>
            <w:pPr>
              <w:spacing w:after="0"/>
              <w:rPr>
                <w:sz w:val="1"/>
                <w:szCs w:val="1"/>
                <w:color w:val="auto"/>
              </w:rPr>
            </w:pPr>
          </w:p>
        </w:tc>
      </w:tr>
      <w:tr>
        <w:trPr>
          <w:trHeight w:val="412"/>
        </w:trPr>
        <w:tc>
          <w:tcPr>
            <w:tcW w:w="75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Information:</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2"/>
        </w:trPr>
        <w:tc>
          <w:tcPr>
            <w:tcW w:w="7560" w:type="dxa"/>
            <w:vAlign w:val="bottom"/>
            <w:vMerge w:val="continue"/>
          </w:tcPr>
          <w:p>
            <w:pPr>
              <w:spacing w:after="0"/>
              <w:rPr>
                <w:sz w:val="17"/>
                <w:szCs w:val="17"/>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462,560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Arial" w:cs="Arial" w:eastAsia="Arial" w:hAnsi="Arial"/>
                <w:sz w:val="16"/>
                <w:szCs w:val="16"/>
                <w:color w:val="auto"/>
              </w:rPr>
              <w:t>Lease right-of-use assets</w:t>
            </w:r>
          </w:p>
        </w:tc>
        <w:tc>
          <w:tcPr>
            <w:tcW w:w="4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526,417</w:t>
            </w:r>
          </w:p>
        </w:tc>
        <w:tc>
          <w:tcPr>
            <w:tcW w:w="0" w:type="dxa"/>
            <w:vAlign w:val="bottom"/>
          </w:tcPr>
          <w:p>
            <w:pPr>
              <w:spacing w:after="0"/>
              <w:rPr>
                <w:sz w:val="1"/>
                <w:szCs w:val="1"/>
                <w:color w:val="auto"/>
              </w:rPr>
            </w:pPr>
          </w:p>
        </w:tc>
      </w:tr>
      <w:tr>
        <w:trPr>
          <w:trHeight w:val="432"/>
        </w:trPr>
        <w:tc>
          <w:tcPr>
            <w:tcW w:w="7560" w:type="dxa"/>
            <w:vAlign w:val="bottom"/>
          </w:tcPr>
          <w:p>
            <w:pPr>
              <w:ind w:left="220"/>
              <w:spacing w:after="0"/>
              <w:rPr>
                <w:sz w:val="20"/>
                <w:szCs w:val="20"/>
                <w:color w:val="auto"/>
              </w:rPr>
            </w:pPr>
            <w:r>
              <w:rPr>
                <w:rFonts w:ascii="Arial" w:cs="Arial" w:eastAsia="Arial" w:hAnsi="Arial"/>
                <w:sz w:val="16"/>
                <w:szCs w:val="16"/>
                <w:color w:val="auto"/>
              </w:rPr>
              <w:t>Current lease liabilities</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122"/>
              <w:spacing w:after="0"/>
              <w:rPr>
                <w:sz w:val="20"/>
                <w:szCs w:val="20"/>
                <w:color w:val="auto"/>
              </w:rPr>
            </w:pPr>
            <w:r>
              <w:rPr>
                <w:rFonts w:ascii="Arial" w:cs="Arial" w:eastAsia="Arial" w:hAnsi="Arial"/>
                <w:sz w:val="16"/>
                <w:szCs w:val="16"/>
                <w:b w:val="1"/>
                <w:bCs w:val="1"/>
                <w:color w:val="auto"/>
              </w:rPr>
              <w:t>86,797</w:t>
            </w:r>
          </w:p>
        </w:tc>
        <w:tc>
          <w:tcPr>
            <w:tcW w:w="120" w:type="dxa"/>
            <w:vAlign w:val="bottom"/>
          </w:tcPr>
          <w:p>
            <w:pPr>
              <w:spacing w:after="0"/>
              <w:rPr>
                <w:sz w:val="24"/>
                <w:szCs w:val="24"/>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92,714</w:t>
            </w:r>
          </w:p>
        </w:tc>
        <w:tc>
          <w:tcPr>
            <w:tcW w:w="0" w:type="dxa"/>
            <w:vAlign w:val="bottom"/>
          </w:tcPr>
          <w:p>
            <w:pPr>
              <w:spacing w:after="0"/>
              <w:rPr>
                <w:sz w:val="1"/>
                <w:szCs w:val="1"/>
                <w:color w:val="auto"/>
              </w:rPr>
            </w:pPr>
          </w:p>
        </w:tc>
      </w:tr>
      <w:tr>
        <w:trPr>
          <w:trHeight w:val="233"/>
        </w:trPr>
        <w:tc>
          <w:tcPr>
            <w:tcW w:w="7560" w:type="dxa"/>
            <w:vAlign w:val="bottom"/>
          </w:tcPr>
          <w:p>
            <w:pPr>
              <w:ind w:left="220"/>
              <w:spacing w:after="0"/>
              <w:rPr>
                <w:sz w:val="20"/>
                <w:szCs w:val="20"/>
                <w:color w:val="auto"/>
              </w:rPr>
            </w:pPr>
            <w:r>
              <w:rPr>
                <w:rFonts w:ascii="Arial" w:cs="Arial" w:eastAsia="Arial" w:hAnsi="Arial"/>
                <w:sz w:val="16"/>
                <w:szCs w:val="16"/>
                <w:color w:val="auto"/>
              </w:rPr>
              <w:t>Noncurrent lease liabilities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428,849</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477,004</w:t>
            </w:r>
          </w:p>
        </w:tc>
        <w:tc>
          <w:tcPr>
            <w:tcW w:w="0" w:type="dxa"/>
            <w:vAlign w:val="bottom"/>
          </w:tcPr>
          <w:p>
            <w:pPr>
              <w:spacing w:after="0"/>
              <w:rPr>
                <w:sz w:val="1"/>
                <w:szCs w:val="1"/>
                <w:color w:val="auto"/>
              </w:rPr>
            </w:pPr>
          </w:p>
        </w:tc>
      </w:tr>
      <w:tr>
        <w:trPr>
          <w:trHeight w:val="227"/>
        </w:trPr>
        <w:tc>
          <w:tcPr>
            <w:tcW w:w="7560" w:type="dxa"/>
            <w:vAlign w:val="bottom"/>
          </w:tcPr>
          <w:p>
            <w:pPr>
              <w:ind w:left="480"/>
              <w:spacing w:after="0"/>
              <w:rPr>
                <w:sz w:val="20"/>
                <w:szCs w:val="20"/>
                <w:color w:val="auto"/>
              </w:rPr>
            </w:pPr>
            <w:r>
              <w:rPr>
                <w:rFonts w:ascii="Arial" w:cs="Arial" w:eastAsia="Arial" w:hAnsi="Arial"/>
                <w:sz w:val="16"/>
                <w:szCs w:val="16"/>
                <w:b w:val="1"/>
                <w:bCs w:val="1"/>
                <w:color w:val="auto"/>
              </w:rPr>
              <w:t>Total lease liabilities</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515,646</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569,718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7560" w:type="dxa"/>
            <w:vAlign w:val="bottom"/>
          </w:tcPr>
          <w:p>
            <w:pPr>
              <w:ind w:left="20"/>
              <w:spacing w:after="0"/>
              <w:rPr>
                <w:sz w:val="20"/>
                <w:szCs w:val="20"/>
                <w:color w:val="auto"/>
              </w:rPr>
            </w:pPr>
            <w:r>
              <w:rPr>
                <w:rFonts w:ascii="Arial" w:cs="Arial" w:eastAsia="Arial" w:hAnsi="Arial"/>
                <w:sz w:val="16"/>
                <w:szCs w:val="16"/>
                <w:color w:val="auto"/>
              </w:rPr>
              <w:t>Weighted average remaining lease term (years)</w:t>
            </w:r>
          </w:p>
        </w:tc>
        <w:tc>
          <w:tcPr>
            <w:tcW w:w="420" w:type="dxa"/>
            <w:vAlign w:val="bottom"/>
          </w:tcPr>
          <w:p>
            <w:pPr>
              <w:spacing w:after="0"/>
              <w:rPr>
                <w:sz w:val="24"/>
                <w:szCs w:val="24"/>
                <w:color w:val="auto"/>
              </w:rPr>
            </w:pPr>
          </w:p>
        </w:tc>
        <w:tc>
          <w:tcPr>
            <w:tcW w:w="1360" w:type="dxa"/>
            <w:vAlign w:val="bottom"/>
          </w:tcPr>
          <w:p>
            <w:pPr>
              <w:jc w:val="right"/>
              <w:ind w:right="582"/>
              <w:spacing w:after="0"/>
              <w:rPr>
                <w:sz w:val="20"/>
                <w:szCs w:val="20"/>
                <w:color w:val="auto"/>
              </w:rPr>
            </w:pPr>
            <w:r>
              <w:rPr>
                <w:rFonts w:ascii="Arial" w:cs="Arial" w:eastAsia="Arial" w:hAnsi="Arial"/>
                <w:sz w:val="16"/>
                <w:szCs w:val="16"/>
                <w:b w:val="1"/>
                <w:bCs w:val="1"/>
                <w:color w:val="auto"/>
              </w:rPr>
              <w:t>9.9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jc w:val="right"/>
              <w:ind w:right="62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4.4 %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maturities of lease liabilities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December 31, 2020</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106,994</w:t>
            </w:r>
          </w:p>
        </w:tc>
      </w:tr>
      <w:tr>
        <w:trPr>
          <w:trHeight w:val="225"/>
        </w:trPr>
        <w:tc>
          <w:tcPr>
            <w:tcW w:w="938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88,721</w:t>
            </w:r>
          </w:p>
        </w:tc>
      </w:tr>
      <w:tr>
        <w:trPr>
          <w:trHeight w:val="230"/>
        </w:trPr>
        <w:tc>
          <w:tcPr>
            <w:tcW w:w="938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71,003</w:t>
            </w:r>
          </w:p>
        </w:tc>
      </w:tr>
      <w:tr>
        <w:trPr>
          <w:trHeight w:val="230"/>
        </w:trPr>
        <w:tc>
          <w:tcPr>
            <w:tcW w:w="938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57,310</w:t>
            </w:r>
          </w:p>
        </w:tc>
      </w:tr>
      <w:tr>
        <w:trPr>
          <w:trHeight w:val="229"/>
        </w:trPr>
        <w:tc>
          <w:tcPr>
            <w:tcW w:w="9380" w:type="dxa"/>
            <w:vAlign w:val="bottom"/>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45,968</w:t>
            </w:r>
          </w:p>
        </w:tc>
      </w:tr>
      <w:tr>
        <w:trPr>
          <w:trHeight w:val="238"/>
        </w:trPr>
        <w:tc>
          <w:tcPr>
            <w:tcW w:w="93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280,837</w:t>
            </w:r>
          </w:p>
        </w:tc>
      </w:tr>
      <w:tr>
        <w:trPr>
          <w:trHeight w:val="225"/>
        </w:trPr>
        <w:tc>
          <w:tcPr>
            <w:tcW w:w="9380" w:type="dxa"/>
            <w:vAlign w:val="bottom"/>
          </w:tcPr>
          <w:p>
            <w:pPr>
              <w:ind w:left="20"/>
              <w:spacing w:after="0"/>
              <w:rPr>
                <w:sz w:val="20"/>
                <w:szCs w:val="20"/>
                <w:color w:val="auto"/>
              </w:rPr>
            </w:pPr>
            <w:r>
              <w:rPr>
                <w:rFonts w:ascii="Arial" w:cs="Arial" w:eastAsia="Arial" w:hAnsi="Arial"/>
                <w:sz w:val="16"/>
                <w:szCs w:val="16"/>
                <w:b w:val="1"/>
                <w:bCs w:val="1"/>
                <w:color w:val="auto"/>
              </w:rPr>
              <w:t>Total payments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650,833</w:t>
            </w:r>
          </w:p>
        </w:tc>
      </w:tr>
      <w:tr>
        <w:trPr>
          <w:trHeight w:val="228"/>
        </w:trPr>
        <w:tc>
          <w:tcPr>
            <w:tcW w:w="93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(135,187)</w:t>
            </w:r>
          </w:p>
        </w:tc>
      </w:tr>
      <w:tr>
        <w:trPr>
          <w:trHeight w:val="229"/>
        </w:trPr>
        <w:tc>
          <w:tcPr>
            <w:tcW w:w="93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515,646</w:t>
            </w:r>
          </w:p>
        </w:tc>
      </w:tr>
      <w:tr>
        <w:trPr>
          <w:trHeight w:val="21"/>
        </w:trPr>
        <w:tc>
          <w:tcPr>
            <w:tcW w:w="9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As of December 31, 2020, the Company has entered into operating leases, including educational and other facilities, that have not yet commenced that have minimum lease payments of $1.9 million. These operating leases will commence in fiscal year 2021 with lease terms of one to two years.</w:t>
      </w:r>
    </w:p>
    <w:p>
      <w:pPr>
        <w:sectPr>
          <w:pgSz w:w="11900" w:h="16838" w:orient="portrait"/>
          <w:cols w:equalWidth="0" w:num="1">
            <w:col w:w="11240"/>
          </w:cols>
          <w:pgMar w:left="320" w:top="1033"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91" w:name="page92"/>
    <w:bookmarkEnd w:id="91"/>
    <w:p>
      <w:pPr>
        <w:ind w:left="360" w:hanging="352"/>
        <w:spacing w:after="0"/>
        <w:tabs>
          <w:tab w:leader="none" w:pos="3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changed the presentation of its segments in the third and fourth quarters of 2020 into the following six reportable segments: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Higher Education, Supplemental Education, Television Broadcasting, Manufacturing and Healthcare (see Note 19).</w:t>
      </w:r>
    </w:p>
    <w:p>
      <w:pPr>
        <w:spacing w:after="0" w:line="122"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goodwill, indefinite-lived intangibles and other long-lived assets of the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and the automotive dealerships are included in other businesses.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1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fourth quarter of 2019, Television Broadcasting recorded an intangible asset impairment charge of $ 7.8 million related to FCC licenses at two of its stations, due to a decline in local market conditions. The fair value of the intangible asset was estimated using an income approach.</w:t>
      </w:r>
    </w:p>
    <w:p>
      <w:pPr>
        <w:spacing w:after="0" w:line="11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In the third quarter of 2018, Healthcare recorded an intangible asset impairment charge of $7.9 million following the decision to discontinue the use of the Celtic trade name. The fair value of the intangible asset was estimated using an income approach.</w:t>
      </w:r>
    </w:p>
    <w:p>
      <w:pPr>
        <w:spacing w:after="0" w:line="9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Amortization of intangible assets for the years ended December 31, 2020, 2019 and 2018, was $56.8 million, $ 53.2 million and $47.4 million, respectively. Amortization of intangible assets is estimated to be approximately $52 million in 2021, $46 million in 2022, $38 million in 2023, $28 million in 2024, $21 million in 2025 and $20 million thereafter.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0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Education</w:t>
            </w:r>
          </w:p>
        </w:tc>
        <w:tc>
          <w:tcPr>
            <w:tcW w:w="200" w:type="dxa"/>
            <w:vAlign w:val="bottom"/>
          </w:tcPr>
          <w:p>
            <w:pPr>
              <w:spacing w:after="0"/>
              <w:rPr>
                <w:sz w:val="14"/>
                <w:szCs w:val="14"/>
                <w:color w:val="auto"/>
              </w:rPr>
            </w:pPr>
          </w:p>
        </w:tc>
        <w:tc>
          <w:tcPr>
            <w:tcW w:w="1140" w:type="dxa"/>
            <w:vAlign w:val="bottom"/>
          </w:tcPr>
          <w:p>
            <w:pPr>
              <w:jc w:val="right"/>
              <w:ind w:right="240"/>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Healthcare</w:t>
            </w:r>
          </w:p>
        </w:tc>
        <w:tc>
          <w:tcPr>
            <w:tcW w:w="20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37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Arial" w:cs="Arial" w:eastAsia="Arial" w:hAnsi="Arial"/>
                <w:sz w:val="16"/>
                <w:szCs w:val="16"/>
                <w:color w:val="auto"/>
              </w:rPr>
              <w:t>As of December 31, 2018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1,128,699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231,479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69,626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23,545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1,644,164</w:t>
            </w:r>
          </w:p>
        </w:tc>
        <w:tc>
          <w:tcPr>
            <w:tcW w:w="0" w:type="dxa"/>
            <w:vAlign w:val="bottom"/>
          </w:tcPr>
          <w:p>
            <w:pPr>
              <w:spacing w:after="0"/>
              <w:rPr>
                <w:sz w:val="1"/>
                <w:szCs w:val="1"/>
                <w:color w:val="auto"/>
              </w:rPr>
            </w:pPr>
          </w:p>
        </w:tc>
      </w:tr>
      <w:tr>
        <w:trPr>
          <w:trHeight w:val="238"/>
        </w:trPr>
        <w:tc>
          <w:tcPr>
            <w:tcW w:w="37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797,548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223,863</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69,626</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15,860</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1,297,712</w:t>
            </w:r>
          </w:p>
        </w:tc>
        <w:tc>
          <w:tcPr>
            <w:tcW w:w="0" w:type="dxa"/>
            <w:vAlign w:val="bottom"/>
          </w:tcPr>
          <w:p>
            <w:pPr>
              <w:spacing w:after="0"/>
              <w:rPr>
                <w:sz w:val="1"/>
                <w:szCs w:val="1"/>
                <w:color w:val="auto"/>
              </w:rPr>
            </w:pPr>
          </w:p>
        </w:tc>
      </w:tr>
      <w:tr>
        <w:trPr>
          <w:trHeight w:val="219"/>
        </w:trPr>
        <w:tc>
          <w:tcPr>
            <w:tcW w:w="370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6,207</w:t>
            </w: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3,514</w:t>
            </w: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28,795</w:t>
            </w:r>
          </w:p>
        </w:tc>
        <w:tc>
          <w:tcPr>
            <w:tcW w:w="2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45,999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84,515</w:t>
            </w: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6"/>
                <w:szCs w:val="16"/>
                <w:color w:val="auto"/>
              </w:rPr>
              <w:t>Dispositions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(579)</w:t>
            </w: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6,631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w:t>
            </w:r>
          </w:p>
        </w:tc>
        <w:tc>
          <w:tcPr>
            <w:tcW w:w="0" w:type="dxa"/>
            <w:vAlign w:val="bottom"/>
          </w:tcPr>
          <w:p>
            <w:pPr>
              <w:spacing w:after="0"/>
              <w:rPr>
                <w:sz w:val="1"/>
                <w:szCs w:val="1"/>
                <w:color w:val="auto"/>
              </w:rPr>
            </w:pPr>
          </w:p>
        </w:tc>
      </w:tr>
      <w:tr>
        <w:trPr>
          <w:trHeight w:val="214"/>
        </w:trPr>
        <w:tc>
          <w:tcPr>
            <w:tcW w:w="370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1,140,958</w:t>
            </w: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69,544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1,734,731</w:t>
            </w:r>
          </w:p>
        </w:tc>
        <w:tc>
          <w:tcPr>
            <w:tcW w:w="0" w:type="dxa"/>
            <w:vAlign w:val="bottom"/>
          </w:tcPr>
          <w:p>
            <w:pPr>
              <w:spacing w:after="0"/>
              <w:rPr>
                <w:sz w:val="1"/>
                <w:szCs w:val="1"/>
                <w:color w:val="auto"/>
              </w:rPr>
            </w:pPr>
          </w:p>
        </w:tc>
      </w:tr>
      <w:tr>
        <w:trPr>
          <w:trHeight w:val="238"/>
        </w:trPr>
        <w:tc>
          <w:tcPr>
            <w:tcW w:w="370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(346,452)</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809,807</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190,815</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227,377</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98,421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61,859</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1,388,279</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Measurement period adjustment</w:t>
            </w:r>
          </w:p>
        </w:tc>
        <w:tc>
          <w:tcPr>
            <w:tcW w:w="1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154</w:t>
            </w: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13,022</w:t>
            </w: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60,928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73,950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(6,878)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(6,878)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29,245</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29,245</w:t>
            </w: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1,183,379</w:t>
            </w:r>
          </w:p>
        </w:tc>
        <w:tc>
          <w:tcPr>
            <w:tcW w:w="20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0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130,472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1,838,080</w:t>
            </w:r>
          </w:p>
        </w:tc>
        <w:tc>
          <w:tcPr>
            <w:tcW w:w="0" w:type="dxa"/>
            <w:vAlign w:val="bottom"/>
          </w:tcPr>
          <w:p>
            <w:pPr>
              <w:spacing w:after="0"/>
              <w:rPr>
                <w:sz w:val="1"/>
                <w:szCs w:val="1"/>
                <w:color w:val="auto"/>
              </w:rPr>
            </w:pPr>
          </w:p>
        </w:tc>
      </w:tr>
      <w:tr>
        <w:trPr>
          <w:trHeight w:val="233"/>
        </w:trPr>
        <w:tc>
          <w:tcPr>
            <w:tcW w:w="370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(7,616)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(14,563)</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(353,330)</w:t>
            </w:r>
          </w:p>
        </w:tc>
        <w:tc>
          <w:tcPr>
            <w:tcW w:w="0" w:type="dxa"/>
            <w:vAlign w:val="bottom"/>
          </w:tcPr>
          <w:p>
            <w:pPr>
              <w:spacing w:after="0"/>
              <w:rPr>
                <w:sz w:val="1"/>
                <w:szCs w:val="1"/>
                <w:color w:val="auto"/>
              </w:rPr>
            </w:pPr>
          </w:p>
        </w:tc>
      </w:tr>
      <w:tr>
        <w:trPr>
          <w:trHeight w:val="226"/>
        </w:trPr>
        <w:tc>
          <w:tcPr>
            <w:tcW w:w="3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852,228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227,377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98,421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115,909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1,484,750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280" w:type="dxa"/>
            <w:vAlign w:val="bottom"/>
          </w:tcPr>
          <w:p>
            <w:pPr>
              <w:jc w:val="right"/>
              <w:ind w:right="460"/>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240" w:type="dxa"/>
            <w:vAlign w:val="bottom"/>
          </w:tcPr>
          <w:p>
            <w:pPr>
              <w:jc w:val="right"/>
              <w:ind w:right="480"/>
              <w:spacing w:after="0"/>
              <w:rPr>
                <w:sz w:val="20"/>
                <w:szCs w:val="20"/>
                <w:color w:val="auto"/>
              </w:rPr>
            </w:pPr>
            <w:r>
              <w:rPr>
                <w:rFonts w:ascii="Arial" w:cs="Arial" w:eastAsia="Arial" w:hAnsi="Arial"/>
                <w:sz w:val="14"/>
                <w:szCs w:val="14"/>
                <w:b w:val="1"/>
                <w:bCs w:val="1"/>
                <w:color w:val="auto"/>
              </w:rPr>
              <w:t>Higher</w:t>
            </w:r>
          </w:p>
        </w:tc>
        <w:tc>
          <w:tcPr>
            <w:tcW w:w="240" w:type="dxa"/>
            <w:vAlign w:val="bottom"/>
          </w:tcPr>
          <w:p>
            <w:pPr>
              <w:spacing w:after="0"/>
              <w:rPr>
                <w:sz w:val="14"/>
                <w:szCs w:val="14"/>
                <w:color w:val="auto"/>
              </w:rPr>
            </w:pPr>
          </w:p>
        </w:tc>
        <w:tc>
          <w:tcPr>
            <w:tcW w:w="1320" w:type="dxa"/>
            <w:vAlign w:val="bottom"/>
          </w:tcPr>
          <w:p>
            <w:pPr>
              <w:jc w:val="right"/>
              <w:ind w:right="220"/>
              <w:spacing w:after="0"/>
              <w:rPr>
                <w:sz w:val="20"/>
                <w:szCs w:val="20"/>
                <w:color w:val="auto"/>
              </w:rPr>
            </w:pPr>
            <w:r>
              <w:rPr>
                <w:rFonts w:ascii="Arial" w:cs="Arial" w:eastAsia="Arial" w:hAnsi="Arial"/>
                <w:sz w:val="14"/>
                <w:szCs w:val="14"/>
                <w:b w:val="1"/>
                <w:bCs w:val="1"/>
                <w:color w:val="auto"/>
              </w:rPr>
              <w:t>Supplemental</w:t>
            </w:r>
          </w:p>
        </w:tc>
        <w:tc>
          <w:tcPr>
            <w:tcW w:w="380" w:type="dxa"/>
            <w:vAlign w:val="bottom"/>
          </w:tcPr>
          <w:p>
            <w:pPr>
              <w:spacing w:after="0"/>
              <w:rPr>
                <w:sz w:val="14"/>
                <w:szCs w:val="14"/>
                <w:color w:val="auto"/>
              </w:rPr>
            </w:pPr>
          </w:p>
        </w:tc>
        <w:tc>
          <w:tcPr>
            <w:tcW w:w="1120" w:type="dxa"/>
            <w:vAlign w:val="bottom"/>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5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Education</w:t>
            </w: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2018</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583,424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370,711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1,128,699</w:t>
            </w:r>
          </w:p>
        </w:tc>
        <w:tc>
          <w:tcPr>
            <w:tcW w:w="0" w:type="dxa"/>
            <w:vAlign w:val="bottom"/>
          </w:tcPr>
          <w:p>
            <w:pPr>
              <w:spacing w:after="0"/>
              <w:rPr>
                <w:sz w:val="1"/>
                <w:szCs w:val="1"/>
                <w:color w:val="auto"/>
              </w:rPr>
            </w:pPr>
          </w:p>
        </w:tc>
      </w:tr>
      <w:tr>
        <w:trPr>
          <w:trHeight w:val="239"/>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583,424</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63,240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150,884</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797,548</w:t>
            </w:r>
          </w:p>
        </w:tc>
        <w:tc>
          <w:tcPr>
            <w:tcW w:w="0" w:type="dxa"/>
            <w:vAlign w:val="bottom"/>
          </w:tcPr>
          <w:p>
            <w:pPr>
              <w:spacing w:after="0"/>
              <w:rPr>
                <w:sz w:val="1"/>
                <w:szCs w:val="1"/>
                <w:color w:val="auto"/>
              </w:rPr>
            </w:pPr>
          </w:p>
        </w:tc>
      </w:tr>
      <w:tr>
        <w:trPr>
          <w:trHeight w:val="219"/>
        </w:trPr>
        <w:tc>
          <w:tcPr>
            <w:tcW w:w="51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6,207</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6,207</w:t>
            </w:r>
          </w:p>
        </w:tc>
        <w:tc>
          <w:tcPr>
            <w:tcW w:w="0" w:type="dxa"/>
            <w:vAlign w:val="bottom"/>
          </w:tcPr>
          <w:p>
            <w:pPr>
              <w:spacing w:after="0"/>
              <w:rPr>
                <w:sz w:val="1"/>
                <w:szCs w:val="1"/>
                <w:color w:val="auto"/>
              </w:rPr>
            </w:pPr>
          </w:p>
        </w:tc>
      </w:tr>
      <w:tr>
        <w:trPr>
          <w:trHeight w:val="225"/>
        </w:trPr>
        <w:tc>
          <w:tcPr>
            <w:tcW w:w="5160" w:type="dxa"/>
            <w:vAlign w:val="bottom"/>
          </w:tcPr>
          <w:p>
            <w:pPr>
              <w:ind w:left="20"/>
              <w:spacing w:after="0"/>
              <w:rPr>
                <w:sz w:val="20"/>
                <w:szCs w:val="20"/>
                <w:color w:val="auto"/>
              </w:rPr>
            </w:pPr>
            <w:r>
              <w:rPr>
                <w:rFonts w:ascii="Arial" w:cs="Arial" w:eastAsia="Arial" w:hAnsi="Arial"/>
                <w:sz w:val="16"/>
                <w:szCs w:val="16"/>
                <w:color w:val="auto"/>
              </w:rPr>
              <w:t>Dispositions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(579)</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6,552</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6,631</w:t>
            </w:r>
          </w:p>
        </w:tc>
        <w:tc>
          <w:tcPr>
            <w:tcW w:w="0" w:type="dxa"/>
            <w:vAlign w:val="bottom"/>
          </w:tcPr>
          <w:p>
            <w:pPr>
              <w:spacing w:after="0"/>
              <w:rPr>
                <w:sz w:val="1"/>
                <w:szCs w:val="1"/>
                <w:color w:val="auto"/>
              </w:rPr>
            </w:pPr>
          </w:p>
        </w:tc>
      </w:tr>
      <w:tr>
        <w:trPr>
          <w:trHeight w:val="200"/>
        </w:trPr>
        <w:tc>
          <w:tcPr>
            <w:tcW w:w="516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595,604</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174,564</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370,790</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1,140,958</w:t>
            </w:r>
          </w:p>
        </w:tc>
        <w:tc>
          <w:tcPr>
            <w:tcW w:w="0" w:type="dxa"/>
            <w:vAlign w:val="bottom"/>
          </w:tcPr>
          <w:p>
            <w:pPr>
              <w:spacing w:after="0"/>
              <w:rPr>
                <w:sz w:val="1"/>
                <w:szCs w:val="1"/>
                <w:color w:val="auto"/>
              </w:rPr>
            </w:pPr>
          </w:p>
        </w:tc>
      </w:tr>
      <w:tr>
        <w:trPr>
          <w:trHeight w:val="239"/>
        </w:trPr>
        <w:tc>
          <w:tcPr>
            <w:tcW w:w="5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595,604</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63,240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150,963</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809,807</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5"/>
                <w:szCs w:val="15"/>
                <w:b w:val="1"/>
                <w:bCs w:val="1"/>
                <w:color w:val="auto"/>
              </w:rPr>
              <w:t>Measurement period adjustment</w:t>
            </w:r>
          </w:p>
        </w:tc>
        <w:tc>
          <w:tcPr>
            <w:tcW w:w="20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5"/>
                <w:szCs w:val="15"/>
                <w:b w:val="1"/>
                <w:bCs w:val="1"/>
                <w:color w:val="auto"/>
              </w:rPr>
              <w:t>154</w:t>
            </w:r>
          </w:p>
        </w:tc>
        <w:tc>
          <w:tcPr>
            <w:tcW w:w="30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9,788</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3,234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13,022</w:t>
            </w:r>
          </w:p>
        </w:tc>
        <w:tc>
          <w:tcPr>
            <w:tcW w:w="0" w:type="dxa"/>
            <w:vAlign w:val="bottom"/>
          </w:tcPr>
          <w:p>
            <w:pPr>
              <w:spacing w:after="0"/>
              <w:rPr>
                <w:sz w:val="1"/>
                <w:szCs w:val="1"/>
                <w:color w:val="auto"/>
              </w:rPr>
            </w:pPr>
          </w:p>
        </w:tc>
      </w:tr>
      <w:tr>
        <w:trPr>
          <w:trHeight w:val="231"/>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29,203</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29,245</w:t>
            </w:r>
          </w:p>
        </w:tc>
        <w:tc>
          <w:tcPr>
            <w:tcW w:w="0" w:type="dxa"/>
            <w:vAlign w:val="bottom"/>
          </w:tcPr>
          <w:p>
            <w:pPr>
              <w:spacing w:after="0"/>
              <w:rPr>
                <w:sz w:val="1"/>
                <w:szCs w:val="1"/>
                <w:color w:val="auto"/>
              </w:rPr>
            </w:pPr>
          </w:p>
        </w:tc>
      </w:tr>
      <w:tr>
        <w:trPr>
          <w:trHeight w:val="222"/>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634,749</w:t>
            </w:r>
          </w:p>
        </w:tc>
        <w:tc>
          <w:tcPr>
            <w:tcW w:w="30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174,564</w:t>
            </w:r>
          </w:p>
        </w:tc>
        <w:tc>
          <w:tcPr>
            <w:tcW w:w="240" w:type="dxa"/>
            <w:vAlign w:val="bottom"/>
          </w:tcPr>
          <w:p>
            <w:pPr>
              <w:spacing w:after="0"/>
              <w:rPr>
                <w:sz w:val="19"/>
                <w:szCs w:val="19"/>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b w:val="1"/>
                <w:bCs w:val="1"/>
                <w:color w:val="auto"/>
              </w:rPr>
              <w:t>374,066</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1,183,379</w:t>
            </w:r>
          </w:p>
        </w:tc>
        <w:tc>
          <w:tcPr>
            <w:tcW w:w="0" w:type="dxa"/>
            <w:vAlign w:val="bottom"/>
          </w:tcPr>
          <w:p>
            <w:pPr>
              <w:spacing w:after="0"/>
              <w:rPr>
                <w:sz w:val="1"/>
                <w:szCs w:val="1"/>
                <w:color w:val="auto"/>
              </w:rPr>
            </w:pPr>
          </w:p>
        </w:tc>
      </w:tr>
      <w:tr>
        <w:trPr>
          <w:trHeight w:val="233"/>
        </w:trPr>
        <w:tc>
          <w:tcPr>
            <w:tcW w:w="516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(111,324)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(219,827)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6"/>
        </w:trPr>
        <w:tc>
          <w:tcPr>
            <w:tcW w:w="5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634,749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63,240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154,239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852,228</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9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2019</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420" w:type="dxa"/>
            <w:vAlign w:val="bottom"/>
          </w:tcPr>
          <w:p>
            <w:pPr>
              <w:jc w:val="center"/>
              <w:ind w:right="142"/>
              <w:spacing w:after="0" w:line="144" w:lineRule="exact"/>
              <w:rPr>
                <w:sz w:val="20"/>
                <w:szCs w:val="20"/>
                <w:color w:val="auto"/>
              </w:rPr>
            </w:pPr>
            <w:r>
              <w:rPr>
                <w:rFonts w:ascii="Arial" w:cs="Arial" w:eastAsia="Arial" w:hAnsi="Arial"/>
                <w:sz w:val="14"/>
                <w:szCs w:val="14"/>
                <w:b w:val="1"/>
                <w:bCs w:val="1"/>
                <w:color w:val="auto"/>
              </w:rPr>
              <w:t>Useful</w:t>
            </w:r>
          </w:p>
        </w:tc>
        <w:tc>
          <w:tcPr>
            <w:tcW w:w="140" w:type="dxa"/>
            <w:vAlign w:val="bottom"/>
          </w:tcPr>
          <w:p>
            <w:pPr>
              <w:spacing w:after="0"/>
              <w:rPr>
                <w:sz w:val="12"/>
                <w:szCs w:val="12"/>
                <w:color w:val="auto"/>
              </w:rPr>
            </w:pPr>
          </w:p>
        </w:tc>
        <w:tc>
          <w:tcPr>
            <w:tcW w:w="840" w:type="dxa"/>
            <w:vAlign w:val="bottom"/>
          </w:tcPr>
          <w:p>
            <w:pPr>
              <w:jc w:val="center"/>
              <w:ind w:right="101"/>
              <w:spacing w:after="0" w:line="144"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1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40" w:type="dxa"/>
            <w:vAlign w:val="bottom"/>
          </w:tcPr>
          <w:p>
            <w:pPr>
              <w:jc w:val="center"/>
              <w:ind w:right="222"/>
              <w:spacing w:after="0" w:line="144"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840" w:type="dxa"/>
            <w:vAlign w:val="bottom"/>
          </w:tcPr>
          <w:p>
            <w:pPr>
              <w:jc w:val="center"/>
              <w:ind w:right="141"/>
              <w:spacing w:after="0" w:line="144" w:lineRule="exact"/>
              <w:rPr>
                <w:sz w:val="20"/>
                <w:szCs w:val="20"/>
                <w:color w:val="auto"/>
              </w:rPr>
            </w:pPr>
            <w:r>
              <w:rPr>
                <w:rFonts w:ascii="Arial" w:cs="Arial" w:eastAsia="Arial" w:hAnsi="Arial"/>
                <w:sz w:val="14"/>
                <w:szCs w:val="14"/>
                <w:color w:val="auto"/>
              </w:rPr>
              <w:t>Gross</w:t>
            </w:r>
          </w:p>
        </w:tc>
        <w:tc>
          <w:tcPr>
            <w:tcW w:w="220" w:type="dxa"/>
            <w:vAlign w:val="bottom"/>
          </w:tcPr>
          <w:p>
            <w:pPr>
              <w:spacing w:after="0"/>
              <w:rPr>
                <w:sz w:val="12"/>
                <w:szCs w:val="12"/>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40" w:type="dxa"/>
            <w:vAlign w:val="bottom"/>
          </w:tcPr>
          <w:p>
            <w:pPr>
              <w:jc w:val="center"/>
              <w:ind w:right="122"/>
              <w:spacing w:after="0" w:line="144"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29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8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840" w:type="dxa"/>
            <w:vAlign w:val="bottom"/>
          </w:tcPr>
          <w:p>
            <w:pPr>
              <w:jc w:val="center"/>
              <w:ind w:right="141"/>
              <w:spacing w:after="0" w:line="149" w:lineRule="exact"/>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ind w:right="12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2"/>
        </w:trPr>
        <w:tc>
          <w:tcPr>
            <w:tcW w:w="290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294,077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178,075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116,002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291,626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144,625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147,001</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109,809</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54,766</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55,043</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87,190</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42,770</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44,420</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10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6,888</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10,512</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17,400</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5,148</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12,252</w:t>
            </w:r>
          </w:p>
        </w:tc>
        <w:tc>
          <w:tcPr>
            <w:tcW w:w="0" w:type="dxa"/>
            <w:vAlign w:val="bottom"/>
          </w:tcPr>
          <w:p>
            <w:pPr>
              <w:spacing w:after="0"/>
              <w:rPr>
                <w:sz w:val="1"/>
                <w:szCs w:val="1"/>
                <w:color w:val="auto"/>
              </w:rPr>
            </w:pPr>
          </w:p>
        </w:tc>
      </w:tr>
      <w:tr>
        <w:trPr>
          <w:trHeight w:val="229"/>
        </w:trPr>
        <w:tc>
          <w:tcPr>
            <w:tcW w:w="290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34,864</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19,924</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14,940</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30,623</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12,850</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17,773</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b w:val="1"/>
                <w:bCs w:val="1"/>
                <w:color w:val="auto"/>
              </w:rPr>
              <w:t>937</w:t>
            </w:r>
          </w:p>
        </w:tc>
        <w:tc>
          <w:tcPr>
            <w:tcW w:w="220" w:type="dxa"/>
            <w:vAlign w:val="bottom"/>
          </w:tcPr>
          <w:p>
            <w:pPr>
              <w:spacing w:after="0"/>
              <w:rPr>
                <w:sz w:val="19"/>
                <w:szCs w:val="19"/>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63</w:t>
            </w: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1,313</w:t>
            </w:r>
          </w:p>
        </w:tc>
        <w:tc>
          <w:tcPr>
            <w:tcW w:w="22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929</w:t>
            </w:r>
          </w:p>
        </w:tc>
        <w:tc>
          <w:tcPr>
            <w:tcW w:w="2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Other</w:t>
            </w:r>
          </w:p>
        </w:tc>
        <w:tc>
          <w:tcPr>
            <w:tcW w:w="1420" w:type="dxa"/>
            <w:vAlign w:val="bottom"/>
          </w:tcPr>
          <w:p>
            <w:pPr>
              <w:jc w:val="center"/>
              <w:ind w:right="122"/>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24,800</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16,714</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8,086</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24,800</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13,149</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11,651</w:t>
            </w: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481,950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277,304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204,646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452,952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219,471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233,481</w:t>
            </w:r>
          </w:p>
        </w:tc>
        <w:tc>
          <w:tcPr>
            <w:tcW w:w="0" w:type="dxa"/>
            <w:vAlign w:val="bottom"/>
          </w:tcPr>
          <w:p>
            <w:pPr>
              <w:spacing w:after="0"/>
              <w:rPr>
                <w:sz w:val="1"/>
                <w:szCs w:val="1"/>
                <w:color w:val="auto"/>
              </w:rPr>
            </w:pPr>
          </w:p>
        </w:tc>
      </w:tr>
      <w:tr>
        <w:trPr>
          <w:trHeight w:val="21"/>
        </w:trPr>
        <w:tc>
          <w:tcPr>
            <w:tcW w:w="2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9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87,429</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4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100,491</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21,858</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28,556</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11,000</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0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120,437</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140,197</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7480" w:type="dxa"/>
            <w:vAlign w:val="bottom"/>
            <w:gridSpan w:val="2"/>
          </w:tcPr>
          <w:p>
            <w:pPr>
              <w:jc w:val="right"/>
              <w:ind w:right="5979"/>
              <w:spacing w:after="0"/>
              <w:rPr>
                <w:sz w:val="20"/>
                <w:szCs w:val="20"/>
                <w:color w:val="auto"/>
              </w:rPr>
            </w:pPr>
            <w:r>
              <w:rPr>
                <w:rFonts w:ascii="Arial" w:cs="Arial" w:eastAsia="Arial" w:hAnsi="Arial"/>
                <w:sz w:val="18"/>
                <w:szCs w:val="18"/>
                <w:b w:val="1"/>
                <w:bCs w:val="1"/>
                <w:color w:val="auto"/>
              </w:rPr>
              <w:t>INCOME TAXES</w:t>
            </w: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43"/>
        </w:trPr>
        <w:tc>
          <w:tcPr>
            <w:tcW w:w="7880" w:type="dxa"/>
            <w:vAlign w:val="bottom"/>
            <w:gridSpan w:val="3"/>
          </w:tcPr>
          <w:p>
            <w:pPr>
              <w:spacing w:after="0"/>
              <w:rPr>
                <w:sz w:val="20"/>
                <w:szCs w:val="20"/>
                <w:color w:val="auto"/>
              </w:rPr>
            </w:pPr>
            <w:r>
              <w:rPr>
                <w:rFonts w:ascii="Arial" w:cs="Arial" w:eastAsia="Arial" w:hAnsi="Arial"/>
                <w:sz w:val="18"/>
                <w:szCs w:val="18"/>
                <w:color w:val="auto"/>
              </w:rPr>
              <w:t>Income before income taxes consists of the following:</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3"/>
        </w:trPr>
        <w:tc>
          <w:tcPr>
            <w:tcW w:w="4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197"/>
        </w:trPr>
        <w:tc>
          <w:tcPr>
            <w:tcW w:w="7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thousands)</w:t>
            </w: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2018</w:t>
            </w:r>
          </w:p>
        </w:tc>
      </w:tr>
      <w:tr>
        <w:trPr>
          <w:trHeight w:val="217"/>
        </w:trPr>
        <w:tc>
          <w:tcPr>
            <w:tcW w:w="400" w:type="dxa"/>
            <w:vAlign w:val="bottom"/>
          </w:tcPr>
          <w:p>
            <w:pPr>
              <w:ind w:left="20"/>
              <w:spacing w:after="0"/>
              <w:rPr>
                <w:sz w:val="20"/>
                <w:szCs w:val="20"/>
                <w:color w:val="auto"/>
              </w:rPr>
            </w:pPr>
            <w:r>
              <w:rPr>
                <w:rFonts w:ascii="Arial" w:cs="Arial" w:eastAsia="Arial" w:hAnsi="Arial"/>
                <w:sz w:val="16"/>
                <w:szCs w:val="16"/>
                <w:color w:val="auto"/>
              </w:rPr>
              <w:t>U.S.</w:t>
            </w:r>
          </w:p>
        </w:tc>
        <w:tc>
          <w:tcPr>
            <w:tcW w:w="74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403,295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390,144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257,312</w:t>
            </w:r>
          </w:p>
        </w:tc>
      </w:tr>
      <w:tr>
        <w:trPr>
          <w:trHeight w:val="232"/>
        </w:trPr>
        <w:tc>
          <w:tcPr>
            <w:tcW w:w="7880" w:type="dxa"/>
            <w:vAlign w:val="bottom"/>
            <w:gridSpan w:val="3"/>
          </w:tcPr>
          <w:p>
            <w:pPr>
              <w:ind w:left="20"/>
              <w:spacing w:after="0"/>
              <w:rPr>
                <w:sz w:val="20"/>
                <w:szCs w:val="20"/>
                <w:color w:val="auto"/>
              </w:rPr>
            </w:pPr>
            <w:r>
              <w:rPr>
                <w:rFonts w:ascii="Arial" w:cs="Arial" w:eastAsia="Arial" w:hAnsi="Arial"/>
                <w:sz w:val="16"/>
                <w:szCs w:val="16"/>
                <w:color w:val="auto"/>
              </w:rPr>
              <w:t>Non-U.S.</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3,973</w:t>
            </w:r>
          </w:p>
        </w:tc>
        <w:tc>
          <w:tcPr>
            <w:tcW w:w="34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36,335</w:t>
            </w:r>
          </w:p>
        </w:tc>
        <w:tc>
          <w:tcPr>
            <w:tcW w:w="36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66,196</w:t>
            </w:r>
          </w:p>
        </w:tc>
      </w:tr>
      <w:tr>
        <w:trPr>
          <w:trHeight w:val="226"/>
        </w:trPr>
        <w:tc>
          <w:tcPr>
            <w:tcW w:w="40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407,268</w:t>
            </w: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426,479</w:t>
            </w:r>
          </w:p>
        </w:tc>
        <w:tc>
          <w:tcPr>
            <w:tcW w:w="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323,508</w:t>
            </w:r>
          </w:p>
        </w:tc>
      </w:tr>
      <w:tr>
        <w:trPr>
          <w:trHeight w:val="21"/>
        </w:trPr>
        <w:tc>
          <w:tcPr>
            <w:tcW w:w="4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Deferred</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77,882</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6,669</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84,551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8,083</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4,954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13,037</w:t>
            </w:r>
          </w:p>
        </w:tc>
        <w:tc>
          <w:tcPr>
            <w:tcW w:w="0" w:type="dxa"/>
            <w:vAlign w:val="bottom"/>
          </w:tcPr>
          <w:p>
            <w:pPr>
              <w:spacing w:after="0"/>
              <w:rPr>
                <w:sz w:val="1"/>
                <w:szCs w:val="1"/>
                <w:color w:val="auto"/>
              </w:rPr>
            </w:pP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6,958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2,754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9,712</w:t>
            </w:r>
          </w:p>
        </w:tc>
        <w:tc>
          <w:tcPr>
            <w:tcW w:w="0" w:type="dxa"/>
            <w:vAlign w:val="bottom"/>
          </w:tcPr>
          <w:p>
            <w:pPr>
              <w:spacing w:after="0"/>
              <w:rPr>
                <w:sz w:val="1"/>
                <w:szCs w:val="1"/>
                <w:color w:val="auto"/>
              </w:rPr>
            </w:pPr>
          </w:p>
        </w:tc>
      </w:tr>
      <w:tr>
        <w:trPr>
          <w:trHeight w:val="226"/>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92,923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14,377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107,300</w:t>
            </w:r>
          </w:p>
        </w:tc>
        <w:tc>
          <w:tcPr>
            <w:tcW w:w="0" w:type="dxa"/>
            <w:vAlign w:val="bottom"/>
          </w:tcPr>
          <w:p>
            <w:pPr>
              <w:spacing w:after="0"/>
              <w:rPr>
                <w:sz w:val="1"/>
                <w:szCs w:val="1"/>
                <w:color w:val="auto"/>
              </w:rPr>
            </w:pPr>
          </w:p>
        </w:tc>
      </w:tr>
      <w:tr>
        <w:trPr>
          <w:trHeight w:val="21"/>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2019</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16,500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63,838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80,338</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2,949</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6,630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9,579</w:t>
            </w:r>
          </w:p>
        </w:tc>
        <w:tc>
          <w:tcPr>
            <w:tcW w:w="0" w:type="dxa"/>
            <w:vAlign w:val="bottom"/>
          </w:tcPr>
          <w:p>
            <w:pPr>
              <w:spacing w:after="0"/>
              <w:rPr>
                <w:sz w:val="1"/>
                <w:szCs w:val="1"/>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9,400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8,683</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28,849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69,751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98,600</w:t>
            </w:r>
          </w:p>
        </w:tc>
        <w:tc>
          <w:tcPr>
            <w:tcW w:w="0" w:type="dxa"/>
            <w:vAlign w:val="bottom"/>
          </w:tcPr>
          <w:p>
            <w:pPr>
              <w:spacing w:after="0"/>
              <w:rPr>
                <w:sz w:val="1"/>
                <w:szCs w:val="1"/>
                <w:color w:val="auto"/>
              </w:rPr>
            </w:pPr>
          </w:p>
        </w:tc>
      </w:tr>
      <w:tr>
        <w:trPr>
          <w:trHeight w:val="27"/>
        </w:trPr>
        <w:tc>
          <w:tcPr>
            <w:tcW w:w="7640" w:type="dxa"/>
            <w:vAlign w:val="bottom"/>
            <w:vMerge w:val="restart"/>
          </w:tcPr>
          <w:p>
            <w:pPr>
              <w:ind w:left="20"/>
              <w:spacing w:after="0"/>
              <w:rPr>
                <w:sz w:val="20"/>
                <w:szCs w:val="20"/>
                <w:color w:val="auto"/>
              </w:rPr>
            </w:pPr>
            <w:r>
              <w:rPr>
                <w:rFonts w:ascii="Arial" w:cs="Arial" w:eastAsia="Arial" w:hAnsi="Arial"/>
                <w:sz w:val="16"/>
                <w:szCs w:val="16"/>
                <w:color w:val="auto"/>
              </w:rPr>
              <w:t>Year Ended December 31, 2018</w:t>
            </w: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U.S. Federal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46,059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16,718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62,777</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State and Local</w:t>
            </w: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2,240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(23,809)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(21,569)</w:t>
            </w:r>
          </w:p>
        </w:tc>
        <w:tc>
          <w:tcPr>
            <w:tcW w:w="0" w:type="dxa"/>
            <w:vAlign w:val="bottom"/>
          </w:tcPr>
          <w:p>
            <w:pPr>
              <w:spacing w:after="0"/>
              <w:rPr>
                <w:sz w:val="1"/>
                <w:szCs w:val="1"/>
                <w:color w:val="auto"/>
              </w:rPr>
            </w:pPr>
          </w:p>
        </w:tc>
      </w:tr>
      <w:tr>
        <w:trPr>
          <w:trHeight w:val="239"/>
        </w:trPr>
        <w:tc>
          <w:tcPr>
            <w:tcW w:w="7640" w:type="dxa"/>
            <w:vAlign w:val="bottom"/>
          </w:tcPr>
          <w:p>
            <w:pPr>
              <w:ind w:left="20"/>
              <w:spacing w:after="0"/>
              <w:rPr>
                <w:sz w:val="20"/>
                <w:szCs w:val="20"/>
                <w:color w:val="auto"/>
              </w:rPr>
            </w:pPr>
            <w:r>
              <w:rPr>
                <w:rFonts w:ascii="Arial" w:cs="Arial" w:eastAsia="Arial" w:hAnsi="Arial"/>
                <w:sz w:val="16"/>
                <w:szCs w:val="16"/>
                <w:color w:val="auto"/>
              </w:rPr>
              <w:t>Non-U.S.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10,924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10,892</w:t>
            </w:r>
          </w:p>
        </w:tc>
        <w:tc>
          <w:tcPr>
            <w:tcW w:w="0" w:type="dxa"/>
            <w:vAlign w:val="bottom"/>
          </w:tcPr>
          <w:p>
            <w:pPr>
              <w:spacing w:after="0"/>
              <w:rPr>
                <w:sz w:val="1"/>
                <w:szCs w:val="1"/>
                <w:color w:val="auto"/>
              </w:rPr>
            </w:pPr>
          </w:p>
        </w:tc>
      </w:tr>
      <w:tr>
        <w:trPr>
          <w:trHeight w:val="224"/>
        </w:trPr>
        <w:tc>
          <w:tcPr>
            <w:tcW w:w="764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59,223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52,100</w:t>
            </w:r>
          </w:p>
        </w:tc>
        <w:tc>
          <w:tcPr>
            <w:tcW w:w="0" w:type="dxa"/>
            <w:vAlign w:val="bottom"/>
          </w:tcPr>
          <w:p>
            <w:pPr>
              <w:spacing w:after="0"/>
              <w:rPr>
                <w:sz w:val="1"/>
                <w:szCs w:val="1"/>
                <w:color w:val="auto"/>
              </w:rPr>
            </w:pPr>
          </w:p>
        </w:tc>
      </w:tr>
      <w:tr>
        <w:trPr>
          <w:trHeight w:val="26"/>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Federal statutory rate of 21% to the income before taxes as a result of the following:</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8"/>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5" w:right="359" w:bottom="976"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Federal taxes at statutory rate (see above)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State and local taxes, net of U.S. Federal tax</w:t>
      </w:r>
    </w:p>
    <w:p>
      <w:pPr>
        <w:spacing w:after="0" w:line="46" w:lineRule="exact"/>
        <w:rPr>
          <w:sz w:val="20"/>
          <w:szCs w:val="20"/>
          <w:color w:val="auto"/>
        </w:rPr>
      </w:pPr>
    </w:p>
    <w:p>
      <w:pPr>
        <w:ind w:left="20" w:right="1860"/>
        <w:spacing w:after="0" w:line="299" w:lineRule="auto"/>
        <w:rPr>
          <w:sz w:val="20"/>
          <w:szCs w:val="20"/>
          <w:color w:val="auto"/>
        </w:rPr>
      </w:pPr>
      <w:r>
        <w:rPr>
          <w:rFonts w:ascii="Arial" w:cs="Arial" w:eastAsia="Arial" w:hAnsi="Arial"/>
          <w:sz w:val="16"/>
          <w:szCs w:val="16"/>
          <w:color w:val="auto"/>
        </w:rPr>
        <w:t>Valuation allowances against state tax benefits, net of U.S. Federal tax Stock-based compensation</w:t>
      </w:r>
    </w:p>
    <w:p>
      <w:pPr>
        <w:spacing w:after="0" w:line="1" w:lineRule="exact"/>
        <w:rPr>
          <w:sz w:val="20"/>
          <w:szCs w:val="20"/>
          <w:color w:val="auto"/>
        </w:rPr>
      </w:pPr>
    </w:p>
    <w:p>
      <w:pPr>
        <w:ind w:left="20" w:right="2300"/>
        <w:spacing w:after="0" w:line="324" w:lineRule="auto"/>
        <w:rPr>
          <w:sz w:val="20"/>
          <w:szCs w:val="20"/>
          <w:color w:val="auto"/>
        </w:rPr>
      </w:pPr>
      <w:r>
        <w:rPr>
          <w:rFonts w:ascii="Arial" w:cs="Arial" w:eastAsia="Arial" w:hAnsi="Arial"/>
          <w:sz w:val="16"/>
          <w:szCs w:val="16"/>
          <w:color w:val="auto"/>
        </w:rPr>
        <w:t>Valuation allowances against other non-U.S. income tax benefits Other,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Provision for Income Taxes</w:t>
      </w:r>
    </w:p>
    <w:p>
      <w:pPr>
        <w:spacing w:after="0" w:line="20" w:lineRule="exact"/>
        <w:rPr>
          <w:sz w:val="20"/>
          <w:szCs w:val="20"/>
          <w:color w:val="auto"/>
        </w:rPr>
      </w:pPr>
      <w:r>
        <w:rPr>
          <w:sz w:val="20"/>
          <w:szCs w:val="20"/>
          <w:color w:val="auto"/>
        </w:rPr>
        <w:br w:type="column"/>
      </w:r>
    </w:p>
    <w:p>
      <w:pPr>
        <w:spacing w:after="0"/>
        <w:tabs>
          <w:tab w:leader="none" w:pos="500" w:val="left"/>
          <w:tab w:leader="none" w:pos="1200" w:val="left"/>
          <w:tab w:leader="none" w:pos="1740" w:val="left"/>
          <w:tab w:leader="none" w:pos="2440" w:val="left"/>
          <w:tab w:leader="none" w:pos="29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85,526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89,561</w:t>
        <w:tab/>
        <w:t>$</w:t>
      </w:r>
      <w:r>
        <w:rPr>
          <w:sz w:val="20"/>
          <w:szCs w:val="20"/>
          <w:color w:val="auto"/>
        </w:rPr>
        <w:tab/>
      </w:r>
      <w:r>
        <w:rPr>
          <w:rFonts w:ascii="Arial" w:cs="Arial" w:eastAsia="Arial" w:hAnsi="Arial"/>
          <w:sz w:val="16"/>
          <w:szCs w:val="16"/>
          <w:color w:val="auto"/>
        </w:rPr>
        <w:t>67,937</w:t>
      </w:r>
    </w:p>
    <w:p>
      <w:pPr>
        <w:spacing w:after="0" w:line="46" w:lineRule="exact"/>
        <w:rPr>
          <w:sz w:val="20"/>
          <w:szCs w:val="20"/>
          <w:color w:val="auto"/>
        </w:rPr>
      </w:pPr>
    </w:p>
    <w:p>
      <w:pPr>
        <w:jc w:val="both"/>
        <w:ind w:left="520"/>
        <w:spacing w:after="0"/>
        <w:tabs>
          <w:tab w:leader="none" w:pos="1760" w:val="left"/>
          <w:tab w:leader="none" w:pos="3000" w:val="left"/>
        </w:tabs>
        <w:rPr>
          <w:sz w:val="20"/>
          <w:szCs w:val="20"/>
          <w:color w:val="auto"/>
        </w:rPr>
      </w:pPr>
      <w:r>
        <w:rPr>
          <w:rFonts w:ascii="Arial" w:cs="Arial" w:eastAsia="Arial" w:hAnsi="Arial"/>
          <w:sz w:val="16"/>
          <w:szCs w:val="16"/>
          <w:b w:val="1"/>
          <w:bCs w:val="1"/>
          <w:color w:val="auto"/>
        </w:rPr>
        <w:t>15,366</w:t>
      </w:r>
      <w:r>
        <w:rPr>
          <w:sz w:val="20"/>
          <w:szCs w:val="20"/>
          <w:color w:val="auto"/>
        </w:rPr>
        <w:tab/>
      </w:r>
      <w:r>
        <w:rPr>
          <w:rFonts w:ascii="Arial" w:cs="Arial" w:eastAsia="Arial" w:hAnsi="Arial"/>
          <w:sz w:val="16"/>
          <w:szCs w:val="16"/>
          <w:color w:val="auto"/>
        </w:rPr>
        <w:t>(4,064)</w:t>
      </w:r>
      <w:r>
        <w:rPr>
          <w:sz w:val="20"/>
          <w:szCs w:val="20"/>
          <w:color w:val="auto"/>
        </w:rPr>
        <w:tab/>
      </w:r>
      <w:r>
        <w:rPr>
          <w:rFonts w:ascii="Arial" w:cs="Arial" w:eastAsia="Arial" w:hAnsi="Arial"/>
          <w:sz w:val="15"/>
          <w:szCs w:val="15"/>
          <w:color w:val="auto"/>
        </w:rPr>
        <w:t>(1,279)</w:t>
      </w:r>
    </w:p>
    <w:p>
      <w:pPr>
        <w:spacing w:after="0" w:line="46" w:lineRule="exact"/>
        <w:rPr>
          <w:sz w:val="20"/>
          <w:szCs w:val="20"/>
          <w:color w:val="auto"/>
        </w:rPr>
      </w:pPr>
    </w:p>
    <w:p>
      <w:pPr>
        <w:jc w:val="both"/>
        <w:ind w:left="560"/>
        <w:spacing w:after="0"/>
        <w:tabs>
          <w:tab w:leader="none" w:pos="1740" w:val="left"/>
          <w:tab w:leader="none" w:pos="2900" w:val="left"/>
        </w:tabs>
        <w:rPr>
          <w:sz w:val="20"/>
          <w:szCs w:val="20"/>
          <w:color w:val="auto"/>
        </w:rPr>
      </w:pPr>
      <w:r>
        <w:rPr>
          <w:rFonts w:ascii="Arial" w:cs="Arial" w:eastAsia="Arial" w:hAnsi="Arial"/>
          <w:sz w:val="16"/>
          <w:szCs w:val="16"/>
          <w:b w:val="1"/>
          <w:bCs w:val="1"/>
          <w:color w:val="auto"/>
        </w:rPr>
        <w:t>(5,067)</w:t>
      </w:r>
      <w:r>
        <w:rPr>
          <w:sz w:val="20"/>
          <w:szCs w:val="20"/>
          <w:color w:val="auto"/>
        </w:rPr>
        <w:tab/>
      </w:r>
      <w:r>
        <w:rPr>
          <w:rFonts w:ascii="Arial" w:cs="Arial" w:eastAsia="Arial" w:hAnsi="Arial"/>
          <w:sz w:val="16"/>
          <w:szCs w:val="16"/>
          <w:color w:val="auto"/>
        </w:rPr>
        <w:t>11,632</w:t>
      </w:r>
      <w:r>
        <w:rPr>
          <w:sz w:val="20"/>
          <w:szCs w:val="20"/>
          <w:color w:val="auto"/>
        </w:rPr>
        <w:tab/>
      </w:r>
      <w:r>
        <w:rPr>
          <w:rFonts w:ascii="Arial" w:cs="Arial" w:eastAsia="Arial" w:hAnsi="Arial"/>
          <w:sz w:val="16"/>
          <w:szCs w:val="16"/>
          <w:color w:val="auto"/>
        </w:rPr>
        <w:t>(15,767)</w:t>
      </w:r>
    </w:p>
    <w:p>
      <w:pPr>
        <w:spacing w:after="0" w:line="46" w:lineRule="exact"/>
        <w:rPr>
          <w:sz w:val="20"/>
          <w:szCs w:val="20"/>
          <w:color w:val="auto"/>
        </w:rPr>
      </w:pPr>
    </w:p>
    <w:p>
      <w:pPr>
        <w:jc w:val="both"/>
        <w:ind w:left="620"/>
        <w:spacing w:after="0"/>
        <w:tabs>
          <w:tab w:leader="none" w:pos="1760" w:val="left"/>
          <w:tab w:leader="none" w:pos="3000" w:val="left"/>
        </w:tabs>
        <w:rPr>
          <w:sz w:val="20"/>
          <w:szCs w:val="20"/>
          <w:color w:val="auto"/>
        </w:rPr>
      </w:pPr>
      <w:r>
        <w:rPr>
          <w:rFonts w:ascii="Arial" w:cs="Arial" w:eastAsia="Arial" w:hAnsi="Arial"/>
          <w:sz w:val="16"/>
          <w:szCs w:val="16"/>
          <w:b w:val="1"/>
          <w:bCs w:val="1"/>
          <w:color w:val="auto"/>
        </w:rPr>
        <w:t>2,048</w:t>
      </w:r>
      <w:r>
        <w:rPr>
          <w:sz w:val="20"/>
          <w:szCs w:val="20"/>
          <w:color w:val="auto"/>
        </w:rPr>
        <w:tab/>
      </w:r>
      <w:r>
        <w:rPr>
          <w:rFonts w:ascii="Arial" w:cs="Arial" w:eastAsia="Arial" w:hAnsi="Arial"/>
          <w:sz w:val="16"/>
          <w:szCs w:val="16"/>
          <w:color w:val="auto"/>
        </w:rPr>
        <w:t>(1,743)</w:t>
      </w:r>
      <w:r>
        <w:rPr>
          <w:sz w:val="20"/>
          <w:szCs w:val="20"/>
          <w:color w:val="auto"/>
        </w:rPr>
        <w:tab/>
      </w:r>
      <w:r>
        <w:rPr>
          <w:rFonts w:ascii="Arial" w:cs="Arial" w:eastAsia="Arial" w:hAnsi="Arial"/>
          <w:sz w:val="15"/>
          <w:szCs w:val="15"/>
          <w:color w:val="auto"/>
        </w:rPr>
        <w:t>(1,731)</w:t>
      </w:r>
    </w:p>
    <w:p>
      <w:pPr>
        <w:spacing w:after="0" w:line="46" w:lineRule="exact"/>
        <w:rPr>
          <w:sz w:val="20"/>
          <w:szCs w:val="20"/>
          <w:color w:val="auto"/>
        </w:rPr>
      </w:pPr>
    </w:p>
    <w:p>
      <w:pPr>
        <w:ind w:left="620"/>
        <w:spacing w:after="0"/>
        <w:tabs>
          <w:tab w:leader="none" w:pos="1820" w:val="left"/>
          <w:tab w:leader="none" w:pos="3060" w:val="left"/>
        </w:tabs>
        <w:rPr>
          <w:sz w:val="20"/>
          <w:szCs w:val="20"/>
          <w:color w:val="auto"/>
        </w:rPr>
      </w:pPr>
      <w:r>
        <w:rPr>
          <w:rFonts w:ascii="Arial" w:cs="Arial" w:eastAsia="Arial" w:hAnsi="Arial"/>
          <w:sz w:val="16"/>
          <w:szCs w:val="16"/>
          <w:b w:val="1"/>
          <w:bCs w:val="1"/>
          <w:color w:val="auto"/>
        </w:rPr>
        <w:t>2,445</w:t>
      </w:r>
      <w:r>
        <w:rPr>
          <w:sz w:val="20"/>
          <w:szCs w:val="20"/>
          <w:color w:val="auto"/>
        </w:rPr>
        <w:tab/>
      </w:r>
      <w:r>
        <w:rPr>
          <w:rFonts w:ascii="Arial" w:cs="Arial" w:eastAsia="Arial" w:hAnsi="Arial"/>
          <w:sz w:val="16"/>
          <w:szCs w:val="16"/>
          <w:color w:val="auto"/>
        </w:rPr>
        <w:t>1,202</w:t>
      </w:r>
      <w:r>
        <w:rPr>
          <w:sz w:val="20"/>
          <w:szCs w:val="20"/>
          <w:color w:val="auto"/>
        </w:rPr>
        <w:tab/>
      </w:r>
      <w:r>
        <w:rPr>
          <w:rFonts w:ascii="Arial" w:cs="Arial" w:eastAsia="Arial" w:hAnsi="Arial"/>
          <w:sz w:val="15"/>
          <w:szCs w:val="15"/>
          <w:color w:val="auto"/>
        </w:rPr>
        <w:t>1,322</w:t>
      </w:r>
    </w:p>
    <w:p>
      <w:pPr>
        <w:spacing w:after="0" w:line="46" w:lineRule="exact"/>
        <w:rPr>
          <w:sz w:val="20"/>
          <w:szCs w:val="20"/>
          <w:color w:val="auto"/>
        </w:rPr>
      </w:pPr>
    </w:p>
    <w:p>
      <w:pPr>
        <w:ind w:left="620"/>
        <w:spacing w:after="0"/>
        <w:tabs>
          <w:tab w:leader="none" w:pos="1820" w:val="left"/>
          <w:tab w:leader="none" w:pos="3060" w:val="left"/>
        </w:tabs>
        <w:rPr>
          <w:sz w:val="20"/>
          <w:szCs w:val="20"/>
          <w:color w:val="auto"/>
        </w:rPr>
      </w:pPr>
      <w:r>
        <w:rPr>
          <w:rFonts w:ascii="Arial" w:cs="Arial" w:eastAsia="Arial" w:hAnsi="Arial"/>
          <w:sz w:val="16"/>
          <w:szCs w:val="16"/>
          <w:b w:val="1"/>
          <w:bCs w:val="1"/>
          <w:color w:val="auto"/>
        </w:rPr>
        <w:t>6,982</w:t>
      </w:r>
      <w:r>
        <w:rPr>
          <w:sz w:val="20"/>
          <w:szCs w:val="20"/>
          <w:color w:val="auto"/>
        </w:rPr>
        <w:tab/>
      </w:r>
      <w:r>
        <w:rPr>
          <w:rFonts w:ascii="Arial" w:cs="Arial" w:eastAsia="Arial" w:hAnsi="Arial"/>
          <w:sz w:val="16"/>
          <w:szCs w:val="16"/>
          <w:color w:val="auto"/>
        </w:rPr>
        <w:t>2,012</w:t>
      </w:r>
      <w:r>
        <w:rPr>
          <w:sz w:val="20"/>
          <w:szCs w:val="20"/>
          <w:color w:val="auto"/>
        </w:rPr>
        <w:tab/>
      </w:r>
      <w:r>
        <w:rPr>
          <w:rFonts w:ascii="Arial" w:cs="Arial" w:eastAsia="Arial" w:hAnsi="Arial"/>
          <w:sz w:val="15"/>
          <w:szCs w:val="15"/>
          <w:color w:val="auto"/>
        </w:rPr>
        <w:t>1,618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22720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39" w:lineRule="exact"/>
        <w:rPr>
          <w:sz w:val="20"/>
          <w:szCs w:val="20"/>
          <w:color w:val="auto"/>
        </w:rPr>
      </w:pPr>
    </w:p>
    <w:p>
      <w:pPr>
        <w:spacing w:after="0"/>
        <w:tabs>
          <w:tab w:leader="none" w:pos="420" w:val="left"/>
          <w:tab w:leader="none" w:pos="1200" w:val="left"/>
          <w:tab w:leader="none" w:pos="1740" w:val="left"/>
          <w:tab w:leader="none" w:pos="2440" w:val="left"/>
          <w:tab w:leader="none" w:pos="29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107,300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98,600</w:t>
        <w:tab/>
        <w:t>$</w:t>
      </w:r>
      <w:r>
        <w:rPr>
          <w:sz w:val="20"/>
          <w:szCs w:val="20"/>
          <w:color w:val="auto"/>
        </w:rPr>
        <w:tab/>
      </w:r>
      <w:r>
        <w:rPr>
          <w:rFonts w:ascii="Arial" w:cs="Arial" w:eastAsia="Arial" w:hAnsi="Arial"/>
          <w:sz w:val="16"/>
          <w:szCs w:val="16"/>
          <w:color w:val="auto"/>
        </w:rPr>
        <w:t>52,100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22720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2272030"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59055</wp:posOffset>
            </wp:positionV>
            <wp:extent cx="22720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6940" w:space="720"/>
            <w:col w:w="3560"/>
          </w:cols>
          <w:pgMar w:left="320" w:top="1035" w:right="359" w:bottom="976"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2019</w:t>
            </w: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color w:val="auto"/>
              </w:rPr>
              <w:t>Employee benefit obligations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72,787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69,013</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3,795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53,499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51,608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State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State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18,272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1,765</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U.S. Federal foreign income tax credit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992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income tax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15,802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15,214</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Non-U.S. capital loss carryforwards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3,925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3,583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74,240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84,923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6,214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250,096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236,678</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(47,217)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(46,243)</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Assets,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202,879</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190,435</w:t>
            </w:r>
          </w:p>
        </w:tc>
      </w:tr>
      <w:tr>
        <w:trPr>
          <w:trHeight w:val="217"/>
        </w:trPr>
        <w:tc>
          <w:tcPr>
            <w:tcW w:w="8860" w:type="dxa"/>
            <w:vAlign w:val="bottom"/>
          </w:tcPr>
          <w:p>
            <w:pPr>
              <w:ind w:left="20"/>
              <w:spacing w:after="0"/>
              <w:rPr>
                <w:sz w:val="20"/>
                <w:szCs w:val="20"/>
                <w:color w:val="auto"/>
              </w:rPr>
            </w:pPr>
            <w:r>
              <w:rPr>
                <w:rFonts w:ascii="Arial" w:cs="Arial" w:eastAsia="Arial" w:hAnsi="Arial"/>
                <w:sz w:val="16"/>
                <w:szCs w:val="16"/>
                <w:color w:val="auto"/>
              </w:rPr>
              <w:t>Prepaid pension cost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457,644</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345,856</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Unrealized gain on available-for-sale securities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88,371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75,709</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90,921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92,233</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15,807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16,303</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color w:val="auto"/>
              </w:rPr>
              <w:t>Leases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61,148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74,407</w:t>
            </w:r>
          </w:p>
        </w:tc>
      </w:tr>
      <w:tr>
        <w:trPr>
          <w:trHeight w:val="230"/>
        </w:trPr>
        <w:tc>
          <w:tcPr>
            <w:tcW w:w="8860" w:type="dxa"/>
            <w:vAlign w:val="bottom"/>
          </w:tcPr>
          <w:p>
            <w:pPr>
              <w:ind w:left="20"/>
              <w:spacing w:after="0"/>
              <w:rPr>
                <w:sz w:val="20"/>
                <w:szCs w:val="20"/>
                <w:color w:val="auto"/>
              </w:rPr>
            </w:pPr>
            <w:r>
              <w:rPr>
                <w:rFonts w:ascii="Arial" w:cs="Arial" w:eastAsia="Arial" w:hAnsi="Arial"/>
                <w:sz w:val="16"/>
                <w:szCs w:val="16"/>
                <w:color w:val="auto"/>
              </w:rPr>
              <w:t>Non-U.S. withholding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1,866</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w:t>
            </w: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715,757</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606,178</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Deferred Income Tax Liabilities, Net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512,878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415,743</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5" w:right="359" w:bottom="976"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976" w:gutter="0" w:footer="0" w:header="0"/>
          <w:type w:val="continuous"/>
        </w:sectPr>
      </w:pPr>
    </w:p>
    <w:bookmarkStart w:id="94" w:name="page95"/>
    <w:bookmarkEnd w:id="94"/>
    <w:p>
      <w:pPr>
        <w:ind w:right="260"/>
        <w:spacing w:after="0" w:line="260" w:lineRule="auto"/>
        <w:rPr>
          <w:sz w:val="20"/>
          <w:szCs w:val="20"/>
          <w:color w:val="auto"/>
        </w:rPr>
      </w:pPr>
      <w:r>
        <w:rPr>
          <w:rFonts w:ascii="Arial" w:cs="Arial" w:eastAsia="Arial" w:hAnsi="Arial"/>
          <w:sz w:val="18"/>
          <w:szCs w:val="18"/>
          <w:color w:val="auto"/>
        </w:rPr>
        <w:t>The Company has $875.0 million of state income tax net operating loss carryforwards available to offset future state taxable income. State income tax loss carryforwards, if unutilized, will start to expire approximately as follows: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25"/>
        </w:trPr>
        <w:tc>
          <w:tcPr>
            <w:tcW w:w="1030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29"/>
        </w:trPr>
        <w:tc>
          <w:tcPr>
            <w:tcW w:w="10300" w:type="dxa"/>
            <w:vAlign w:val="bottom"/>
          </w:tcPr>
          <w:p>
            <w:pPr>
              <w:ind w:left="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30"/>
        </w:trPr>
        <w:tc>
          <w:tcPr>
            <w:tcW w:w="1030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29"/>
        </w:trPr>
        <w:tc>
          <w:tcPr>
            <w:tcW w:w="10300" w:type="dxa"/>
            <w:vAlign w:val="bottom"/>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39"/>
        </w:trPr>
        <w:tc>
          <w:tcPr>
            <w:tcW w:w="10300" w:type="dxa"/>
            <w:vAlign w:val="bottom"/>
          </w:tcPr>
          <w:p>
            <w:pPr>
              <w:ind w:left="20"/>
              <w:spacing w:after="0"/>
              <w:rPr>
                <w:sz w:val="20"/>
                <w:szCs w:val="20"/>
                <w:color w:val="auto"/>
              </w:rPr>
            </w:pPr>
            <w:r>
              <w:rPr>
                <w:rFonts w:ascii="Arial" w:cs="Arial" w:eastAsia="Arial" w:hAnsi="Arial"/>
                <w:sz w:val="16"/>
                <w:szCs w:val="16"/>
                <w:color w:val="auto"/>
              </w:rPr>
              <w:t>2026 and after</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828.7</w:t>
            </w:r>
          </w:p>
        </w:tc>
      </w:tr>
      <w:tr>
        <w:trPr>
          <w:trHeight w:val="229"/>
        </w:trPr>
        <w:tc>
          <w:tcPr>
            <w:tcW w:w="103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875.0</w:t>
            </w:r>
          </w:p>
        </w:tc>
      </w:tr>
      <w:tr>
        <w:trPr>
          <w:trHeight w:val="21"/>
        </w:trPr>
        <w:tc>
          <w:tcPr>
            <w:tcW w:w="10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 has recorded at December 31, 2020, $53.5 million in deferred state income tax assets, net of U.S. Federal income tax, with respect to these state income tax loss carryforwards. The Company has established $29.0 million in valuation allowances against these deferred state income tax assets, since the Company has determined that it is more likely than not that some of these state tax losses may not be fully utilized in the future to reduce state taxable income. During 2018, the Company’s education division released valuation allowances recorded against state deferred tax assets, net of U.S. Federal tax, of approximately $20.0 million because the education division generated positive operating results that support the realization of these deferred tax assets.</w:t>
      </w:r>
    </w:p>
    <w:p>
      <w:pPr>
        <w:spacing w:after="0" w:line="11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Company has $87.0 million of U.S. Federal income tax loss carryforwards obtained as a result of prior stock acquisitions. U.S. Federal income tax loss carryforwards are expected to be fully utilized as follows: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25"/>
        </w:trPr>
        <w:tc>
          <w:tcPr>
            <w:tcW w:w="1042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0"/>
        </w:trPr>
        <w:tc>
          <w:tcPr>
            <w:tcW w:w="1042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9"/>
        </w:trPr>
        <w:tc>
          <w:tcPr>
            <w:tcW w:w="10420" w:type="dxa"/>
            <w:vAlign w:val="bottom"/>
          </w:tcPr>
          <w:p>
            <w:pPr>
              <w:ind w:left="20"/>
              <w:spacing w:after="0"/>
              <w:rPr>
                <w:sz w:val="20"/>
                <w:szCs w:val="20"/>
                <w:color w:val="auto"/>
              </w:rPr>
            </w:pPr>
            <w:r>
              <w:rPr>
                <w:rFonts w:ascii="Arial" w:cs="Arial" w:eastAsia="Arial" w:hAnsi="Arial"/>
                <w:sz w:val="16"/>
                <w:szCs w:val="16"/>
                <w:color w:val="auto"/>
              </w:rPr>
              <w:t>2026 and after</w:t>
            </w: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r>
      <w:tr>
        <w:trPr>
          <w:trHeight w:val="229"/>
        </w:trPr>
        <w:tc>
          <w:tcPr>
            <w:tcW w:w="104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w:t>
            </w:r>
          </w:p>
        </w:tc>
      </w:tr>
      <w:tr>
        <w:trPr>
          <w:trHeight w:val="20"/>
        </w:trPr>
        <w:tc>
          <w:tcPr>
            <w:tcW w:w="10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Company has established at December 31, 2020, $18.3 million in U.S. Federal deferred tax assets with respect to these U.S. Federal income tax loss carryforwards.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For U.S. Federal income tax purposes, the Company has $1.0 million of foreign tax credits available to be credited against future U.S.</w:t>
      </w:r>
    </w:p>
    <w:p>
      <w:pPr>
        <w:spacing w:after="0" w:line="223" w:lineRule="auto"/>
        <w:rPr>
          <w:sz w:val="20"/>
          <w:szCs w:val="20"/>
          <w:color w:val="auto"/>
        </w:rPr>
      </w:pPr>
      <w:r>
        <w:rPr>
          <w:rFonts w:ascii="Arial" w:cs="Arial" w:eastAsia="Arial" w:hAnsi="Arial"/>
          <w:sz w:val="18"/>
          <w:szCs w:val="18"/>
          <w:color w:val="auto"/>
        </w:rPr>
        <w:t>Federal income tax liabilities. If unutilized, these foreign tax credits will start to expire in 2023. The Company has established at</w:t>
      </w:r>
    </w:p>
    <w:p>
      <w:pPr>
        <w:spacing w:after="0" w:line="219" w:lineRule="auto"/>
        <w:rPr>
          <w:sz w:val="20"/>
          <w:szCs w:val="20"/>
          <w:color w:val="auto"/>
        </w:rPr>
      </w:pPr>
      <w:r>
        <w:rPr>
          <w:rFonts w:ascii="Arial" w:cs="Arial" w:eastAsia="Arial" w:hAnsi="Arial"/>
          <w:sz w:val="18"/>
          <w:szCs w:val="18"/>
          <w:color w:val="auto"/>
        </w:rPr>
        <w:t>December 31, 2020, $1.0 million of U.S. Federal deferred tax assets with respect to these U.S. Federal foreign tax credit carryforwards, and</w:t>
      </w:r>
    </w:p>
    <w:p>
      <w:pPr>
        <w:spacing w:after="0" w:line="220" w:lineRule="auto"/>
        <w:rPr>
          <w:sz w:val="20"/>
          <w:szCs w:val="20"/>
          <w:color w:val="auto"/>
        </w:rPr>
      </w:pPr>
      <w:r>
        <w:rPr>
          <w:rFonts w:ascii="Arial" w:cs="Arial" w:eastAsia="Arial" w:hAnsi="Arial"/>
          <w:sz w:val="18"/>
          <w:szCs w:val="18"/>
          <w:color w:val="auto"/>
        </w:rPr>
        <w:t>the Company has recorded a full valuation allowance against these deferred tax assets since the Company determined that it is more likely</w:t>
      </w:r>
    </w:p>
    <w:p>
      <w:pPr>
        <w:spacing w:after="0"/>
        <w:rPr>
          <w:sz w:val="20"/>
          <w:szCs w:val="20"/>
          <w:color w:val="auto"/>
        </w:rPr>
      </w:pPr>
      <w:r>
        <w:rPr>
          <w:rFonts w:ascii="Arial" w:cs="Arial" w:eastAsia="Arial" w:hAnsi="Arial"/>
          <w:sz w:val="18"/>
          <w:szCs w:val="18"/>
          <w:color w:val="auto"/>
        </w:rPr>
        <w:t>than not these foreign tax credit carryforwards may not be utilized in the future to reduce U.S. Federal income taxes.</w:t>
      </w:r>
    </w:p>
    <w:p>
      <w:pPr>
        <w:spacing w:after="0" w:line="12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Company has $71.4 million of non-U.S. income tax loss carryforwards as a result of operating losses and carryforwards obtained through prior stock acquisitions that are available to offset future non-U.S. taxable income and has recorded, with respect to these losses, $15.8 million in non-U.S. deferred income tax assets. The Company has established $10.5 million in valuation allowances against the deferred tax assets for the portion of non-U.S. tax losses that may not be utilized to reduce future non-U.S. taxable income. The $71.4 million of non-U.S. income tax loss carryforwards consist of $39.5 million in losses that may be carried forward indefinitely; $10.9 million of losses that, if unutilized, will expire in varying amounts through 2025; and $21.0 million of losses that, if unutilized, will start to expire after 2025.</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has $13.1 million of non-U.S. capital loss carryforwards that may be carried forward indefinitely and are available to offset future non-U.S. capital gains. The Company recorded a $3.9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jc w:val="center"/>
              <w:ind w:right="84"/>
              <w:spacing w:after="0"/>
              <w:rPr>
                <w:sz w:val="20"/>
                <w:szCs w:val="20"/>
                <w:color w:val="auto"/>
              </w:rPr>
            </w:pPr>
            <w:r>
              <w:rPr>
                <w:rFonts w:ascii="Arial" w:cs="Arial" w:eastAsia="Arial" w:hAnsi="Arial"/>
                <w:sz w:val="14"/>
                <w:szCs w:val="14"/>
                <w:b w:val="1"/>
                <w:bCs w:val="1"/>
                <w:color w:val="auto"/>
              </w:rPr>
              <w:t>Balance at</w:t>
            </w:r>
          </w:p>
        </w:tc>
        <w:tc>
          <w:tcPr>
            <w:tcW w:w="13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Tax Expense and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 End</w:t>
            </w:r>
          </w:p>
        </w:tc>
        <w:tc>
          <w:tcPr>
            <w:tcW w:w="0" w:type="dxa"/>
            <w:vAlign w:val="bottom"/>
          </w:tcPr>
          <w:p>
            <w:pPr>
              <w:spacing w:after="0"/>
              <w:rPr>
                <w:sz w:val="1"/>
                <w:szCs w:val="1"/>
                <w:color w:val="auto"/>
              </w:rPr>
            </w:pPr>
          </w:p>
        </w:tc>
      </w:tr>
      <w:tr>
        <w:trPr>
          <w:trHeight w:val="148"/>
        </w:trPr>
        <w:tc>
          <w:tcPr>
            <w:tcW w:w="3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380" w:type="dxa"/>
            <w:vAlign w:val="bottom"/>
          </w:tcPr>
          <w:p>
            <w:pPr>
              <w:spacing w:after="0"/>
              <w:rPr>
                <w:sz w:val="12"/>
                <w:szCs w:val="12"/>
                <w:color w:val="auto"/>
              </w:rPr>
            </w:pPr>
          </w:p>
        </w:tc>
        <w:tc>
          <w:tcPr>
            <w:tcW w:w="112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rPr>
              <w:t>Beginning of</w:t>
            </w: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2"/>
                <w:szCs w:val="12"/>
                <w:color w:val="auto"/>
              </w:rPr>
            </w:pPr>
          </w:p>
        </w:tc>
        <w:tc>
          <w:tcPr>
            <w:tcW w:w="98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02"/>
        </w:trPr>
        <w:tc>
          <w:tcPr>
            <w:tcW w:w="374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Revaluation</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7"/>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2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b w:val="1"/>
                <w:bCs w:val="1"/>
                <w:color w:val="auto"/>
              </w:rPr>
              <w:t>46,243</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7,303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(6,329)</w:t>
            </w:r>
          </w:p>
        </w:tc>
        <w:tc>
          <w:tcPr>
            <w:tcW w:w="30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3"/>
              <w:spacing w:after="0"/>
              <w:rPr>
                <w:sz w:val="20"/>
                <w:szCs w:val="20"/>
                <w:color w:val="auto"/>
              </w:rPr>
            </w:pPr>
            <w:r>
              <w:rPr>
                <w:rFonts w:ascii="Arial" w:cs="Arial" w:eastAsia="Arial" w:hAnsi="Arial"/>
                <w:sz w:val="16"/>
                <w:szCs w:val="16"/>
                <w:b w:val="1"/>
                <w:bCs w:val="1"/>
                <w:color w:val="auto"/>
              </w:rPr>
              <w:t>47,217</w:t>
            </w:r>
          </w:p>
        </w:tc>
        <w:tc>
          <w:tcPr>
            <w:tcW w:w="0" w:type="dxa"/>
            <w:vAlign w:val="bottom"/>
          </w:tcPr>
          <w:p>
            <w:pPr>
              <w:spacing w:after="0"/>
              <w:rPr>
                <w:sz w:val="1"/>
                <w:szCs w:val="1"/>
                <w:color w:val="auto"/>
              </w:rPr>
            </w:pPr>
          </w:p>
        </w:tc>
      </w:tr>
      <w:tr>
        <w:trPr>
          <w:trHeight w:val="221"/>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2019</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33,120</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14,512</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(1,389)</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46,243</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2380" w:type="dxa"/>
            <w:vAlign w:val="bottom"/>
          </w:tcPr>
          <w:p>
            <w:pPr>
              <w:spacing w:after="0"/>
              <w:rPr>
                <w:sz w:val="19"/>
                <w:szCs w:val="19"/>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48,742</w:t>
            </w:r>
          </w:p>
        </w:tc>
        <w:tc>
          <w:tcPr>
            <w:tcW w:w="22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4,413</w:t>
            </w:r>
          </w:p>
        </w:tc>
        <w:tc>
          <w:tcPr>
            <w:tcW w:w="22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(20,035)</w:t>
            </w:r>
          </w:p>
        </w:tc>
        <w:tc>
          <w:tcPr>
            <w:tcW w:w="300" w:type="dxa"/>
            <w:vAlign w:val="bottom"/>
          </w:tcPr>
          <w:p>
            <w:pPr>
              <w:spacing w:after="0"/>
              <w:rPr>
                <w:sz w:val="19"/>
                <w:szCs w:val="19"/>
                <w:color w:val="auto"/>
              </w:rPr>
            </w:pPr>
          </w:p>
        </w:tc>
        <w:tc>
          <w:tcPr>
            <w:tcW w:w="980" w:type="dxa"/>
            <w:vAlign w:val="bottom"/>
          </w:tcPr>
          <w:p>
            <w:pPr>
              <w:jc w:val="right"/>
              <w:ind w:right="3"/>
              <w:spacing w:after="0"/>
              <w:rPr>
                <w:sz w:val="20"/>
                <w:szCs w:val="20"/>
                <w:color w:val="auto"/>
              </w:rPr>
            </w:pPr>
            <w:r>
              <w:rPr>
                <w:rFonts w:ascii="Arial" w:cs="Arial" w:eastAsia="Arial" w:hAnsi="Arial"/>
                <w:sz w:val="16"/>
                <w:szCs w:val="16"/>
                <w:color w:val="auto"/>
              </w:rPr>
              <w:t>33,120</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has established $31.1 million in valuation allowances against deferred state tax assets recognized, net of U.S. Federal tax. As stated above, approximately $29.0 million of the valuation allowances, net of U.S. Federal income tax, relate to state income tax loss carryforwards. In most instances, the Company has established valuation allowances against deferred state income tax assets without considering potentially offsetting deferred tax liabilities established with respect to prepaid pension cost and goodwill. Prepaid pension cost and goodwill have not been considered a source of future taxable income for realizing those deferred state tax assets recognized since these temporary differences are not likely to reverse in the foreseeable future. However, certain deferred state tax assets have an indefinite life. As a result, the Company has considered deferred tax liabilities for prepaid pension cost and goodwill as a source of future taxable income for realizing those deferred state tax assets. The valuation allowances established against deferred state income tax assets may increase or decrease within the next 12 months, based on operating results or the market value of investment holdings. Within the next 12 months, the Company expects to release valuation allowance against deferred state income tax assets at the healthcare division, and it expects to establish additional valuation allowances against deferred state income tax assets at the manufacturing division. The Company will monitor future results on a quarterly basis to determine whether the valuation allowances provided against deferred state tax assets should be increased or decreased as future circumstances warrant. The Company’s education division released valuation allowances against state deferred tax assets of $20.0 million during 2018, as the education division generated positive operating results that support the realization of these deferred tax assets.</w:t>
      </w:r>
    </w:p>
    <w:p>
      <w:pPr>
        <w:spacing w:after="0" w:line="11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The Company has established $ 14.9 million in valuation allowances against non-U.S. deferred tax assets, and, as stated above, $10.5 million of the non-U.S. valuation allowances relate to non-U.S. income tax loss carryforwards and $ 3.9 million relate to non-U.S. capital loss carryforwards. Valuation allowances established against non-U.S. deferred tax assets are recorded at the education division and other businesses. These non-U.S. valuation allowances may increase or decrease within the next 12 months, based on operating results. As a result, the Company is unable to estimate the potential tax impact, given the uncertain operating environment. The Company will monitor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Tax Cuts and Jobs Act (the Tax Act) generally provides a 100% dividends received deduction for distributions from non-U.S. subsidiaries after December 31, 2017. The Tax Act established a new regime, the Global Intangible Low Taxed Income (GILTI) tax, that may currently subject to U.S. tax the operations of non-U.S. subsidiaries. The GILTI tax is imposed annually based on all current year non-U.S. operations starting January 1, 2018. The Company has elected to record the GILTI tax regime as a periodic tax expense for book purposes. Annually, the Company may elect to credit or deduct foreign taxes for U.S. Federal tax purposes. For the year ended December 31, 2020, the Company plans to elect to credit foreign taxes. The GILTI tax recorded, net of foreign taxes credited, for the years ended December 31, 2020, 2019, and 2018 is not material.</w:t>
      </w:r>
    </w:p>
    <w:p>
      <w:pPr>
        <w:spacing w:after="0" w:line="109" w:lineRule="exact"/>
        <w:rPr>
          <w:sz w:val="20"/>
          <w:szCs w:val="20"/>
          <w:color w:val="auto"/>
        </w:rPr>
      </w:pPr>
    </w:p>
    <w:p>
      <w:pPr>
        <w:jc w:val="both"/>
        <w:ind w:right="200"/>
        <w:spacing w:after="0" w:line="239" w:lineRule="auto"/>
        <w:rPr>
          <w:sz w:val="20"/>
          <w:szCs w:val="20"/>
          <w:color w:val="auto"/>
        </w:rPr>
      </w:pPr>
      <w:r>
        <w:rPr>
          <w:rFonts w:ascii="Arial" w:cs="Arial" w:eastAsia="Arial" w:hAnsi="Arial"/>
          <w:sz w:val="18"/>
          <w:szCs w:val="18"/>
          <w:color w:val="auto"/>
        </w:rPr>
        <w:t>The Company estimates that unremitted non-U.S. subsidiary earnings, when distributed, will not be subject to tax except to the extent non-U.S. withholding taxes are imposed. Approximately $1.9 million of deferred tax liabilities remained recorded on the books at December 31, 2020 with respect to future non-U.S. withholding taxes the Company estimated may be imposed on future cash distributions.</w:t>
      </w:r>
    </w:p>
    <w:p>
      <w:pPr>
        <w:spacing w:after="0" w:line="11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U.S. Federal and state tax liabilities may be recorded if the investment in non-U.S. subsidiaries become held for sale instead of being held indefinitely, but calculation of the tax due is not practicable.</w:t>
      </w:r>
    </w:p>
    <w:p>
      <w:pPr>
        <w:spacing w:after="0" w:line="9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On March 27, 2020, the Coronavirus Aid, Relief and Economic Security (CARES) Act was enacted, which included several technical corrections to the Tax Act and provisions allowing certain net operating losses generated by businesses in 2018, 2019, and 2020 to be carried back five years. Overall, the CARES Act had limited impact on the Company’s tax provision for the year ended December 31, 2020.</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On July 1, 2015 (the Distribution Date), the Company completed the spin-off of Cable ONE as an independent, publicly traded company. The transaction was structured as a tax-free spin-off of Cable ONE to the stockholders of the Company. Since July 1, 2015, Cable ONE has been an independent public company trading on the New York Stock Exchange under the symbol “CABO”. In connection with the CARES Act, Cable ONE has the ability to</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96" w:name="page97"/>
    <w:bookmarkEnd w:id="96"/>
    <w:p>
      <w:pPr>
        <w:ind w:right="140"/>
        <w:spacing w:after="0" w:line="231" w:lineRule="auto"/>
        <w:rPr>
          <w:sz w:val="20"/>
          <w:szCs w:val="20"/>
          <w:color w:val="auto"/>
        </w:rPr>
      </w:pPr>
      <w:r>
        <w:rPr>
          <w:rFonts w:ascii="Arial" w:cs="Arial" w:eastAsia="Arial" w:hAnsi="Arial"/>
          <w:sz w:val="18"/>
          <w:szCs w:val="18"/>
          <w:color w:val="auto"/>
        </w:rPr>
        <w:t>carryback its 2019 taxable losses to the tax period from January 1, 2015 to June 30, 2015, the period in which Cable ONE was included in the Company’s 2015 tax return. As a result, the Company amended its 2015 tax returns in order to accommodate Cable ONE’s request to carryback its 2019 taxable losses. The Company expects that this action will have no impact on the results or the financial position of the Company. To reflect the expected refund due to Cable ONE, the Company has included a $20.8 million current income tax receivable and a corresponding liability to Cable ONE on its balance sheet as of December 31, 2020.</w:t>
      </w:r>
    </w:p>
    <w:p>
      <w:pPr>
        <w:spacing w:after="0" w:line="11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2017 U.S. Federal tax return and subsequent years remain open to IRS examination. The Company files income tax returns with the U.S. Federal government and in various state, local and non-U.S. governmental jurisdictions, with the consolidated U.S. Federal tax return filing considered the only major tax jurisdiction.</w:t>
      </w:r>
    </w:p>
    <w:p>
      <w:pPr>
        <w:spacing w:after="0" w:line="1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5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8"/>
        </w:trPr>
        <w:tc>
          <w:tcPr>
            <w:tcW w:w="758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920" w:type="dxa"/>
            <w:vAlign w:val="bottom"/>
          </w:tcPr>
          <w:p>
            <w:pPr>
              <w:jc w:val="right"/>
              <w:ind w:right="728"/>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891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Beginning unrecognized tax benefits</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current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prior year tax positions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related to settlement with tax authorities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1,572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2,483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17,331</w:t>
            </w:r>
          </w:p>
        </w:tc>
      </w:tr>
      <w:tr>
        <w:trPr>
          <w:trHeight w:val="229"/>
        </w:trPr>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742</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656</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1,072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29"/>
        </w:trPr>
        <w:tc>
          <w:tcPr>
            <w:tcW w:w="34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(12,187)</w:t>
            </w:r>
          </w:p>
        </w:tc>
      </w:tr>
      <w:tr>
        <w:trPr>
          <w:trHeight w:val="229"/>
        </w:trPr>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(1,072)</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r>
      <w:tr>
        <w:trPr>
          <w:trHeight w:val="226"/>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1,898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20"/>
          </w:cols>
          <w:pgMar w:left="320" w:top="1035" w:right="359" w:bottom="1440" w:gutter="0" w:footer="0" w:header="0"/>
          <w:type w:val="continuous"/>
        </w:sectPr>
      </w:pPr>
    </w:p>
    <w:p>
      <w:pPr>
        <w:spacing w:after="0" w:line="20"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unrecognized tax benefits relate to federal and state research and development tax credits applicable to the 2019 and 2020 tax periods, as well as state income tax filing positions applicable to the 2012-2014 tax periods.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some of the unrecognized tax benefits may change in the next 12 months due to settlement with the tax authorities. The Company expects that a $ 1.2 million federal tax benefit and a $0.7 million state tax benefit, net of $0.2 million federal tax expense, will reduce the effective tax rate in the future if the unrecognized tax benefits are recognized.</w:t>
      </w:r>
    </w:p>
    <w:p>
      <w:pPr>
        <w:spacing w:after="0" w:line="11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2020, the Company has not accrued interest related to the unrecognized tax benefits. The Company has not accrued any penalties related to the unrecognized tax benefits.</w:t>
      </w:r>
    </w:p>
    <w:p>
      <w:pPr>
        <w:spacing w:after="0" w:line="109"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20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As of December 31</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840" w:type="dxa"/>
            <w:vAlign w:val="bottom"/>
          </w:tcPr>
          <w:p>
            <w:pPr>
              <w:spacing w:after="0"/>
              <w:rPr>
                <w:sz w:val="20"/>
                <w:szCs w:val="20"/>
                <w:color w:val="auto"/>
              </w:rPr>
            </w:pPr>
            <w:r>
              <w:rPr>
                <w:rFonts w:ascii="Arial" w:cs="Arial" w:eastAsia="Arial" w:hAnsi="Arial"/>
                <w:sz w:val="14"/>
                <w:szCs w:val="14"/>
                <w:color w:val="auto"/>
              </w:rPr>
              <w:t>(in thousands)</w:t>
            </w:r>
          </w:p>
        </w:tc>
        <w:tc>
          <w:tcPr>
            <w:tcW w:w="118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Revolving credit facility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note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term loan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line of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indebtedness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Debt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current portion</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Long-Term Debt</w:t>
      </w: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39"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carrying value is net of $3.9 million and $4.6 million of unamortized debt issuance costs as of December 31, 2020 and 2019, respectively.</w:t>
      </w:r>
    </w:p>
    <w:p>
      <w:pPr>
        <w:spacing w:after="0" w:line="37" w:lineRule="exact"/>
        <w:rPr>
          <w:rFonts w:ascii="Arial" w:cs="Arial" w:eastAsia="Arial" w:hAnsi="Arial"/>
          <w:sz w:val="12"/>
          <w:szCs w:val="12"/>
          <w:color w:val="auto"/>
        </w:rPr>
      </w:pPr>
    </w:p>
    <w:p>
      <w:pPr>
        <w:ind w:left="300" w:hanging="292"/>
        <w:spacing w:after="0"/>
        <w:tabs>
          <w:tab w:leader="none" w:pos="3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carrying value is net of $0.1 million of unamortized debt issuance costs as of December 31, 2019.</w:t>
      </w:r>
    </w:p>
    <w:p>
      <w:pPr>
        <w:spacing w:after="0" w:line="20" w:lineRule="exact"/>
        <w:rPr>
          <w:sz w:val="20"/>
          <w:szCs w:val="20"/>
          <w:color w:val="auto"/>
        </w:rPr>
      </w:pPr>
      <w:r>
        <w:rPr>
          <w:sz w:val="20"/>
          <w:szCs w:val="20"/>
          <w:color w:val="auto"/>
        </w:rPr>
        <w:br w:type="column"/>
      </w:r>
    </w:p>
    <w:p>
      <w:pPr>
        <w:ind w:left="460" w:hanging="458"/>
        <w:spacing w:after="0"/>
        <w:tabs>
          <w:tab w:leader="none" w:pos="46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396,112  </w:t>
      </w:r>
      <w:r>
        <w:rPr>
          <w:rFonts w:ascii="Arial" w:cs="Arial" w:eastAsia="Arial" w:hAnsi="Arial"/>
          <w:sz w:val="16"/>
          <w:szCs w:val="16"/>
          <w:color w:val="auto"/>
        </w:rPr>
        <w:t>$395,393</w:t>
      </w:r>
    </w:p>
    <w:p>
      <w:pPr>
        <w:spacing w:after="0" w:line="46" w:lineRule="exact"/>
        <w:rPr>
          <w:sz w:val="20"/>
          <w:szCs w:val="20"/>
          <w:color w:val="auto"/>
        </w:rPr>
      </w:pPr>
    </w:p>
    <w:p>
      <w:pPr>
        <w:ind w:left="540"/>
        <w:spacing w:after="0"/>
        <w:tabs>
          <w:tab w:leader="none" w:pos="2080" w:val="left"/>
        </w:tabs>
        <w:rPr>
          <w:sz w:val="20"/>
          <w:szCs w:val="20"/>
          <w:color w:val="auto"/>
        </w:rPr>
      </w:pPr>
      <w:r>
        <w:rPr>
          <w:rFonts w:ascii="Arial" w:cs="Arial" w:eastAsia="Arial" w:hAnsi="Arial"/>
          <w:sz w:val="16"/>
          <w:szCs w:val="16"/>
          <w:b w:val="1"/>
          <w:bCs w:val="1"/>
          <w:color w:val="auto"/>
        </w:rPr>
        <w:t>74,686</w:t>
      </w:r>
      <w:r>
        <w:rPr>
          <w:sz w:val="20"/>
          <w:szCs w:val="20"/>
          <w:color w:val="auto"/>
        </w:rPr>
        <w:tab/>
      </w:r>
      <w:r>
        <w:rPr>
          <w:rFonts w:ascii="Arial" w:cs="Arial" w:eastAsia="Arial" w:hAnsi="Arial"/>
          <w:sz w:val="16"/>
          <w:szCs w:val="16"/>
          <w:color w:val="auto"/>
        </w:rPr>
        <w:t>—</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78,650</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25,250</w:t>
      </w:r>
      <w:r>
        <w:rPr>
          <w:rFonts w:ascii="Arial" w:cs="Arial" w:eastAsia="Arial" w:hAnsi="Arial"/>
          <w:sz w:val="16"/>
          <w:szCs w:val="16"/>
          <w:color w:val="auto"/>
        </w:rPr>
        <w:t>27,500</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10,692</w:t>
      </w:r>
      <w:r>
        <w:rPr>
          <w:rFonts w:ascii="Arial" w:cs="Arial" w:eastAsia="Arial" w:hAnsi="Arial"/>
          <w:sz w:val="15"/>
          <w:szCs w:val="15"/>
          <w:color w:val="auto"/>
        </w:rPr>
        <w:t>11,203</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2,295</w:t>
      </w:r>
      <w:r>
        <w:rPr>
          <w:rFonts w:ascii="Arial" w:cs="Arial" w:eastAsia="Arial" w:hAnsi="Arial"/>
          <w:sz w:val="16"/>
          <w:szCs w:val="16"/>
          <w:color w:val="auto"/>
        </w:rPr>
        <w:t>—</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3,520</w:t>
      </w: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14916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9" w:lineRule="exact"/>
        <w:rPr>
          <w:sz w:val="20"/>
          <w:szCs w:val="20"/>
          <w:color w:val="auto"/>
        </w:rPr>
      </w:pPr>
    </w:p>
    <w:p>
      <w:pPr>
        <w:ind w:left="440"/>
        <w:spacing w:after="0"/>
        <w:tabs>
          <w:tab w:leader="none" w:pos="1660" w:val="left"/>
        </w:tabs>
        <w:rPr>
          <w:sz w:val="20"/>
          <w:szCs w:val="20"/>
          <w:color w:val="auto"/>
        </w:rPr>
      </w:pPr>
      <w:r>
        <w:rPr>
          <w:rFonts w:ascii="Arial" w:cs="Arial" w:eastAsia="Arial" w:hAnsi="Arial"/>
          <w:sz w:val="16"/>
          <w:szCs w:val="16"/>
          <w:b w:val="1"/>
          <w:bCs w:val="1"/>
          <w:color w:val="auto"/>
        </w:rPr>
        <w:t>512,555</w:t>
      </w:r>
      <w:r>
        <w:rPr>
          <w:sz w:val="20"/>
          <w:szCs w:val="20"/>
          <w:color w:val="auto"/>
        </w:rPr>
        <w:tab/>
      </w:r>
      <w:r>
        <w:rPr>
          <w:rFonts w:ascii="Arial" w:cs="Arial" w:eastAsia="Arial" w:hAnsi="Arial"/>
          <w:sz w:val="16"/>
          <w:szCs w:val="16"/>
          <w:color w:val="auto"/>
        </w:rPr>
        <w:t>512,829</w:t>
      </w:r>
    </w:p>
    <w:p>
      <w:pPr>
        <w:spacing w:after="0" w:line="46" w:lineRule="exact"/>
        <w:rPr>
          <w:sz w:val="20"/>
          <w:szCs w:val="20"/>
          <w:color w:val="auto"/>
        </w:rPr>
      </w:pPr>
    </w:p>
    <w:p>
      <w:pPr>
        <w:jc w:val="both"/>
        <w:ind w:left="560"/>
        <w:spacing w:after="0"/>
        <w:tabs>
          <w:tab w:leader="none" w:pos="1680" w:val="left"/>
        </w:tabs>
        <w:rPr>
          <w:sz w:val="20"/>
          <w:szCs w:val="20"/>
          <w:color w:val="auto"/>
        </w:rPr>
      </w:pPr>
      <w:r>
        <w:rPr>
          <w:rFonts w:ascii="Arial" w:cs="Arial" w:eastAsia="Arial" w:hAnsi="Arial"/>
          <w:sz w:val="16"/>
          <w:szCs w:val="16"/>
          <w:b w:val="1"/>
          <w:bCs w:val="1"/>
          <w:color w:val="auto"/>
        </w:rPr>
        <w:t>(6,452)</w:t>
      </w:r>
      <w:r>
        <w:rPr>
          <w:sz w:val="20"/>
          <w:szCs w:val="20"/>
          <w:color w:val="auto"/>
        </w:rPr>
        <w:tab/>
      </w:r>
      <w:r>
        <w:rPr>
          <w:rFonts w:ascii="Arial" w:cs="Arial" w:eastAsia="Arial" w:hAnsi="Arial"/>
          <w:sz w:val="16"/>
          <w:szCs w:val="16"/>
          <w:color w:val="auto"/>
        </w:rPr>
        <w:t>(82,179)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14916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9" w:lineRule="exact"/>
        <w:rPr>
          <w:sz w:val="20"/>
          <w:szCs w:val="20"/>
          <w:color w:val="auto"/>
        </w:rPr>
      </w:pPr>
    </w:p>
    <w:p>
      <w:pPr>
        <w:spacing w:after="0"/>
        <w:tabs>
          <w:tab w:leader="none" w:pos="420" w:val="left"/>
          <w:tab w:leader="none" w:pos="1220" w:val="left"/>
          <w:tab w:leader="none" w:pos="16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506,103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430,650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33020</wp:posOffset>
            </wp:positionV>
            <wp:extent cx="14916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59055</wp:posOffset>
            </wp:positionV>
            <wp:extent cx="1491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027" w:lineRule="exact"/>
        <w:rPr>
          <w:sz w:val="20"/>
          <w:szCs w:val="20"/>
          <w:color w:val="auto"/>
        </w:rPr>
      </w:pPr>
    </w:p>
    <w:p>
      <w:pPr>
        <w:sectPr>
          <w:pgSz w:w="11900" w:h="16838" w:orient="portrait"/>
          <w:cols w:equalWidth="0" w:num="2">
            <w:col w:w="8180" w:space="700"/>
            <w:col w:w="2340"/>
          </w:cols>
          <w:pgMar w:left="320" w:top="1035" w:right="359"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97" w:name="page98"/>
    <w:bookmarkEnd w:id="97"/>
    <w:p>
      <w:pPr>
        <w:ind w:right="20"/>
        <w:spacing w:after="0" w:line="234" w:lineRule="auto"/>
        <w:rPr>
          <w:sz w:val="20"/>
          <w:szCs w:val="20"/>
          <w:color w:val="auto"/>
        </w:rPr>
      </w:pPr>
      <w:r>
        <w:rPr>
          <w:rFonts w:ascii="Arial" w:cs="Arial" w:eastAsia="Arial" w:hAnsi="Arial"/>
          <w:sz w:val="18"/>
          <w:szCs w:val="18"/>
          <w:color w:val="auto"/>
        </w:rPr>
        <w:t>On June 29, 2020, Kaplan borrowed £60 million under the Company’s revolving credit facility and used the proceeds from the borrowing to repay the outstanding balance on the U.K. credit facility upon its maturity on June 30, 2020. The interest rate swap related to this U.K. credit facility matured on July 1, 2020. The outstanding balance on the Company’s revolving credit facility was £55 million as of December 31, 2020 with interest payable at the 3 month GBP LIBOR plus 1.50%.</w:t>
      </w:r>
    </w:p>
    <w:p>
      <w:pPr>
        <w:spacing w:after="0" w:line="111"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The Company’s GHG subsidiary had $2.3 million outstanding under its line of credit as of December 31, 2020 at an interest rate of monthly LIBOR plus 2.75%. The Company’s other indebtedness at December 31, 2020, is at interest rates of 0% to 16% and matures between 2023 and 2030. The Company’s other indebtedness at December 31, 2019, is at an interest rate of 2% and matures in 2026.</w:t>
      </w:r>
    </w:p>
    <w:p>
      <w:pPr>
        <w:spacing w:after="0" w:line="111"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On December 2, 2019, a subsidiary of GHG entered into a Loan &amp; Security Agreement (Loan Agreement) with Pinnacle Bank for a Term Loan of $11.25 million and a two-year Line of Credit for $2.25 million. The Term Loan is payable over a five-year period in monthly installments, plus accrued and unpaid interest, due on the second day of each month, with the remaining balance due on December 2, 2024. The Term Loan bears interest at 4.35% per annum. The Term Loan can be redeemed at any time, in whole or in part, without any premium or penalty. Borrowings on the Line of Credit bear interest at a rate per annum of LIBOR plus an applicable interest rate of 2.75%, determined on a monthly basis. Under the credit agreement, the borrower is required to pay a commitment fee on a quarterly basis, at the rate per annum equal to 0.25% on the average daily unused portion of the credit facility. The borrower may use the proceeds of the facility for working capital and general corporate purposes. Any outstanding borrowings must be repaid on or prior to the final termination date. The agreement contains terms and conditions, including remedies in the event of a default. The Company is in compliance with all financial covenants as of December 31, 2020. On January 26, 2021, the GHG subsidiary entered into an Amended and Restated Promissory Note (Amended Loan Agreement), pursuant to the Loan Agreement, with an Amended Term Loan of $10.6 million bearing interest at 4.15% per annum and an amended two-year Line of Credit of $ 6.0 million expiring on December 2, 2022 bearing interest at the greater of (a) 3.25% and (b) the sum of one-month LIBOR as in effect on the first business day of each month plus an applicable interest rate of 2.75%. The remaining terms are consistent with the original Loan Agreement.</w:t>
      </w:r>
    </w:p>
    <w:p>
      <w:pPr>
        <w:spacing w:after="0" w:line="11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On January 31, 2019, the Company’s automotive subsidiary entered into a Commercial Note with Truist Bank in an aggregate principal amount of $30 million. The Commercial Note is payable over a 10-year period in monthly installments of $0.25 million, plus accrued and unpaid interest, due on the first of each month, with a final payment on January 31, 2029. The Commercial Note bears interest at LIBOR plus an applicable interest rate of 1.75% or 2%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In the second quarter of 2020, Truist Bank provided temporary relief to the automotive subsidiary in response to COVID-19 by deferring the principal and interest payments on the Commercial Note for three months until the final payment due on maturity of the note. The interest rate swap continues to be highly effective following this change in payment terms. As such, changes in the fair value of the interest rate swap are recorded in other comprehensive income on the accompanying Consolidated Balance Sheets until earnings are affected by the variability of cash flows.</w:t>
      </w:r>
    </w:p>
    <w:p>
      <w:pPr>
        <w:spacing w:after="0" w:line="109" w:lineRule="exact"/>
        <w:rPr>
          <w:sz w:val="20"/>
          <w:szCs w:val="20"/>
          <w:color w:val="auto"/>
        </w:rPr>
      </w:pPr>
    </w:p>
    <w:p>
      <w:pPr>
        <w:ind w:right="360"/>
        <w:spacing w:after="0" w:line="231"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 7.25% notes due February 1, 2019. The Company incurred $11.4 million in debt extinguishment costs in relation to the early termination of the 7.25% notes.</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8" w:name="page99"/>
    <w:bookmarkEnd w:id="98"/>
    <w:p>
      <w:pPr>
        <w:spacing w:after="0" w:line="224" w:lineRule="auto"/>
        <w:rPr>
          <w:sz w:val="20"/>
          <w:szCs w:val="20"/>
          <w:color w:val="auto"/>
        </w:rPr>
      </w:pPr>
      <w:r>
        <w:rPr>
          <w:rFonts w:ascii="Arial" w:cs="Arial" w:eastAsia="Arial" w:hAnsi="Arial"/>
          <w:sz w:val="18"/>
          <w:szCs w:val="18"/>
          <w:color w:val="auto"/>
        </w:rPr>
        <w:t>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1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 As of December 31, 2020, the Company is in compliance with all financial covenants.</w:t>
      </w:r>
    </w:p>
    <w:p>
      <w:pPr>
        <w:spacing w:after="0" w:line="11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During 2020 and 2019, the Company had average borrowings outstanding of approximately $512.4 million and $500.6 million, respectively, at average annual interest rates of approximately 5.1%. The Company incurred net interest expense of $34.4 million, $23.6 million and $32.5 million during 2020, 2019 and 2018, respectively.</w:t>
      </w:r>
    </w:p>
    <w:p>
      <w:pPr>
        <w:spacing w:after="0" w:line="11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For the years ended December 31, 2020 and 2019, the Company recorded interest expense of $8.5 million and interest income of $0.1 million, respectively, to adjust the fair value of the mandatorily redeemable noncontrolling interest. The fair value of the mandatorily redeemable noncontrolling interest was based on the fair value of the underlying subsidiaries owned by GHC One (see Note 3), after taking into account any debt and other noncontrolling interests of its subsidiary investments. The fair value of the owned subsidiaries is determined by reference to either a discounted cash flow or EBITDA multiple, which approximates fair value (Level 3 fair value assessment). In June 2018, the Company incurred $6.2 million of interest expense related to the mandatorily redeemable noncontrolling interest redemption settlement at GHG (see Note 3). The fair value of the mandatorily redeemable noncontrolling interest was based on the redemption value resulting from a negotiated settlement.</w:t>
      </w:r>
    </w:p>
    <w:p>
      <w:pPr>
        <w:spacing w:after="0" w:line="11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At December 31, 2020 and 2019, the fair value of the Company’s 5.75% unsecured notes, based on quoted market prices (Level 2 fair value assessment), totaled $421.7 million and $427.7 million, respectively, compared with the carrying amount of $396.1 million and $395.4 million. The carrying value of the Company’s other unsecured debt at December 31, 2020 and 2019 approximates fair value.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99" w:name="page100"/>
    <w:bookmarkEnd w:id="99"/>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268,841</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268,841</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573,102</w:t>
            </w:r>
          </w:p>
        </w:tc>
        <w:tc>
          <w:tcPr>
            <w:tcW w:w="28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573,102</w:t>
            </w:r>
          </w:p>
        </w:tc>
        <w:tc>
          <w:tcPr>
            <w:tcW w:w="0" w:type="dxa"/>
            <w:vAlign w:val="bottom"/>
          </w:tcPr>
          <w:p>
            <w:pPr>
              <w:spacing w:after="0"/>
              <w:rPr>
                <w:sz w:val="1"/>
                <w:szCs w:val="1"/>
                <w:color w:val="auto"/>
              </w:rPr>
            </w:pPr>
          </w:p>
        </w:tc>
      </w:tr>
      <w:tr>
        <w:trPr>
          <w:trHeight w:val="236"/>
        </w:trPr>
        <w:tc>
          <w:tcPr>
            <w:tcW w:w="652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10,397</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4,083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14,480</w:t>
            </w:r>
          </w:p>
        </w:tc>
        <w:tc>
          <w:tcPr>
            <w:tcW w:w="0" w:type="dxa"/>
            <w:vAlign w:val="bottom"/>
          </w:tcPr>
          <w:p>
            <w:pPr>
              <w:spacing w:after="0"/>
              <w:rPr>
                <w:sz w:val="1"/>
                <w:szCs w:val="1"/>
                <w:color w:val="auto"/>
              </w:rPr>
            </w:pPr>
          </w:p>
        </w:tc>
      </w:tr>
      <w:tr>
        <w:trPr>
          <w:trHeight w:val="236"/>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583,499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272,924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856,423</w:t>
            </w:r>
          </w:p>
        </w:tc>
        <w:tc>
          <w:tcPr>
            <w:tcW w:w="0" w:type="dxa"/>
            <w:vAlign w:val="bottom"/>
          </w:tcPr>
          <w:p>
            <w:pPr>
              <w:spacing w:after="0"/>
              <w:rPr>
                <w:sz w:val="1"/>
                <w:szCs w:val="1"/>
                <w:color w:val="auto"/>
              </w:rPr>
            </w:pPr>
          </w:p>
        </w:tc>
      </w:tr>
      <w:tr>
        <w:trPr>
          <w:trHeight w:val="21"/>
        </w:trPr>
        <w:tc>
          <w:tcPr>
            <w:tcW w:w="6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31,178</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31,178</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(5)</w:t>
            </w:r>
          </w:p>
        </w:tc>
        <w:tc>
          <w:tcPr>
            <w:tcW w:w="2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37,174</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37,174</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(6)</w:t>
            </w:r>
          </w:p>
        </w:tc>
        <w:tc>
          <w:tcPr>
            <w:tcW w:w="2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2,342</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2,342</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 xml:space="preserve">Foreign exchange swap </w:t>
            </w:r>
            <w:r>
              <w:rPr>
                <w:rFonts w:ascii="Arial" w:cs="Arial" w:eastAsia="Arial" w:hAnsi="Arial"/>
                <w:sz w:val="21"/>
                <w:szCs w:val="21"/>
                <w:b w:val="1"/>
                <w:bCs w:val="1"/>
                <w:color w:val="auto"/>
                <w:vertAlign w:val="superscript"/>
              </w:rPr>
              <w:t>(7)</w:t>
            </w:r>
          </w:p>
        </w:tc>
        <w:tc>
          <w:tcPr>
            <w:tcW w:w="22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259</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259</w:t>
            </w:r>
          </w:p>
        </w:tc>
        <w:tc>
          <w:tcPr>
            <w:tcW w:w="0" w:type="dxa"/>
            <w:vAlign w:val="bottom"/>
          </w:tcPr>
          <w:p>
            <w:pPr>
              <w:spacing w:after="0"/>
              <w:rPr>
                <w:sz w:val="1"/>
                <w:szCs w:val="1"/>
                <w:color w:val="auto"/>
              </w:rPr>
            </w:pPr>
          </w:p>
        </w:tc>
      </w:tr>
      <w:tr>
        <w:trPr>
          <w:trHeight w:val="236"/>
        </w:trPr>
        <w:tc>
          <w:tcPr>
            <w:tcW w:w="652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(8)</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9,240</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9,240</w:t>
            </w:r>
          </w:p>
        </w:tc>
        <w:tc>
          <w:tcPr>
            <w:tcW w:w="0" w:type="dxa"/>
            <w:vAlign w:val="bottom"/>
          </w:tcPr>
          <w:p>
            <w:pPr>
              <w:spacing w:after="0"/>
              <w:rPr>
                <w:sz w:val="1"/>
                <w:szCs w:val="1"/>
                <w:color w:val="auto"/>
              </w:rPr>
            </w:pPr>
          </w:p>
        </w:tc>
      </w:tr>
      <w:tr>
        <w:trPr>
          <w:trHeight w:val="237"/>
        </w:trPr>
        <w:tc>
          <w:tcPr>
            <w:tcW w:w="652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33,779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46,414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80,193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As of December 31, 2019</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45,150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45,150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585,080</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585,080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8,843</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6,044</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14,887</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(9)</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6"/>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593,923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51,325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645,248</w:t>
            </w:r>
          </w:p>
        </w:tc>
        <w:tc>
          <w:tcPr>
            <w:tcW w:w="0" w:type="dxa"/>
            <w:vAlign w:val="bottom"/>
          </w:tcPr>
          <w:p>
            <w:pPr>
              <w:spacing w:after="0"/>
              <w:rPr>
                <w:sz w:val="1"/>
                <w:szCs w:val="1"/>
                <w:color w:val="auto"/>
              </w:rPr>
            </w:pPr>
          </w:p>
        </w:tc>
      </w:tr>
      <w:tr>
        <w:trPr>
          <w:trHeight w:val="21"/>
        </w:trPr>
        <w:tc>
          <w:tcPr>
            <w:tcW w:w="6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34,674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34,674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(5)</w:t>
            </w:r>
          </w:p>
        </w:tc>
        <w:tc>
          <w:tcPr>
            <w:tcW w:w="2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13,546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13,546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1,119</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(7)</w:t>
            </w:r>
          </w:p>
        </w:tc>
        <w:tc>
          <w:tcPr>
            <w:tcW w:w="20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273</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line="234"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(8)</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829</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36"/>
        </w:trPr>
        <w:tc>
          <w:tcPr>
            <w:tcW w:w="660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36,066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14,375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50,441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41"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and cash equivalents and the value considers the liquidity of the counterparty.</w:t>
      </w:r>
    </w:p>
    <w:p>
      <w:pPr>
        <w:spacing w:after="0" w:line="26" w:lineRule="exact"/>
        <w:rPr>
          <w:rFonts w:ascii="Arial" w:cs="Arial" w:eastAsia="Arial" w:hAnsi="Arial"/>
          <w:sz w:val="13"/>
          <w:szCs w:val="13"/>
          <w:color w:val="auto"/>
        </w:rPr>
      </w:pPr>
    </w:p>
    <w:p>
      <w:pPr>
        <w:ind w:left="260" w:right="200" w:hanging="252"/>
        <w:spacing w:after="0" w:line="233" w:lineRule="auto"/>
        <w:tabs>
          <w:tab w:leader="none" w:pos="309"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held in common shares of U.S. and Canadian corporations that are actively traded on U.S. and Canadian stock exchanges. Price quotes for these shares are readily available.</w:t>
      </w:r>
    </w:p>
    <w:p>
      <w:pPr>
        <w:spacing w:after="0" w:line="6" w:lineRule="exact"/>
        <w:rPr>
          <w:rFonts w:ascii="Arial" w:cs="Arial" w:eastAsia="Arial" w:hAnsi="Arial"/>
          <w:sz w:val="13"/>
          <w:szCs w:val="13"/>
          <w:color w:val="auto"/>
        </w:rPr>
      </w:pPr>
    </w:p>
    <w:p>
      <w:pPr>
        <w:ind w:left="260" w:right="120" w:hanging="252"/>
        <w:spacing w:after="0" w:line="233" w:lineRule="auto"/>
        <w:tabs>
          <w:tab w:leader="none" w:pos="311"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6" w:lineRule="exact"/>
        <w:rPr>
          <w:rFonts w:ascii="Arial" w:cs="Arial" w:eastAsia="Arial" w:hAnsi="Arial"/>
          <w:sz w:val="13"/>
          <w:szCs w:val="13"/>
          <w:color w:val="auto"/>
        </w:rPr>
      </w:pPr>
    </w:p>
    <w:p>
      <w:pPr>
        <w:ind w:left="260" w:right="160" w:hanging="252"/>
        <w:spacing w:after="0" w:line="214" w:lineRule="auto"/>
        <w:tabs>
          <w:tab w:leader="none" w:pos="311"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6" w:lineRule="exact"/>
        <w:rPr>
          <w:rFonts w:ascii="Arial" w:cs="Arial" w:eastAsia="Arial" w:hAnsi="Arial"/>
          <w:sz w:val="13"/>
          <w:szCs w:val="13"/>
          <w:color w:val="auto"/>
        </w:rPr>
      </w:pPr>
    </w:p>
    <w:p>
      <w:pPr>
        <w:ind w:left="260" w:right="120" w:hanging="252"/>
        <w:spacing w:after="0" w:line="233" w:lineRule="auto"/>
        <w:tabs>
          <w:tab w:leader="none" w:pos="311"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Included in Accounts payable and accrued liabilities and Other liabilities. The Company determined the fair value of the contingent consideration liabilities using a Monte Carlo simulation as of the acquisition dates, which included using estimated financial projections for the acquired businesses.</w:t>
      </w:r>
    </w:p>
    <w:p>
      <w:pPr>
        <w:spacing w:after="0" w:line="6" w:lineRule="exact"/>
        <w:rPr>
          <w:rFonts w:ascii="Arial" w:cs="Arial" w:eastAsia="Arial" w:hAnsi="Arial"/>
          <w:sz w:val="13"/>
          <w:szCs w:val="13"/>
          <w:color w:val="auto"/>
        </w:rPr>
      </w:pPr>
    </w:p>
    <w:p>
      <w:pPr>
        <w:ind w:left="260" w:right="160" w:hanging="252"/>
        <w:spacing w:after="0" w:line="233" w:lineRule="auto"/>
        <w:tabs>
          <w:tab w:leader="none" w:pos="311"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6" w:lineRule="exact"/>
        <w:rPr>
          <w:rFonts w:ascii="Arial" w:cs="Arial" w:eastAsia="Arial" w:hAnsi="Arial"/>
          <w:sz w:val="13"/>
          <w:szCs w:val="13"/>
          <w:color w:val="auto"/>
        </w:rPr>
      </w:pPr>
    </w:p>
    <w:p>
      <w:pPr>
        <w:ind w:left="300" w:hanging="292"/>
        <w:spacing w:after="0"/>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Included in Accounts payable and accrued liabilities, and valued based on a valuation model that calculates the differential between the contract price and the market-based forward rate.</w:t>
      </w:r>
    </w:p>
    <w:p>
      <w:pPr>
        <w:spacing w:after="0" w:line="26" w:lineRule="exact"/>
        <w:rPr>
          <w:rFonts w:ascii="Arial" w:cs="Arial" w:eastAsia="Arial" w:hAnsi="Arial"/>
          <w:sz w:val="13"/>
          <w:szCs w:val="13"/>
          <w:color w:val="auto"/>
        </w:rPr>
      </w:pPr>
    </w:p>
    <w:p>
      <w:pPr>
        <w:ind w:left="260" w:right="20" w:hanging="252"/>
        <w:spacing w:after="0" w:line="221" w:lineRule="auto"/>
        <w:tabs>
          <w:tab w:leader="none" w:pos="309"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fair value of the mandatorily redeemable noncontrolling interest is based on the fair value of the underlying subsidiaries owned by GHC One (see Note 3), after taking into account any debt and other noncontrolling interests of its subsidiary investments. The fair value of the owned subsidiaries is determined by reference to either a discounted cash flow or EBITDA multiple, which approximates fair value.</w:t>
      </w:r>
    </w:p>
    <w:p>
      <w:pPr>
        <w:spacing w:after="0" w:line="5" w:lineRule="exact"/>
        <w:rPr>
          <w:rFonts w:ascii="Arial" w:cs="Arial" w:eastAsia="Arial" w:hAnsi="Arial"/>
          <w:sz w:val="13"/>
          <w:szCs w:val="13"/>
          <w:color w:val="auto"/>
        </w:rPr>
      </w:pPr>
    </w:p>
    <w:p>
      <w:pPr>
        <w:ind w:left="260" w:right="300" w:hanging="252"/>
        <w:spacing w:after="0" w:line="233" w:lineRule="auto"/>
        <w:tabs>
          <w:tab w:leader="none" w:pos="311"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Included in Other current assets. The Company utilized a market approach model using the notional amount of the interest rate swap multiplied by the observable inputs of time to maturity and market interest rates.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00" w:name="page101"/>
    <w:bookmarkEnd w:id="100"/>
    <w:p>
      <w:pPr>
        <w:ind w:right="440"/>
        <w:spacing w:after="0" w:line="260" w:lineRule="auto"/>
        <w:rPr>
          <w:sz w:val="20"/>
          <w:szCs w:val="20"/>
          <w:color w:val="auto"/>
        </w:rPr>
      </w:pPr>
      <w:r>
        <w:rPr>
          <w:rFonts w:ascii="Arial" w:cs="Arial" w:eastAsia="Arial" w:hAnsi="Arial"/>
          <w:sz w:val="18"/>
          <w:szCs w:val="18"/>
          <w:color w:val="auto"/>
        </w:rPr>
        <w:t>The following table provides a reconciliation of changes in the Company’s financial liabilities measured at fair value on a recurring basis, using Level 3 inputs: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right"/>
              <w:ind w:right="2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202"/>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12"/>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13,546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Acquisition of business</w:t>
            </w:r>
          </w:p>
        </w:tc>
        <w:tc>
          <w:tcPr>
            <w:tcW w:w="200" w:type="dxa"/>
            <w:vAlign w:val="bottom"/>
          </w:tcPr>
          <w:p>
            <w:pPr>
              <w:spacing w:after="0"/>
              <w:rPr>
                <w:sz w:val="20"/>
                <w:szCs w:val="20"/>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50,609</w:t>
            </w:r>
          </w:p>
        </w:tc>
        <w:tc>
          <w:tcPr>
            <w:tcW w:w="280" w:type="dxa"/>
            <w:vAlign w:val="bottom"/>
          </w:tcPr>
          <w:p>
            <w:pPr>
              <w:spacing w:after="0"/>
              <w:rPr>
                <w:sz w:val="20"/>
                <w:szCs w:val="20"/>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Changes in fair value</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(2,051)</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8,483</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Accretion of value included in net income</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2,895</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(28,061)</w:t>
            </w:r>
          </w:p>
        </w:tc>
        <w:tc>
          <w:tcPr>
            <w:tcW w:w="2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233"/>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236</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37,174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9,240</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For the years ended December 31, 2020, 2019 and 2018, the Company recorded goodwill and other long-lived asset impairment charges of $30.2 million, $9.2 million and $8.1 million, respectively (see Note 19).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indefinite-lived intangible assets, and other long-lived assets. A market value approach was also utilized to supplement the discounted cash flow model. The Company made estimates and assumptions regarding future cash flows, royalty rates, discount rates, market values, and long-term growth rates.</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For the years ended December 31, 2020, 2019 and 2018, the Company recorded gains of $4.2 million, $5.1 million, and $11.7 million, respectively, to equity securities that are accounted for as cost method investments based on observable transactions for identical or similar investments of the same issuer. For the years ended December 31, 2020 and 2018, the Company recorded impairment losses of $7.3 million and $2.7 million, respectively, to equity securities that are accounted for as cost method investments.</w:t>
      </w:r>
    </w:p>
    <w:p>
      <w:pPr>
        <w:spacing w:after="0" w:line="11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For the year ended December 31, 2020, the Company recorded impairment charges of $3.6 million on two of its investments in affiliates (see Note 4).</w:t>
      </w:r>
    </w:p>
    <w:p>
      <w:pPr>
        <w:spacing w:after="0" w:line="9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46"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The Company generated 78%, 76% and 76% of its revenue from U.S. domestic sales in 2020, 2019 and 2018, respectively. The remaining 22%, 24%, and 24% of revenue was generated from non-U.S. sales.</w:t>
      </w:r>
    </w:p>
    <w:p>
      <w:pPr>
        <w:spacing w:after="0" w:line="92" w:lineRule="exact"/>
        <w:rPr>
          <w:sz w:val="20"/>
          <w:szCs w:val="20"/>
          <w:color w:val="auto"/>
        </w:rPr>
      </w:pPr>
    </w:p>
    <w:p>
      <w:pPr>
        <w:jc w:val="both"/>
        <w:ind w:right="180"/>
        <w:spacing w:after="0" w:line="239" w:lineRule="auto"/>
        <w:rPr>
          <w:sz w:val="20"/>
          <w:szCs w:val="20"/>
          <w:color w:val="auto"/>
        </w:rPr>
      </w:pPr>
      <w:r>
        <w:rPr>
          <w:rFonts w:ascii="Arial" w:cs="Arial" w:eastAsia="Arial" w:hAnsi="Arial"/>
          <w:sz w:val="18"/>
          <w:szCs w:val="18"/>
          <w:color w:val="auto"/>
        </w:rPr>
        <w:t>In 2020, 2019 and 2018, the Company recognized 73%, 73%, and 80% respectively, of its revenue over time as control of the services and goods transferred to the customer. The remaining 27%, 27% and 20%, respectively, of revenue was recognized at a point in time, when the customer obtained control of the promised goods.</w:t>
      </w:r>
    </w:p>
    <w:p>
      <w:pPr>
        <w:spacing w:after="0" w:line="111"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9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the second quarter of 2020, GHG received $7.4 million under the CARES Act as a general distribution from the Provider Relief Fund to provide relief for lost revenues and expenses incurred in connection with COVID-19. The healthcare revenues for the year ended December 31, 2020 includes $5.7 million for lost revenues related to COVID-19 (see Note 19).</w:t>
      </w:r>
    </w:p>
    <w:p>
      <w:pPr>
        <w:spacing w:after="0" w:line="109" w:lineRule="exact"/>
        <w:rPr>
          <w:sz w:val="20"/>
          <w:szCs w:val="20"/>
          <w:color w:val="auto"/>
        </w:rPr>
      </w:pPr>
    </w:p>
    <w:p>
      <w:pPr>
        <w:jc w:val="both"/>
        <w:ind w:right="520"/>
        <w:spacing w:after="0" w:line="24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December 31, 2020, the Company recognized a contract asset of $8.7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$8.8 million related to this performance obligation over the next twelve months.</w:t>
      </w:r>
    </w:p>
    <w:p>
      <w:pPr>
        <w:spacing w:after="0" w:line="105"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 during the year ended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1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tcPr>
          <w:p>
            <w:pPr>
              <w:jc w:val="center"/>
              <w:ind w:right="86"/>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180" w:type="dxa"/>
            <w:vAlign w:val="bottom"/>
          </w:tcPr>
          <w:p>
            <w:pPr>
              <w:jc w:val="center"/>
              <w:ind w:right="85"/>
              <w:spacing w:after="0"/>
              <w:rPr>
                <w:sz w:val="20"/>
                <w:szCs w:val="20"/>
                <w:color w:val="auto"/>
              </w:rPr>
            </w:pPr>
            <w:r>
              <w:rPr>
                <w:rFonts w:ascii="Arial" w:cs="Arial" w:eastAsia="Arial" w:hAnsi="Arial"/>
                <w:sz w:val="14"/>
                <w:szCs w:val="14"/>
                <w:color w:val="auto"/>
              </w:rPr>
              <w:t>December 31,</w:t>
            </w:r>
          </w:p>
        </w:tc>
        <w:tc>
          <w:tcPr>
            <w:tcW w:w="1240" w:type="dxa"/>
            <w:vAlign w:val="bottom"/>
          </w:tcPr>
          <w:p>
            <w:pPr>
              <w:jc w:val="right"/>
              <w:ind w:right="48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1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2019</w:t>
            </w: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2"/>
        </w:trPr>
        <w:tc>
          <w:tcPr>
            <w:tcW w:w="714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26"/>
              <w:spacing w:after="0"/>
              <w:rPr>
                <w:sz w:val="20"/>
                <w:szCs w:val="20"/>
                <w:color w:val="auto"/>
              </w:rPr>
            </w:pPr>
            <w:r>
              <w:rPr>
                <w:rFonts w:ascii="Arial" w:cs="Arial" w:eastAsia="Arial" w:hAnsi="Arial"/>
                <w:sz w:val="16"/>
                <w:szCs w:val="16"/>
                <w:b w:val="1"/>
                <w:bCs w:val="1"/>
                <w:color w:val="auto"/>
              </w:rPr>
              <w:t>343,322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359,048</w:t>
            </w:r>
          </w:p>
        </w:tc>
        <w:tc>
          <w:tcPr>
            <w:tcW w:w="1240" w:type="dxa"/>
            <w:vAlign w:val="bottom"/>
          </w:tcPr>
          <w:p>
            <w:pPr>
              <w:jc w:val="right"/>
              <w:ind w:right="445"/>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 CARES Act as a result of COVID-19. The amount is included in the current and noncurrent deferred revenue balances on the Consolidated Balance Sheet as of December 31, 2020. The Department of</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1" w:name="page102"/>
    <w:bookmarkEnd w:id="101"/>
    <w:p>
      <w:pPr>
        <w:jc w:val="both"/>
        <w:ind w:right="360"/>
        <w:spacing w:after="0" w:line="260" w:lineRule="auto"/>
        <w:rPr>
          <w:sz w:val="20"/>
          <w:szCs w:val="20"/>
          <w:color w:val="auto"/>
        </w:rPr>
      </w:pPr>
      <w:r>
        <w:rPr>
          <w:rFonts w:ascii="Arial" w:cs="Arial" w:eastAsia="Arial" w:hAnsi="Arial"/>
          <w:sz w:val="18"/>
          <w:szCs w:val="18"/>
          <w:color w:val="auto"/>
        </w:rPr>
        <w:t>Health and Human Services will recoup this advance beginning 365 days after the payment was issued, and the deferred revenue will be reduced by a portion of the amount of revenue recognized for claims submitted for services provided after the recoupment period begins.</w:t>
      </w:r>
    </w:p>
    <w:p>
      <w:pPr>
        <w:spacing w:after="0" w:line="9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majority of the change in the deferred revenue balance is due to a decline in student enrollments at the Kaplan International division as a result of the COVID-19 pandemic, offset by the advanced Medicare payment and the acquisition of Framebridge. During the year ended December 31, 2020, the Company recognized $309.8 million from the Company’s deferred revenue balance as of December 31, 2019.</w:t>
      </w:r>
    </w:p>
    <w:p>
      <w:pPr>
        <w:spacing w:after="0" w:line="11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December 31, 2020, the deferred revenue balance related to certain medical and nursing qualifications with an original contract length greater than twelve months at Kaplan Supplemental Education was $8.9 million. Kaplan Supplemental Education expects to recognize 63% of this revenue over the next twelve months and the remainder thereafter.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6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Pr>
          <w:p>
            <w:pPr>
              <w:spacing w:after="0"/>
              <w:rPr>
                <w:sz w:val="12"/>
                <w:szCs w:val="12"/>
                <w:color w:val="auto"/>
              </w:rPr>
            </w:pPr>
          </w:p>
        </w:tc>
        <w:tc>
          <w:tcPr>
            <w:tcW w:w="9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Beginning</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right"/>
              <w:ind w:right="3"/>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2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0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202"/>
        </w:trPr>
        <w:tc>
          <w:tcPr>
            <w:tcW w:w="3080" w:type="dxa"/>
            <w:vAlign w:val="bottom"/>
            <w:tcBorders>
              <w:bottom w:val="single" w:sz="8" w:color="auto"/>
            </w:tcBorders>
            <w:vMerge w:val="continue"/>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of Year</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the Year</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19"/>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2020</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b w:val="1"/>
                <w:bCs w:val="1"/>
                <w:color w:val="auto"/>
              </w:rPr>
              <w:t>31,020</w:t>
            </w:r>
          </w:p>
        </w:tc>
        <w:tc>
          <w:tcPr>
            <w:tcW w:w="32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51,891</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b w:val="1"/>
                <w:bCs w:val="1"/>
                <w:color w:val="auto"/>
              </w:rPr>
              <w:t>(58,855)</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307</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24,363</w:t>
            </w:r>
          </w:p>
        </w:tc>
        <w:tc>
          <w:tcPr>
            <w:tcW w:w="0" w:type="dxa"/>
            <w:vAlign w:val="bottom"/>
          </w:tcPr>
          <w:p>
            <w:pPr>
              <w:spacing w:after="0"/>
              <w:rPr>
                <w:sz w:val="1"/>
                <w:szCs w:val="1"/>
                <w:color w:val="auto"/>
              </w:rPr>
            </w:pPr>
          </w:p>
        </w:tc>
      </w:tr>
      <w:tr>
        <w:trPr>
          <w:trHeight w:val="219"/>
        </w:trPr>
        <w:tc>
          <w:tcPr>
            <w:tcW w:w="3080" w:type="dxa"/>
            <w:vAlign w:val="bottom"/>
          </w:tcPr>
          <w:p>
            <w:pPr>
              <w:ind w:left="20"/>
              <w:spacing w:after="0"/>
              <w:rPr>
                <w:sz w:val="20"/>
                <w:szCs w:val="20"/>
                <w:color w:val="auto"/>
              </w:rPr>
            </w:pPr>
            <w:r>
              <w:rPr>
                <w:rFonts w:ascii="Arial" w:cs="Arial" w:eastAsia="Arial" w:hAnsi="Arial"/>
                <w:sz w:val="16"/>
                <w:szCs w:val="16"/>
                <w:color w:val="auto"/>
              </w:rPr>
              <w:t>2019</w:t>
            </w:r>
          </w:p>
        </w:tc>
        <w:tc>
          <w:tcPr>
            <w:tcW w:w="2280" w:type="dxa"/>
            <w:vAlign w:val="bottom"/>
          </w:tcPr>
          <w:p>
            <w:pPr>
              <w:spacing w:after="0"/>
              <w:rPr>
                <w:sz w:val="19"/>
                <w:szCs w:val="19"/>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21,311</w:t>
            </w:r>
          </w:p>
        </w:tc>
        <w:tc>
          <w:tcPr>
            <w:tcW w:w="320" w:type="dxa"/>
            <w:vAlign w:val="bottom"/>
          </w:tcPr>
          <w:p>
            <w:pPr>
              <w:spacing w:after="0"/>
              <w:rPr>
                <w:sz w:val="19"/>
                <w:szCs w:val="19"/>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66,607</w:t>
            </w:r>
          </w:p>
        </w:tc>
        <w:tc>
          <w:tcPr>
            <w:tcW w:w="2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(57,741)</w:t>
            </w:r>
          </w:p>
        </w:tc>
        <w:tc>
          <w:tcPr>
            <w:tcW w:w="26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843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31,020</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6"/>
                <w:szCs w:val="16"/>
                <w:color w:val="auto"/>
              </w:rPr>
              <w:t>2018</w:t>
            </w:r>
          </w:p>
        </w:tc>
        <w:tc>
          <w:tcPr>
            <w:tcW w:w="2280" w:type="dxa"/>
            <w:vAlign w:val="bottom"/>
          </w:tcPr>
          <w:p>
            <w:pPr>
              <w:spacing w:after="0"/>
              <w:rPr>
                <w:sz w:val="19"/>
                <w:szCs w:val="19"/>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16,043</w:t>
            </w:r>
          </w:p>
        </w:tc>
        <w:tc>
          <w:tcPr>
            <w:tcW w:w="320" w:type="dxa"/>
            <w:vAlign w:val="bottom"/>
          </w:tcPr>
          <w:p>
            <w:pPr>
              <w:spacing w:after="0"/>
              <w:rPr>
                <w:sz w:val="19"/>
                <w:szCs w:val="19"/>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55,664</w:t>
            </w:r>
          </w:p>
        </w:tc>
        <w:tc>
          <w:tcPr>
            <w:tcW w:w="2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(49,284)</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21,311</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in 2020, 2019, and 2018.</w:t>
      </w:r>
    </w:p>
    <w:p>
      <w:pPr>
        <w:spacing w:after="0" w:line="14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w:t>
      </w:r>
    </w:p>
    <w:p>
      <w:pPr>
        <w:spacing w:after="0" w:line="107"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During 2020, 2019, and 2018 the Company purchased a total of 406,112, 3,392, and 199,023 shares, respectively, of its Class B common stock at a cost of approximately $161.8 million, $2.1 million, and $118.0 million, respectively. On September 10, 2020, the Board of Directors authorized the Company to purchase up to 500,000 shares of its Class B Common Stock. The Company did not announce a ceiling price or time limit for the purchases. No shares remained under the previous authorization. At December 31, 2020, the Company had remaining authorization from the Board of Directors to purchase up to 364,151 shares of Class B common stock.</w:t>
      </w:r>
    </w:p>
    <w:p>
      <w:pPr>
        <w:spacing w:after="0" w:line="109"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2012, the Company adopted an incentive compensation plan (the 2012 Plan), which, among other provisions, authorizes</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incentive compensation plan. Stock awards made under the 2012 Plan are primarily subject to the general restriction that stock awarded to a participant will be forfeited and revert to Company ownership if the participant’s employment terminates before the end of a specified period of service to the Company. The number of Class B common shares authorized for issuance under the 2012 Plan is 772,588 shares. At December 31, 2020, there were 557,871 shares reserved for issuance under the 2012 incentive compensation plan. Of this number, 218,171 shares were subject to stock awards and stock options outstanding, and 339,700 shares were available for future awards.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 2012 incentive compensation plan for the year ended December 31, 2020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202"/>
        </w:trPr>
        <w:tc>
          <w:tcPr>
            <w:tcW w:w="8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12"/>
        </w:trPr>
        <w:tc>
          <w:tcPr>
            <w:tcW w:w="8960" w:type="dxa"/>
            <w:vAlign w:val="bottom"/>
          </w:tcPr>
          <w:p>
            <w:pPr>
              <w:ind w:left="2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29,140</w:t>
            </w:r>
          </w:p>
        </w:tc>
        <w:tc>
          <w:tcPr>
            <w:tcW w:w="420" w:type="dxa"/>
            <w:vAlign w:val="bottom"/>
          </w:tcPr>
          <w:p>
            <w:pPr>
              <w:jc w:val="right"/>
              <w:ind w:right="145"/>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584.50</w:t>
            </w:r>
          </w:p>
        </w:tc>
      </w:tr>
      <w:tr>
        <w:trPr>
          <w:trHeight w:val="233"/>
        </w:trPr>
        <w:tc>
          <w:tcPr>
            <w:tcW w:w="8960" w:type="dxa"/>
            <w:vAlign w:val="bottom"/>
          </w:tcPr>
          <w:p>
            <w:pPr>
              <w:ind w:left="2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1,100</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420.65</w:t>
            </w:r>
          </w:p>
        </w:tc>
      </w:tr>
      <w:tr>
        <w:trPr>
          <w:trHeight w:val="229"/>
        </w:trPr>
        <w:tc>
          <w:tcPr>
            <w:tcW w:w="8960" w:type="dxa"/>
            <w:vAlign w:val="bottom"/>
          </w:tcPr>
          <w:p>
            <w:pPr>
              <w:ind w:left="2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(1,350)</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424.91</w:t>
            </w:r>
          </w:p>
        </w:tc>
      </w:tr>
      <w:tr>
        <w:trPr>
          <w:trHeight w:val="233"/>
        </w:trPr>
        <w:tc>
          <w:tcPr>
            <w:tcW w:w="89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(1,650)</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610.14</w:t>
            </w:r>
          </w:p>
        </w:tc>
      </w:tr>
      <w:tr>
        <w:trPr>
          <w:trHeight w:val="227"/>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27,240</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584.24</w:t>
            </w:r>
          </w:p>
        </w:tc>
      </w:tr>
      <w:tr>
        <w:trPr>
          <w:trHeight w:val="21"/>
        </w:trPr>
        <w:tc>
          <w:tcPr>
            <w:tcW w:w="8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2" w:name="page103"/>
    <w:bookmarkEnd w:id="102"/>
    <w:p>
      <w:pPr>
        <w:ind w:right="120"/>
        <w:spacing w:after="0" w:line="239" w:lineRule="auto"/>
        <w:rPr>
          <w:sz w:val="20"/>
          <w:szCs w:val="20"/>
          <w:color w:val="auto"/>
        </w:rPr>
      </w:pPr>
      <w:r>
        <w:rPr>
          <w:rFonts w:ascii="Arial" w:cs="Arial" w:eastAsia="Arial" w:hAnsi="Arial"/>
          <w:sz w:val="18"/>
          <w:szCs w:val="18"/>
          <w:color w:val="auto"/>
        </w:rPr>
        <w:t>For the share awards outstanding at December 31, 2020, the aforementioned restriction will lapse in 2021 for 12,575 shares and in 2023 for 14,665 shares. Also, early in 2021, the Company issued stock awards of 19,293 shares. Stock-based compensation costs resulting from Company stock awards were $4.1 million, $4.2 million and $4.4 million in 2020, 2019 and 2018, respectively.</w:t>
      </w:r>
    </w:p>
    <w:p>
      <w:pPr>
        <w:spacing w:after="0" w:line="11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of December 31, 2020, there was $4.7 million of total unrecognized compensation expense related to these awards. That cost is expected to be recognized on a straight-line basis over a weighted average period of 1.1 years.</w:t>
      </w:r>
    </w:p>
    <w:p>
      <w:pPr>
        <w:spacing w:after="0" w:line="9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2012 Plan cannot be less than the fair value on the grant date, generally vest over six</w:t>
      </w:r>
      <w:r>
        <w:rPr>
          <w:rFonts w:ascii="Arial" w:cs="Arial" w:eastAsia="Arial" w:hAnsi="Arial"/>
          <w:sz w:val="18"/>
          <w:szCs w:val="18"/>
          <w:b w:val="1"/>
          <w:bCs w:val="1"/>
          <w:color w:val="auto"/>
        </w:rPr>
        <w:t xml:space="preserve"> </w:t>
      </w:r>
      <w:r>
        <w:rPr>
          <w:rFonts w:ascii="Arial" w:cs="Arial" w:eastAsia="Arial" w:hAnsi="Arial"/>
          <w:sz w:val="18"/>
          <w:szCs w:val="18"/>
          <w:color w:val="auto"/>
        </w:rPr>
        <w:t>years and have a maximum term of ten years. In 2020, a grant was issued that vests over six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for the year ended December 31, 2020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Average Option</w:t>
            </w:r>
          </w:p>
        </w:tc>
      </w:tr>
      <w:tr>
        <w:trPr>
          <w:trHeight w:val="202"/>
        </w:trPr>
        <w:tc>
          <w:tcPr>
            <w:tcW w:w="88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Price</w:t>
            </w:r>
          </w:p>
        </w:tc>
      </w:tr>
      <w:tr>
        <w:trPr>
          <w:trHeight w:val="212"/>
        </w:trPr>
        <w:tc>
          <w:tcPr>
            <w:tcW w:w="8860" w:type="dxa"/>
            <w:vAlign w:val="bottom"/>
          </w:tcPr>
          <w:p>
            <w:pPr>
              <w:ind w:left="20"/>
              <w:spacing w:after="0"/>
              <w:rPr>
                <w:sz w:val="20"/>
                <w:szCs w:val="20"/>
                <w:color w:val="auto"/>
              </w:rPr>
            </w:pPr>
            <w:r>
              <w:rPr>
                <w:rFonts w:ascii="Arial" w:cs="Arial" w:eastAsia="Arial" w:hAnsi="Arial"/>
                <w:sz w:val="16"/>
                <w:szCs w:val="16"/>
                <w:color w:val="auto"/>
              </w:rPr>
              <w:t>Beginning of year</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183,189</w:t>
            </w:r>
          </w:p>
        </w:tc>
        <w:tc>
          <w:tcPr>
            <w:tcW w:w="3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569.31</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2"/>
              <w:spacing w:after="0"/>
              <w:rPr>
                <w:sz w:val="20"/>
                <w:szCs w:val="20"/>
                <w:color w:val="auto"/>
              </w:rPr>
            </w:pPr>
            <w:r>
              <w:rPr>
                <w:rFonts w:ascii="Arial" w:cs="Arial" w:eastAsia="Arial" w:hAnsi="Arial"/>
                <w:sz w:val="16"/>
                <w:szCs w:val="16"/>
                <w:b w:val="1"/>
                <w:bCs w:val="1"/>
                <w:color w:val="auto"/>
              </w:rPr>
              <w:t>85,000</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426.86</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(77,258)</w:t>
            </w:r>
          </w:p>
        </w:tc>
        <w:tc>
          <w:tcPr>
            <w:tcW w:w="380" w:type="dxa"/>
            <w:vAlign w:val="bottom"/>
          </w:tcPr>
          <w:p>
            <w:pPr>
              <w:spacing w:after="0"/>
              <w:rPr>
                <w:sz w:val="20"/>
                <w:szCs w:val="20"/>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325.26</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 of Year</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190,931</w:t>
            </w:r>
          </w:p>
        </w:tc>
        <w:tc>
          <w:tcPr>
            <w:tcW w:w="38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604.65</w:t>
            </w:r>
          </w:p>
        </w:tc>
      </w:tr>
      <w:tr>
        <w:trPr>
          <w:trHeight w:val="21"/>
        </w:trPr>
        <w:tc>
          <w:tcPr>
            <w:tcW w:w="8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Of the shares covered by options outstanding at the end of 2020, 100,804 are now exercisable; 18,626 will become exercisable in 2021; 14,500 will become exercisable in 2022; 14,502 will become exercisable in 2023; 14,167 will become exercisable in 2024; 14,166 will become exercisable in 2025; and 14,166 will become exercisable in 2026. For 2020, the Company recorded expense of $2.2 million related to stock options. For 2019 and 2018, the Company recorded expense of $2.0 million related to stock options each year. Information related to stock options outstanding and exercisable at December 31, 2020,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58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2"/>
          </w:tcPr>
          <w:p>
            <w:pPr>
              <w:ind w:left="1120"/>
              <w:spacing w:after="0"/>
              <w:rPr>
                <w:sz w:val="20"/>
                <w:szCs w:val="20"/>
                <w:color w:val="auto"/>
              </w:rPr>
            </w:pPr>
            <w:r>
              <w:rPr>
                <w:rFonts w:ascii="Arial" w:cs="Arial" w:eastAsia="Arial" w:hAnsi="Arial"/>
                <w:sz w:val="14"/>
                <w:szCs w:val="14"/>
                <w:b w:val="1"/>
                <w:bCs w:val="1"/>
                <w:color w:val="auto"/>
              </w:rPr>
              <w:t>Options Exercisable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2"/>
                <w:szCs w:val="12"/>
                <w:color w:val="auto"/>
              </w:rPr>
            </w:pPr>
          </w:p>
        </w:tc>
        <w:tc>
          <w:tcPr>
            <w:tcW w:w="98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auto"/>
              </w:rPr>
              <w:t>Weighted</w:t>
            </w:r>
          </w:p>
        </w:tc>
        <w:tc>
          <w:tcPr>
            <w:tcW w:w="118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2"/>
                <w:szCs w:val="12"/>
                <w:color w:val="auto"/>
              </w:rPr>
            </w:pPr>
          </w:p>
        </w:tc>
        <w:tc>
          <w:tcPr>
            <w:tcW w:w="86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2"/>
                <w:szCs w:val="12"/>
                <w:color w:val="auto"/>
              </w:rPr>
            </w:pPr>
          </w:p>
        </w:tc>
        <w:tc>
          <w:tcPr>
            <w:tcW w:w="980" w:type="dxa"/>
            <w:vAlign w:val="bottom"/>
          </w:tcPr>
          <w:p>
            <w:pPr>
              <w:jc w:val="center"/>
              <w:ind w:right="183"/>
              <w:spacing w:after="0" w:line="149" w:lineRule="exact"/>
              <w:rPr>
                <w:sz w:val="20"/>
                <w:szCs w:val="20"/>
                <w:color w:val="auto"/>
              </w:rPr>
            </w:pPr>
            <w:r>
              <w:rPr>
                <w:rFonts w:ascii="Arial" w:cs="Arial" w:eastAsia="Arial" w:hAnsi="Arial"/>
                <w:sz w:val="14"/>
                <w:szCs w:val="14"/>
                <w:b w:val="1"/>
                <w:bCs w:val="1"/>
                <w:color w:val="auto"/>
              </w:rPr>
              <w:t>Average</w:t>
            </w:r>
          </w:p>
        </w:tc>
        <w:tc>
          <w:tcPr>
            <w:tcW w:w="118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8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Outstanding at</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160" w:type="dxa"/>
            <w:vAlign w:val="bottom"/>
          </w:tcPr>
          <w:p>
            <w:pPr>
              <w:spacing w:after="0"/>
              <w:rPr>
                <w:sz w:val="12"/>
                <w:szCs w:val="12"/>
                <w:color w:val="auto"/>
              </w:rPr>
            </w:pPr>
          </w:p>
        </w:tc>
        <w:tc>
          <w:tcPr>
            <w:tcW w:w="98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rPr>
              <w:t>Exercise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Exercisable at</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86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02"/>
        </w:trPr>
        <w:tc>
          <w:tcPr>
            <w:tcW w:w="3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9"/>
              </w:rPr>
              <w:t>Price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12/31/2020</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6"/>
                <w:szCs w:val="16"/>
                <w:b w:val="1"/>
                <w:bCs w:val="1"/>
                <w:color w:val="auto"/>
              </w:rPr>
              <w:t>$244</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1.9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243.85</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1,931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243.85</w:t>
            </w:r>
          </w:p>
        </w:tc>
        <w:tc>
          <w:tcPr>
            <w:tcW w:w="0" w:type="dxa"/>
            <w:vAlign w:val="bottom"/>
          </w:tcPr>
          <w:p>
            <w:pPr>
              <w:spacing w:after="0"/>
              <w:rPr>
                <w:sz w:val="1"/>
                <w:szCs w:val="1"/>
                <w:color w:val="auto"/>
              </w:rPr>
            </w:pPr>
          </w:p>
        </w:tc>
      </w:tr>
      <w:tr>
        <w:trPr>
          <w:trHeight w:val="229"/>
        </w:trPr>
        <w:tc>
          <w:tcPr>
            <w:tcW w:w="3820" w:type="dxa"/>
            <w:vAlign w:val="bottom"/>
          </w:tcPr>
          <w:p>
            <w:pPr>
              <w:ind w:left="140"/>
              <w:spacing w:after="0"/>
              <w:rPr>
                <w:sz w:val="20"/>
                <w:szCs w:val="20"/>
                <w:color w:val="auto"/>
              </w:rPr>
            </w:pPr>
            <w:r>
              <w:rPr>
                <w:rFonts w:ascii="Arial" w:cs="Arial" w:eastAsia="Arial" w:hAnsi="Arial"/>
                <w:sz w:val="16"/>
                <w:szCs w:val="16"/>
                <w:b w:val="1"/>
                <w:bCs w:val="1"/>
                <w:color w:val="auto"/>
              </w:rPr>
              <w:t>427</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85,000</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9.7</w:t>
            </w:r>
          </w:p>
        </w:tc>
        <w:tc>
          <w:tcPr>
            <w:tcW w:w="16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426.86</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6"/>
                <w:szCs w:val="16"/>
                <w:b w:val="1"/>
                <w:bCs w:val="1"/>
                <w:color w:val="auto"/>
              </w:rPr>
              <w:t>719</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3.8</w:t>
            </w:r>
          </w:p>
        </w:tc>
        <w:tc>
          <w:tcPr>
            <w:tcW w:w="16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719.15</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3.8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719.15</w:t>
            </w:r>
          </w:p>
        </w:tc>
        <w:tc>
          <w:tcPr>
            <w:tcW w:w="0" w:type="dxa"/>
            <w:vAlign w:val="bottom"/>
          </w:tcPr>
          <w:p>
            <w:pPr>
              <w:spacing w:after="0"/>
              <w:rPr>
                <w:sz w:val="1"/>
                <w:szCs w:val="1"/>
                <w:color w:val="auto"/>
              </w:rPr>
            </w:pPr>
          </w:p>
        </w:tc>
      </w:tr>
      <w:tr>
        <w:trPr>
          <w:trHeight w:val="233"/>
        </w:trPr>
        <w:tc>
          <w:tcPr>
            <w:tcW w:w="3820" w:type="dxa"/>
            <w:vAlign w:val="bottom"/>
          </w:tcPr>
          <w:p>
            <w:pPr>
              <w:ind w:left="140"/>
              <w:spacing w:after="0"/>
              <w:rPr>
                <w:sz w:val="20"/>
                <w:szCs w:val="20"/>
                <w:color w:val="auto"/>
              </w:rPr>
            </w:pPr>
            <w:r>
              <w:rPr>
                <w:rFonts w:ascii="Arial" w:cs="Arial" w:eastAsia="Arial" w:hAnsi="Arial"/>
                <w:sz w:val="16"/>
                <w:szCs w:val="16"/>
                <w:b w:val="1"/>
                <w:bCs w:val="1"/>
                <w:color w:val="auto"/>
              </w:rPr>
              <w:t>805–872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5.0</w:t>
            </w:r>
          </w:p>
        </w:tc>
        <w:tc>
          <w:tcPr>
            <w:tcW w:w="160" w:type="dxa"/>
            <w:vAlign w:val="bottom"/>
          </w:tcPr>
          <w:p>
            <w:pPr>
              <w:spacing w:after="0"/>
              <w:rPr>
                <w:sz w:val="20"/>
                <w:szCs w:val="20"/>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865.02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21,615</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4.9</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865.62</w:t>
            </w:r>
          </w:p>
        </w:tc>
        <w:tc>
          <w:tcPr>
            <w:tcW w:w="0" w:type="dxa"/>
            <w:vAlign w:val="bottom"/>
          </w:tcPr>
          <w:p>
            <w:pPr>
              <w:spacing w:after="0"/>
              <w:rPr>
                <w:sz w:val="1"/>
                <w:szCs w:val="1"/>
                <w:color w:val="auto"/>
              </w:rPr>
            </w:pPr>
          </w:p>
        </w:tc>
      </w:tr>
      <w:tr>
        <w:trPr>
          <w:trHeight w:val="227"/>
        </w:trPr>
        <w:tc>
          <w:tcPr>
            <w:tcW w:w="38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190,931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8"/>
              </w:rPr>
              <w:t>6.6</w:t>
            </w:r>
          </w:p>
        </w:tc>
        <w:tc>
          <w:tcPr>
            <w:tcW w:w="16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b w:val="1"/>
                <w:bCs w:val="1"/>
                <w:color w:val="auto"/>
              </w:rPr>
              <w:t>604.65</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100,804</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4.0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741.45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At December 31, 2020, the intrinsic value for all options outstanding, exercisable and unvested was $9.6 million, $0.6 million and $9.0 million, respectively. The intrinsic value of a stock option is the amount by which the market value of the underlying stock exceeds the exercise price of the option. The market value of the Company’s stock was $533.38 at December 31, 2020. At December 31, 2020, there were 90,127 unvested options related to this plan with an average exercise price of $ 451.64 and a weighted average remaining contractual term of 9.4 years. At December 31, 2019, there were 22,461 unvested options with an average exercise price of $780.81 and a weighted average remaining contractual term of 5.4 years.</w:t>
      </w:r>
    </w:p>
    <w:p>
      <w:pPr>
        <w:spacing w:after="0" w:line="111"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As of December 31, 2020, total unrecognized stock-based compensation expense related to stock options was $8.1 million, which is expected to be recognized on a straight-line basis over a weighted average period of approximately 5.4 years. There were 77,258 options exercised during 2020. The total intrinsic value of options exercised during 2020 was $11.1 million; a tax benefit from these stock option exercises of $2.9 million was realized. There were 1,743 options exercised during 2019. The total intrinsic value of options exercised during 2019 was $0.6 million; a tax benefit from these stock option exercises of $0.2 million was realized. There were 588 options exercised during 2018. The total intrinsic value of options exercised during 2018 was $0.2 million; a tax benefit from these option exercises of $0.1 million was realized.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granted 85,000 options at an exercise price above the fair market value of its common stock at the date of grant.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grant-date fair value of options granted during 2020 was $93.79. No options were granted during 2019 or 2018.</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60" w:type="dxa"/>
            <w:vAlign w:val="bottom"/>
            <w:tcBorders>
              <w:bottom w:val="single" w:sz="8" w:color="auto"/>
            </w:tcBorders>
          </w:tcPr>
          <w:p>
            <w:pPr>
              <w:spacing w:after="0"/>
              <w:rPr>
                <w:sz w:val="17"/>
                <w:szCs w:val="17"/>
                <w:color w:val="auto"/>
              </w:rPr>
            </w:pPr>
          </w:p>
        </w:tc>
        <w:tc>
          <w:tcPr>
            <w:tcW w:w="5340" w:type="dxa"/>
            <w:vAlign w:val="bottom"/>
            <w:tcBorders>
              <w:bottom w:val="single" w:sz="8" w:color="auto"/>
            </w:tcBorders>
          </w:tcPr>
          <w:p>
            <w:pPr>
              <w:jc w:val="center"/>
              <w:ind w:left="3661"/>
              <w:spacing w:after="0"/>
              <w:rPr>
                <w:sz w:val="20"/>
                <w:szCs w:val="20"/>
                <w:color w:val="auto"/>
              </w:rPr>
            </w:pPr>
            <w:r>
              <w:rPr>
                <w:rFonts w:ascii="Arial" w:cs="Arial" w:eastAsia="Arial" w:hAnsi="Arial"/>
                <w:sz w:val="14"/>
                <w:szCs w:val="14"/>
                <w:b w:val="1"/>
                <w:bCs w:val="1"/>
                <w:color w:val="auto"/>
              </w:rPr>
              <w:t>2020</w:t>
            </w:r>
          </w:p>
        </w:tc>
      </w:tr>
      <w:tr>
        <w:trPr>
          <w:trHeight w:val="217"/>
        </w:trPr>
        <w:tc>
          <w:tcPr>
            <w:tcW w:w="576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5340" w:type="dxa"/>
            <w:vAlign w:val="bottom"/>
          </w:tcPr>
          <w:p>
            <w:pPr>
              <w:jc w:val="center"/>
              <w:ind w:left="3681"/>
              <w:spacing w:after="0"/>
              <w:rPr>
                <w:sz w:val="20"/>
                <w:szCs w:val="20"/>
                <w:color w:val="auto"/>
              </w:rPr>
            </w:pPr>
            <w:r>
              <w:rPr>
                <w:rFonts w:ascii="Arial" w:cs="Arial" w:eastAsia="Arial" w:hAnsi="Arial"/>
                <w:sz w:val="16"/>
                <w:szCs w:val="16"/>
                <w:b w:val="1"/>
                <w:bCs w:val="1"/>
                <w:color w:val="auto"/>
              </w:rPr>
              <w:t>8</w:t>
            </w: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5340" w:type="dxa"/>
            <w:vAlign w:val="bottom"/>
          </w:tcPr>
          <w:p>
            <w:pPr>
              <w:jc w:val="center"/>
              <w:ind w:left="3681"/>
              <w:spacing w:after="0"/>
              <w:rPr>
                <w:sz w:val="20"/>
                <w:szCs w:val="20"/>
                <w:color w:val="auto"/>
              </w:rPr>
            </w:pPr>
            <w:r>
              <w:rPr>
                <w:rFonts w:ascii="Arial" w:cs="Arial" w:eastAsia="Arial" w:hAnsi="Arial"/>
                <w:sz w:val="16"/>
                <w:szCs w:val="16"/>
                <w:b w:val="1"/>
                <w:bCs w:val="1"/>
                <w:color w:val="auto"/>
              </w:rPr>
              <w:t>0.53%</w:t>
            </w: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5340" w:type="dxa"/>
            <w:vAlign w:val="bottom"/>
          </w:tcPr>
          <w:p>
            <w:pPr>
              <w:jc w:val="center"/>
              <w:ind w:left="3681"/>
              <w:spacing w:after="0"/>
              <w:rPr>
                <w:sz w:val="20"/>
                <w:szCs w:val="20"/>
                <w:color w:val="auto"/>
              </w:rPr>
            </w:pPr>
            <w:r>
              <w:rPr>
                <w:rFonts w:ascii="Arial" w:cs="Arial" w:eastAsia="Arial" w:hAnsi="Arial"/>
                <w:sz w:val="16"/>
                <w:szCs w:val="16"/>
                <w:b w:val="1"/>
                <w:bCs w:val="1"/>
                <w:color w:val="auto"/>
                <w:w w:val="99"/>
              </w:rPr>
              <w:t>27.70%</w:t>
            </w:r>
          </w:p>
        </w:tc>
      </w:tr>
      <w:tr>
        <w:trPr>
          <w:trHeight w:val="229"/>
        </w:trPr>
        <w:tc>
          <w:tcPr>
            <w:tcW w:w="576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5340" w:type="dxa"/>
            <w:vAlign w:val="bottom"/>
          </w:tcPr>
          <w:p>
            <w:pPr>
              <w:jc w:val="center"/>
              <w:ind w:left="3681"/>
              <w:spacing w:after="0"/>
              <w:rPr>
                <w:sz w:val="20"/>
                <w:szCs w:val="20"/>
                <w:color w:val="auto"/>
              </w:rPr>
            </w:pPr>
            <w:r>
              <w:rPr>
                <w:rFonts w:ascii="Arial" w:cs="Arial" w:eastAsia="Arial" w:hAnsi="Arial"/>
                <w:sz w:val="16"/>
                <w:szCs w:val="16"/>
                <w:b w:val="1"/>
                <w:bCs w:val="1"/>
                <w:color w:val="auto"/>
              </w:rPr>
              <w:t>1.45%</w:t>
            </w:r>
          </w:p>
        </w:tc>
      </w:tr>
    </w:tbl>
    <w:p>
      <w:pPr>
        <w:spacing w:after="0" w:line="22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At December 31, 2020, a Kaplan senior manager holds 7,206 Kaplan restricted shares. The fair value of Kaplan’s common stock is determined by the Company’s compensation committee of the Board of Directors, and in January 2021, the committee set the fair value price at $1,247 per share. No options were awarded during 2020, 2019, or 2018; no options were exercised during 2020, 2019 or 2018; and no options were outstanding at December 31, 2020.</w:t>
      </w:r>
    </w:p>
    <w:p>
      <w:pPr>
        <w:spacing w:after="0" w:line="11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Kaplan recorded a stock compensation credit of $1.1 million and $1.3 million in 2020 and 2019, respectively. In 2018, Kaplan recorded stock compensation expense of $ 0.5 million. At December 31, 2020, the Company’s accrual balance related to the Kaplan restricted shares totaled $9.0 million. There were no payouts in 2020, 2019 or 2018.</w:t>
      </w:r>
    </w:p>
    <w:p>
      <w:pPr>
        <w:spacing w:after="0" w:line="10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11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17"/>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300,365</w:t>
            </w:r>
          </w:p>
        </w:tc>
        <w:tc>
          <w:tcPr>
            <w:tcW w:w="5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327,855</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271,206</w:t>
            </w: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(29,970)</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(29,553)</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(28,617)</w:t>
            </w:r>
          </w:p>
        </w:tc>
        <w:tc>
          <w:tcPr>
            <w:tcW w:w="0" w:type="dxa"/>
            <w:vAlign w:val="bottom"/>
          </w:tcPr>
          <w:p>
            <w:pPr>
              <w:spacing w:after="0"/>
              <w:rPr>
                <w:sz w:val="1"/>
                <w:szCs w:val="1"/>
                <w:color w:val="auto"/>
              </w:rPr>
            </w:pPr>
          </w:p>
        </w:tc>
      </w:tr>
      <w:tr>
        <w:trPr>
          <w:trHeight w:val="223"/>
        </w:trPr>
        <w:tc>
          <w:tcPr>
            <w:tcW w:w="716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270,395</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298,302</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242,589</w:t>
            </w:r>
          </w:p>
        </w:tc>
        <w:tc>
          <w:tcPr>
            <w:tcW w:w="0" w:type="dxa"/>
            <w:vAlign w:val="bottom"/>
          </w:tcPr>
          <w:p>
            <w:pPr>
              <w:spacing w:after="0"/>
              <w:rPr>
                <w:sz w:val="1"/>
                <w:szCs w:val="1"/>
                <w:color w:val="auto"/>
              </w:rPr>
            </w:pPr>
          </w:p>
        </w:tc>
      </w:tr>
      <w:tr>
        <w:trPr>
          <w:trHeight w:val="232"/>
        </w:trPr>
        <w:tc>
          <w:tcPr>
            <w:tcW w:w="716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b w:val="1"/>
                <w:bCs w:val="1"/>
                <w:color w:val="auto"/>
              </w:rPr>
              <w:t>99.45 %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99.45 %</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99.39 %</w:t>
            </w:r>
          </w:p>
        </w:tc>
        <w:tc>
          <w:tcPr>
            <w:tcW w:w="0" w:type="dxa"/>
            <w:vAlign w:val="bottom"/>
          </w:tcPr>
          <w:p>
            <w:pPr>
              <w:spacing w:after="0"/>
              <w:rPr>
                <w:sz w:val="1"/>
                <w:szCs w:val="1"/>
                <w:color w:val="auto"/>
              </w:rPr>
            </w:pPr>
          </w:p>
        </w:tc>
      </w:tr>
      <w:tr>
        <w:trPr>
          <w:trHeight w:val="220"/>
        </w:trPr>
        <w:tc>
          <w:tcPr>
            <w:tcW w:w="7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268,917</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296,665</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241,115</w:t>
            </w:r>
          </w:p>
        </w:tc>
        <w:tc>
          <w:tcPr>
            <w:tcW w:w="0" w:type="dxa"/>
            <w:vAlign w:val="bottom"/>
          </w:tcPr>
          <w:p>
            <w:pPr>
              <w:spacing w:after="0"/>
              <w:rPr>
                <w:sz w:val="1"/>
                <w:szCs w:val="1"/>
                <w:color w:val="auto"/>
              </w:rPr>
            </w:pPr>
          </w:p>
        </w:tc>
      </w:tr>
      <w:tr>
        <w:trPr>
          <w:trHeight w:val="232"/>
        </w:trPr>
        <w:tc>
          <w:tcPr>
            <w:tcW w:w="716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29,812</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29,387</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28,423</w:t>
            </w:r>
          </w:p>
        </w:tc>
        <w:tc>
          <w:tcPr>
            <w:tcW w:w="0" w:type="dxa"/>
            <w:vAlign w:val="bottom"/>
          </w:tcPr>
          <w:p>
            <w:pPr>
              <w:spacing w:after="0"/>
              <w:rPr>
                <w:sz w:val="1"/>
                <w:szCs w:val="1"/>
                <w:color w:val="auto"/>
              </w:rPr>
            </w:pPr>
          </w:p>
        </w:tc>
      </w:tr>
      <w:tr>
        <w:trPr>
          <w:trHeight w:val="227"/>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basic earnings per share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298,729</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326,052</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269,538</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3"/>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Numerator for diluted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298,733</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326,065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269,548</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1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Denominator for basic earnings per share:</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5,124</w:t>
            </w:r>
          </w:p>
        </w:tc>
        <w:tc>
          <w:tcPr>
            <w:tcW w:w="54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5,285</w:t>
            </w:r>
          </w:p>
        </w:tc>
        <w:tc>
          <w:tcPr>
            <w:tcW w:w="360" w:type="dxa"/>
            <w:vAlign w:val="bottom"/>
          </w:tcPr>
          <w:p>
            <w:pPr>
              <w:spacing w:after="0"/>
              <w:rPr>
                <w:sz w:val="19"/>
                <w:szCs w:val="19"/>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5,333</w:t>
            </w:r>
          </w:p>
        </w:tc>
        <w:tc>
          <w:tcPr>
            <w:tcW w:w="0" w:type="dxa"/>
            <w:vAlign w:val="bottom"/>
          </w:tcPr>
          <w:p>
            <w:pPr>
              <w:spacing w:after="0"/>
              <w:rPr>
                <w:sz w:val="1"/>
                <w:szCs w:val="1"/>
                <w:color w:val="auto"/>
              </w:rPr>
            </w:pPr>
          </w:p>
        </w:tc>
      </w:tr>
      <w:tr>
        <w:trPr>
          <w:trHeight w:val="233"/>
        </w:trPr>
        <w:tc>
          <w:tcPr>
            <w:tcW w:w="716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42</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27"/>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Denominator for diluted earnings per share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5,139</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5,327</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5,370</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160" w:type="dxa"/>
            <w:vAlign w:val="bottom"/>
            <w:vMerge w:val="continue"/>
          </w:tcPr>
          <w:p>
            <w:pPr>
              <w:spacing w:after="0"/>
              <w:rPr>
                <w:sz w:val="18"/>
                <w:szCs w:val="18"/>
                <w:color w:val="auto"/>
              </w:rPr>
            </w:pP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58.30</w:t>
            </w:r>
          </w:p>
        </w:tc>
        <w:tc>
          <w:tcPr>
            <w:tcW w:w="540" w:type="dxa"/>
            <w:vAlign w:val="bottom"/>
            <w:vMerge w:val="restart"/>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180"/>
              <w:spacing w:after="0"/>
              <w:rPr>
                <w:sz w:val="20"/>
                <w:szCs w:val="20"/>
                <w:color w:val="auto"/>
              </w:rPr>
            </w:pPr>
            <w:r>
              <w:rPr>
                <w:rFonts w:ascii="Arial" w:cs="Arial" w:eastAsia="Arial" w:hAnsi="Arial"/>
                <w:sz w:val="16"/>
                <w:szCs w:val="16"/>
                <w:color w:val="auto"/>
              </w:rPr>
              <w:t>61.70</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color w:val="auto"/>
              </w:rPr>
              <w:t>50.55</w:t>
            </w:r>
          </w:p>
        </w:tc>
        <w:tc>
          <w:tcPr>
            <w:tcW w:w="0" w:type="dxa"/>
            <w:vAlign w:val="bottom"/>
          </w:tcPr>
          <w:p>
            <w:pPr>
              <w:spacing w:after="0"/>
              <w:rPr>
                <w:sz w:val="1"/>
                <w:szCs w:val="1"/>
                <w:color w:val="auto"/>
              </w:rPr>
            </w:pPr>
          </w:p>
        </w:tc>
      </w:tr>
      <w:tr>
        <w:trPr>
          <w:trHeight w:val="242"/>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58.13</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61.21</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80" w:type="dxa"/>
            <w:vAlign w:val="bottom"/>
          </w:tcPr>
          <w:p>
            <w:pPr>
              <w:spacing w:after="0"/>
              <w:rPr>
                <w:sz w:val="17"/>
                <w:szCs w:val="17"/>
                <w:color w:val="auto"/>
              </w:rPr>
            </w:pPr>
          </w:p>
        </w:tc>
        <w:tc>
          <w:tcPr>
            <w:tcW w:w="2720" w:type="dxa"/>
            <w:vAlign w:val="bottom"/>
            <w:tcBorders>
              <w:bottom w:val="single" w:sz="8" w:color="auto"/>
            </w:tcBorders>
            <w:gridSpan w:val="2"/>
          </w:tcPr>
          <w:p>
            <w:pPr>
              <w:jc w:val="center"/>
              <w:ind w:left="725"/>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98"/>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2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uto"/>
            </w:tcBorders>
          </w:tcPr>
          <w:p>
            <w:pPr>
              <w:jc w:val="right"/>
              <w:ind w:right="724"/>
              <w:spacing w:after="0"/>
              <w:rPr>
                <w:sz w:val="20"/>
                <w:szCs w:val="20"/>
                <w:color w:val="auto"/>
              </w:rPr>
            </w:pPr>
            <w:r>
              <w:rPr>
                <w:rFonts w:ascii="Arial" w:cs="Arial" w:eastAsia="Arial" w:hAnsi="Arial"/>
                <w:sz w:val="14"/>
                <w:szCs w:val="14"/>
                <w:color w:val="auto"/>
              </w:rPr>
              <w:t>2019</w:t>
            </w:r>
          </w:p>
        </w:tc>
        <w:tc>
          <w:tcPr>
            <w:tcW w:w="8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2018</w:t>
            </w:r>
          </w:p>
        </w:tc>
      </w:tr>
      <w:tr>
        <w:trPr>
          <w:trHeight w:val="222"/>
        </w:trPr>
        <w:tc>
          <w:tcPr>
            <w:tcW w:w="768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320" w:type="dxa"/>
            <w:vAlign w:val="bottom"/>
          </w:tcPr>
          <w:p>
            <w:pPr>
              <w:jc w:val="right"/>
              <w:ind w:right="205"/>
              <w:spacing w:after="0"/>
              <w:rPr>
                <w:sz w:val="20"/>
                <w:szCs w:val="20"/>
                <w:color w:val="auto"/>
              </w:rPr>
            </w:pPr>
            <w:r>
              <w:rPr>
                <w:rFonts w:ascii="Arial" w:cs="Arial" w:eastAsia="Arial" w:hAnsi="Arial"/>
                <w:sz w:val="16"/>
                <w:szCs w:val="16"/>
                <w:b w:val="1"/>
                <w:bCs w:val="1"/>
                <w:color w:val="auto"/>
              </w:rPr>
              <w:t>12</w:t>
            </w:r>
          </w:p>
        </w:tc>
        <w:tc>
          <w:tcPr>
            <w:tcW w:w="1400" w:type="dxa"/>
            <w:vAlign w:val="bottom"/>
          </w:tcPr>
          <w:p>
            <w:pPr>
              <w:jc w:val="right"/>
              <w:ind w:right="404"/>
              <w:spacing w:after="0"/>
              <w:rPr>
                <w:sz w:val="20"/>
                <w:szCs w:val="20"/>
                <w:color w:val="auto"/>
              </w:rPr>
            </w:pPr>
            <w:r>
              <w:rPr>
                <w:rFonts w:ascii="Arial" w:cs="Arial" w:eastAsia="Arial" w:hAnsi="Arial"/>
                <w:sz w:val="16"/>
                <w:szCs w:val="16"/>
                <w:color w:val="auto"/>
              </w:rPr>
              <w:t>12</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23</w:t>
            </w:r>
          </w:p>
        </w:tc>
      </w:tr>
    </w:tbl>
    <w:p>
      <w:pPr>
        <w:spacing w:after="0" w:line="200" w:lineRule="exact"/>
        <w:rPr>
          <w:sz w:val="20"/>
          <w:szCs w:val="20"/>
          <w:color w:val="auto"/>
        </w:rPr>
      </w:pP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04" w:name="page105"/>
    <w:bookmarkEnd w:id="104"/>
    <w:p>
      <w:pPr>
        <w:ind w:right="200"/>
        <w:spacing w:after="0" w:line="234" w:lineRule="auto"/>
        <w:rPr>
          <w:sz w:val="20"/>
          <w:szCs w:val="20"/>
          <w:color w:val="auto"/>
        </w:rPr>
      </w:pPr>
      <w:r>
        <w:rPr>
          <w:rFonts w:ascii="Arial" w:cs="Arial" w:eastAsia="Arial" w:hAnsi="Arial"/>
          <w:sz w:val="18"/>
          <w:szCs w:val="18"/>
          <w:color w:val="auto"/>
        </w:rPr>
        <w:t>The 2020 diluted earnings per share amount excludes the effects of 189,000 stock options outstanding, as their inclusion would have been antidilutive due to a market condition. The 2019 and 2018 diluted earnings per share amounts exclude the effects of 104,000 stock options outstanding, as their inclusion would have been antidilutive due to a market condition. The 2018 diluted earnings per share amounts also exclude the effects of 2,650 restricted stock awards, as their inclusion would have been antidilutive due to a performance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2020, 2019 and 2018, the Company declared regular dividends totaling $5.80, $5.56 and $5.32 per share, respectively.</w:t>
      </w:r>
    </w:p>
    <w:p>
      <w:pPr>
        <w:spacing w:after="0" w:line="14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46"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4"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December 2019, the Company purchased an irrevocable group annuity contract from an insurance company for $ 216.8 million to settle $212.1 million of the outstanding defined benefit pension obligation related to certain retirees and beneficiaries. The purchase of the group annuity contract was funded from the assets of the Company’s pension plan. As a result of this transaction, the Company was relieved of all responsibility for these pension obligations and the insurance company is now required to pay and administer the retirement benefits owed to approximately 3,800 retirees and beneficiaries, with no change to the amount, timing or form of monthly retirement benefit payments. As a result, the Company recorded a one-time settlement gain of $91.7 million.</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net on the Consolidated Statements of Operations.</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On October 31, 2018, the Company made certain changes to the other postretirement plans, including changes in eligibility, cost sharing and surviving spouse coverage. As a result, the Company remeasured the accumulated and projected benefit obligation of the other postretirement plans as of October 31, 2018, and the Company recorded a curtailment gain in the fourth quarter of 2018. The new measurement basis was used for the recognition of the Company’s other postretirement plans cost following the remeasurement.</w:t>
      </w:r>
    </w:p>
    <w:p>
      <w:pPr>
        <w:spacing w:after="0" w:line="10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Supplemental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(SERP) offered to certain executives of the Company.</w:t>
      </w:r>
    </w:p>
    <w:p>
      <w:pPr>
        <w:spacing w:after="0" w:line="88"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In the second quarter of 2020, the Company recorded $6.0 million in expenses related to a Separation Incentive Program (SIP) for certain Kaplan, Code3 and Decile employees, which was funded from the assets of the Company’s pension plan. In the third quarter of 2020, the Company recorded $7.8 million in expenses related to a SIP for certain Kaplan employees, which was funded from the assets of the Company’s pension plan.</w:t>
      </w:r>
    </w:p>
    <w:p>
      <w:pPr>
        <w:spacing w:after="0" w:line="111"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In the second quarter of 2019, the Company offered a SIP for certain Kaplan employees, which was funded from the assets of the Company’s pension plan. The Company recorded $6.4 million in expense related to the SIP for 2019.</w:t>
      </w:r>
    </w:p>
    <w:p>
      <w:pPr>
        <w:spacing w:after="0" w:line="92"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In the fourth quarter of 2018, the Company offered certain terminated participants with a vested pension benefit an opportunity to take their benefits in the form of a lump sum or an annuity. Most of the participants that elected a lump sum benefit under the program were paid in December 2018. Additional lump sum payments were paid in early 2019. The Company recorded a $26.9 million settlement gain related to the bulk lump sum pension program offering.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Pension Plans</w:t>
            </w:r>
          </w:p>
        </w:tc>
        <w:tc>
          <w:tcPr>
            <w:tcW w:w="0" w:type="dxa"/>
            <w:vAlign w:val="bottom"/>
          </w:tcPr>
          <w:p>
            <w:pPr>
              <w:spacing w:after="0"/>
              <w:rPr>
                <w:sz w:val="1"/>
                <w:szCs w:val="1"/>
                <w:color w:val="auto"/>
              </w:rPr>
            </w:pPr>
          </w:p>
        </w:tc>
      </w:tr>
      <w:tr>
        <w:trPr>
          <w:trHeight w:val="197"/>
        </w:trPr>
        <w:tc>
          <w:tcPr>
            <w:tcW w:w="88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1,020,356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1,116,569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22,656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32,587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Amendments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69</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Actuarial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78,900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(73,232)</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(64,354)</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Special termination benefits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13,781</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8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(235,544)</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1,095,117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1,020,356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gridSpan w:val="2"/>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2,312,706</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2,120,127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563,948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492,477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b w:val="1"/>
                <w:bCs w:val="1"/>
                <w:color w:val="auto"/>
              </w:rPr>
              <w:t>(73,232)</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(64,354)</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(235,544)</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2,803,422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2,312,706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1,708,305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1,292,350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8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rPr>
              <w:t>SERP</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116,193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954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3,678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Actuarial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7,448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(5,974)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122,299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5,974</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(5,974)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(122,299)</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change in the Company’s benefit obligations for the pension plan and SERP were primarily due to the recognition of an actuarial loss resulting from a decrease to the discount rate used to measure the benefit obligation.</w:t>
      </w:r>
    </w:p>
    <w:p>
      <w:pPr>
        <w:spacing w:after="0" w:line="9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accumulated benefit obligation for the Company’s pension plans at December 31, 2020 and 2019, was $1,064.3 million and $991.1 million, respectively. The accumulated benefit obligation for the Company’s SERP at December 31, 2020 and 2019, was $121.7 million and $114.8 million, respectively. The amounts recognized in the Company’s Consolidated Balance Sheets for its defined benefit pension plans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197"/>
        </w:trPr>
        <w:tc>
          <w:tcPr>
            <w:tcW w:w="6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As of December 31</w:t>
            </w:r>
          </w:p>
        </w:tc>
        <w:tc>
          <w:tcPr>
            <w:tcW w:w="3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2019</w:t>
            </w:r>
          </w:p>
        </w:tc>
      </w:tr>
      <w:tr>
        <w:trPr>
          <w:trHeight w:val="222"/>
        </w:trPr>
        <w:tc>
          <w:tcPr>
            <w:tcW w:w="6320" w:type="dxa"/>
            <w:vAlign w:val="bottom"/>
          </w:tcPr>
          <w:p>
            <w:pPr>
              <w:ind w:left="20"/>
              <w:spacing w:after="0"/>
              <w:rPr>
                <w:sz w:val="20"/>
                <w:szCs w:val="20"/>
                <w:color w:val="auto"/>
              </w:rPr>
            </w:pPr>
            <w:r>
              <w:rPr>
                <w:rFonts w:ascii="Arial" w:cs="Arial" w:eastAsia="Arial" w:hAnsi="Arial"/>
                <w:sz w:val="16"/>
                <w:szCs w:val="16"/>
                <w:color w:val="auto"/>
              </w:rPr>
              <w:t>Noncurrent asset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1,708,305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1,292,350</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77"/>
        </w:trPr>
        <w:tc>
          <w:tcPr>
            <w:tcW w:w="6320" w:type="dxa"/>
            <w:vAlign w:val="bottom"/>
          </w:tcPr>
          <w:p>
            <w:pPr>
              <w:ind w:left="20"/>
              <w:spacing w:after="0"/>
              <w:rPr>
                <w:sz w:val="20"/>
                <w:szCs w:val="20"/>
                <w:color w:val="auto"/>
              </w:rPr>
            </w:pPr>
            <w:r>
              <w:rPr>
                <w:rFonts w:ascii="Arial" w:cs="Arial" w:eastAsia="Arial" w:hAnsi="Arial"/>
                <w:sz w:val="16"/>
                <w:szCs w:val="16"/>
                <w:color w:val="auto"/>
              </w:rPr>
              <w:t>Current liability</w:t>
            </w:r>
          </w:p>
        </w:tc>
        <w:tc>
          <w:tcPr>
            <w:tcW w:w="24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b w:val="1"/>
                <w:bCs w:val="1"/>
                <w:color w:val="auto"/>
              </w:rPr>
              <w:t>(6,495)</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(6,447)</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Noncurrent liability</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(115,804)</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(109,746)</w:t>
            </w:r>
          </w:p>
        </w:tc>
      </w:tr>
      <w:tr>
        <w:trPr>
          <w:trHeight w:val="227"/>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Recognized Asset (Liability)</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1,708,305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1,292,350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(122,299)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(116,193)</w:t>
            </w: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Pension Plans</w:t>
            </w:r>
          </w:p>
        </w:tc>
        <w:tc>
          <w:tcPr>
            <w:tcW w:w="1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223"/>
              <w:spacing w:after="0"/>
              <w:rPr>
                <w:sz w:val="20"/>
                <w:szCs w:val="20"/>
                <w:color w:val="auto"/>
              </w:rPr>
            </w:pPr>
            <w:r>
              <w:rPr>
                <w:rFonts w:ascii="Arial" w:cs="Arial" w:eastAsia="Arial" w:hAnsi="Arial"/>
                <w:sz w:val="14"/>
                <w:szCs w:val="14"/>
                <w:b w:val="1"/>
                <w:bCs w:val="1"/>
                <w:color w:val="auto"/>
                <w:w w:val="99"/>
              </w:rPr>
              <w:t>SERP</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4040" w:type="dxa"/>
            <w:vAlign w:val="bottom"/>
            <w:tcBorders>
              <w:bottom w:val="single" w:sz="8" w:color="auto"/>
            </w:tcBorders>
            <w:gridSpan w:val="2"/>
          </w:tcPr>
          <w:p>
            <w:pPr>
              <w:jc w:val="center"/>
              <w:ind w:right="101"/>
              <w:spacing w:after="0"/>
              <w:rPr>
                <w:sz w:val="20"/>
                <w:szCs w:val="20"/>
                <w:color w:val="auto"/>
              </w:rPr>
            </w:pPr>
            <w:r>
              <w:rPr>
                <w:rFonts w:ascii="Arial" w:cs="Arial" w:eastAsia="Arial" w:hAnsi="Arial"/>
                <w:sz w:val="14"/>
                <w:szCs w:val="14"/>
                <w:b w:val="1"/>
                <w:bCs w:val="1"/>
                <w:color w:val="auto"/>
              </w:rPr>
              <w:t>As of December 31</w:t>
            </w:r>
          </w:p>
        </w:tc>
        <w:tc>
          <w:tcPr>
            <w:tcW w:w="3100" w:type="dxa"/>
            <w:vAlign w:val="bottom"/>
            <w:tcBorders>
              <w:bottom w:val="single" w:sz="8" w:color="auto"/>
            </w:tcBorders>
            <w:gridSpan w:val="2"/>
          </w:tcPr>
          <w:p>
            <w:pPr>
              <w:jc w:val="center"/>
              <w:ind w:right="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2020</w:t>
            </w:r>
          </w:p>
        </w:tc>
        <w:tc>
          <w:tcPr>
            <w:tcW w:w="2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b w:val="1"/>
                <w:bCs w:val="1"/>
                <w:color w:val="auto"/>
              </w:rPr>
              <w:t>2020</w:t>
            </w:r>
          </w:p>
        </w:tc>
        <w:tc>
          <w:tcPr>
            <w:tcW w:w="188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404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2.5%</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w w:val="98"/>
              </w:rPr>
              <w:t>3.3%</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w w:val="98"/>
              </w:rPr>
              <w:t>2.5%</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6"/>
                <w:szCs w:val="16"/>
                <w:color w:val="auto"/>
              </w:rPr>
              <w:t>Rate of compensation increase – age graded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5.0%–1.0%</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220" w:type="dxa"/>
            <w:vAlign w:val="bottom"/>
          </w:tcPr>
          <w:p>
            <w:pPr>
              <w:jc w:val="center"/>
              <w:ind w:left="103"/>
              <w:spacing w:after="0"/>
              <w:rPr>
                <w:sz w:val="20"/>
                <w:szCs w:val="20"/>
                <w:color w:val="auto"/>
              </w:rPr>
            </w:pPr>
            <w:r>
              <w:rPr>
                <w:rFonts w:ascii="Arial" w:cs="Arial" w:eastAsia="Arial" w:hAnsi="Arial"/>
                <w:sz w:val="16"/>
                <w:szCs w:val="16"/>
                <w:b w:val="1"/>
                <w:bCs w:val="1"/>
                <w:color w:val="auto"/>
              </w:rPr>
              <w:t>5.0%–1.0%</w:t>
            </w: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96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rPr>
              <w:t>1.41% with phase in to</w:t>
            </w:r>
          </w:p>
        </w:tc>
        <w:tc>
          <w:tcPr>
            <w:tcW w:w="2080" w:type="dxa"/>
            <w:vAlign w:val="bottom"/>
          </w:tcPr>
          <w:p>
            <w:pPr>
              <w:jc w:val="center"/>
              <w:ind w:right="41"/>
              <w:spacing w:after="0" w:line="177" w:lineRule="exact"/>
              <w:rPr>
                <w:sz w:val="20"/>
                <w:szCs w:val="20"/>
                <w:color w:val="auto"/>
              </w:rPr>
            </w:pPr>
            <w:r>
              <w:rPr>
                <w:rFonts w:ascii="Arial" w:cs="Arial" w:eastAsia="Arial" w:hAnsi="Arial"/>
                <w:sz w:val="16"/>
                <w:szCs w:val="16"/>
                <w:color w:val="auto"/>
              </w:rPr>
              <w:t>2.77% with phase in to</w:t>
            </w:r>
          </w:p>
        </w:tc>
        <w:tc>
          <w:tcPr>
            <w:tcW w:w="1220" w:type="dxa"/>
            <w:vAlign w:val="bottom"/>
            <w:vMerge w:val="restart"/>
          </w:tcPr>
          <w:p>
            <w:pPr>
              <w:jc w:val="center"/>
              <w:ind w:left="103"/>
              <w:spacing w:after="0"/>
              <w:rPr>
                <w:sz w:val="20"/>
                <w:szCs w:val="20"/>
                <w:color w:val="auto"/>
              </w:rPr>
            </w:pPr>
            <w:r>
              <w:rPr>
                <w:rFonts w:ascii="Arial" w:cs="Arial" w:eastAsia="Arial" w:hAnsi="Arial"/>
                <w:sz w:val="16"/>
                <w:szCs w:val="16"/>
                <w:b w:val="1"/>
                <w:bCs w:val="1"/>
                <w:color w:val="auto"/>
                <w:w w:val="99"/>
              </w:rPr>
              <w:t>—</w:t>
            </w: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2.50% in 2023</w:t>
            </w:r>
          </w:p>
        </w:tc>
        <w:tc>
          <w:tcPr>
            <w:tcW w:w="2080" w:type="dxa"/>
            <w:vAlign w:val="bottom"/>
          </w:tcPr>
          <w:p>
            <w:pPr>
              <w:jc w:val="center"/>
              <w:ind w:right="41"/>
              <w:spacing w:after="0"/>
              <w:rPr>
                <w:sz w:val="20"/>
                <w:szCs w:val="20"/>
                <w:color w:val="auto"/>
              </w:rPr>
            </w:pPr>
            <w:r>
              <w:rPr>
                <w:rFonts w:ascii="Arial" w:cs="Arial" w:eastAsia="Arial" w:hAnsi="Arial"/>
                <w:sz w:val="16"/>
                <w:szCs w:val="16"/>
                <w:color w:val="auto"/>
              </w:rPr>
              <w:t>3.30% in 2022</w:t>
            </w:r>
          </w:p>
        </w:tc>
        <w:tc>
          <w:tcPr>
            <w:tcW w:w="1220" w:type="dxa"/>
            <w:vAlign w:val="bottom"/>
            <w:vMerge w:val="continue"/>
          </w:tcPr>
          <w:p>
            <w:pPr>
              <w:spacing w:after="0"/>
              <w:rPr>
                <w:sz w:val="19"/>
                <w:szCs w:val="19"/>
                <w:color w:val="auto"/>
              </w:rPr>
            </w:pPr>
          </w:p>
        </w:tc>
        <w:tc>
          <w:tcPr>
            <w:tcW w:w="1880" w:type="dxa"/>
            <w:vAlign w:val="bottom"/>
          </w:tcPr>
          <w:p>
            <w:pPr>
              <w:jc w:val="center"/>
              <w:ind w:left="2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made no contributions to its pension plans in 2020 and 2019, and the Company does not expect to make any contributions in 2021. The Company made contributions to its SERP of $6.0 million and $7.1 million for the years ended December 31, 2020 and 2019, respectively. As the plan is unfunded, the Company makes contributions to the SERP based on actual benefit payments.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future estimated benefit payments, excluding charges for early retirement programs,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5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2021</w:t>
            </w:r>
          </w:p>
        </w:tc>
        <w:tc>
          <w:tcPr>
            <w:tcW w:w="42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61,312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6,576</w:t>
            </w:r>
          </w:p>
        </w:tc>
      </w:tr>
      <w:tr>
        <w:trPr>
          <w:trHeight w:val="225"/>
        </w:trPr>
        <w:tc>
          <w:tcPr>
            <w:tcW w:w="4900" w:type="dxa"/>
            <w:vAlign w:val="bottom"/>
          </w:tcPr>
          <w:p>
            <w:pPr>
              <w:ind w:left="20"/>
              <w:spacing w:after="0"/>
              <w:rPr>
                <w:sz w:val="20"/>
                <w:szCs w:val="20"/>
                <w:color w:val="auto"/>
              </w:rPr>
            </w:pPr>
            <w:r>
              <w:rPr>
                <w:rFonts w:ascii="Arial" w:cs="Arial" w:eastAsia="Arial" w:hAnsi="Arial"/>
                <w:sz w:val="16"/>
                <w:szCs w:val="16"/>
                <w:color w:val="auto"/>
              </w:rPr>
              <w:t>2022</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61,461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6,818</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2023</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61,888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7,014</w:t>
            </w:r>
          </w:p>
        </w:tc>
      </w:tr>
      <w:tr>
        <w:trPr>
          <w:trHeight w:val="230"/>
        </w:trPr>
        <w:tc>
          <w:tcPr>
            <w:tcW w:w="4900" w:type="dxa"/>
            <w:vAlign w:val="bottom"/>
          </w:tcPr>
          <w:p>
            <w:pPr>
              <w:ind w:left="20"/>
              <w:spacing w:after="0"/>
              <w:rPr>
                <w:sz w:val="20"/>
                <w:szCs w:val="20"/>
                <w:color w:val="auto"/>
              </w:rPr>
            </w:pPr>
            <w:r>
              <w:rPr>
                <w:rFonts w:ascii="Arial" w:cs="Arial" w:eastAsia="Arial" w:hAnsi="Arial"/>
                <w:sz w:val="16"/>
                <w:szCs w:val="16"/>
                <w:color w:val="auto"/>
              </w:rPr>
              <w:t>2024</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62,496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7,150</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2025</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63,056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7,229</w:t>
            </w:r>
          </w:p>
        </w:tc>
      </w:tr>
      <w:tr>
        <w:trPr>
          <w:trHeight w:val="229"/>
        </w:trPr>
        <w:tc>
          <w:tcPr>
            <w:tcW w:w="4900" w:type="dxa"/>
            <w:vAlign w:val="bottom"/>
          </w:tcPr>
          <w:p>
            <w:pPr>
              <w:ind w:left="20"/>
              <w:spacing w:after="0"/>
              <w:rPr>
                <w:sz w:val="20"/>
                <w:szCs w:val="20"/>
                <w:color w:val="auto"/>
              </w:rPr>
            </w:pPr>
            <w:r>
              <w:rPr>
                <w:rFonts w:ascii="Arial" w:cs="Arial" w:eastAsia="Arial" w:hAnsi="Arial"/>
                <w:sz w:val="16"/>
                <w:szCs w:val="16"/>
                <w:color w:val="auto"/>
              </w:rPr>
              <w:t>2026–2030</w:t>
            </w:r>
          </w:p>
        </w:tc>
        <w:tc>
          <w:tcPr>
            <w:tcW w:w="4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303,420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36,132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cost arising from the Company’s defined benefit pension plans consists of the following components: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7"/>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22,656</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20,422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18,221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32,587</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46,821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46,787</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(113,427)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(122,790)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(129,220)</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2,830</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2,882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31"/>
        </w:trPr>
        <w:tc>
          <w:tcPr>
            <w:tcW w:w="764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(9,969)</w:t>
            </w:r>
          </w:p>
        </w:tc>
      </w:tr>
      <w:tr>
        <w:trPr>
          <w:trHeight w:val="223"/>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(55,354)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(52,665)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(74,031)</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(91,676)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(26,917)</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13,781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6,432</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(41,573)</w:t>
            </w: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(137,909)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(101,754)</w:t>
            </w:r>
          </w:p>
        </w:tc>
      </w:tr>
      <w:tr>
        <w:trPr>
          <w:trHeight w:val="150"/>
        </w:trPr>
        <w:tc>
          <w:tcPr>
            <w:tcW w:w="7640" w:type="dxa"/>
            <w:vAlign w:val="bottom"/>
          </w:tcPr>
          <w:p>
            <w:pPr>
              <w:ind w:left="20"/>
              <w:spacing w:after="0" w:line="150" w:lineRule="exact"/>
              <w:rPr>
                <w:sz w:val="20"/>
                <w:szCs w:val="20"/>
                <w:color w:val="auto"/>
              </w:rPr>
            </w:pPr>
            <w:r>
              <w:rPr>
                <w:rFonts w:ascii="Arial" w:cs="Arial" w:eastAsia="Arial" w:hAnsi="Arial"/>
                <w:sz w:val="16"/>
                <w:szCs w:val="16"/>
                <w:b w:val="1"/>
                <w:bCs w:val="1"/>
                <w:color w:val="auto"/>
              </w:rPr>
              <w:t>Other Changes in Plan Assets and Benefit Obligations Recognized in Other Comprehensive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220"/>
          </w:cols>
          <w:pgMar w:left="320" w:top="1035" w:right="359" w:bottom="1440" w:gutter="0" w:footer="0" w:header="0"/>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year actuarial (gain) loss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year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net actuarial gain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Curtailment and settlement</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(371,621)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(245,402)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111,084</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69</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5,725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7,183</w:t>
            </w:r>
          </w:p>
        </w:tc>
      </w:tr>
      <w:tr>
        <w:trPr>
          <w:trHeight w:val="230"/>
        </w:trPr>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(2,830)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30"/>
        </w:trPr>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9,969</w:t>
            </w:r>
          </w:p>
        </w:tc>
      </w:tr>
      <w:tr>
        <w:trPr>
          <w:trHeight w:val="233"/>
        </w:trPr>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91,676</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26,887</w:t>
            </w:r>
          </w:p>
        </w:tc>
      </w:tr>
      <w:tr>
        <w:trPr>
          <w:trHeight w:val="226"/>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(374,382)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(150,883)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154,973</w:t>
            </w:r>
          </w:p>
        </w:tc>
      </w:tr>
      <w:tr>
        <w:trPr>
          <w:trHeight w:val="223"/>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(415,955)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(288,792)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53,219</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5" w:right="35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07" w:name="page108"/>
    <w:bookmarkEnd w:id="107"/>
    <w:tbl>
      <w:tblPr>
        <w:tblLayout w:type="fixed"/>
        <w:tblInd w:w="2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SERP</w:t>
            </w:r>
          </w:p>
        </w:tc>
        <w:tc>
          <w:tcPr>
            <w:tcW w:w="840" w:type="dxa"/>
            <w:vAlign w:val="bottom"/>
            <w:tcBorders>
              <w:bottom w:val="single" w:sz="8" w:color="auto"/>
            </w:tcBorders>
          </w:tcPr>
          <w:p>
            <w:pPr>
              <w:spacing w:after="0"/>
              <w:rPr>
                <w:sz w:val="17"/>
                <w:szCs w:val="17"/>
                <w:color w:val="auto"/>
              </w:rPr>
            </w:pPr>
          </w:p>
        </w:tc>
      </w:tr>
      <w:tr>
        <w:trPr>
          <w:trHeight w:val="197"/>
        </w:trPr>
        <w:tc>
          <w:tcPr>
            <w:tcW w:w="76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6"/>
        </w:trPr>
        <w:tc>
          <w:tcPr>
            <w:tcW w:w="7620" w:type="dxa"/>
            <w:vAlign w:val="bottom"/>
          </w:tcPr>
          <w:p>
            <w:pPr>
              <w:spacing w:after="0"/>
              <w:rPr>
                <w:sz w:val="20"/>
                <w:szCs w:val="20"/>
                <w:color w:val="auto"/>
              </w:rPr>
            </w:pPr>
            <w:r>
              <w:rPr>
                <w:rFonts w:ascii="Arial" w:cs="Arial" w:eastAsia="Arial" w:hAnsi="Arial"/>
                <w:sz w:val="14"/>
                <w:szCs w:val="14"/>
                <w:color w:val="auto"/>
              </w:rPr>
              <w:t>(in thousands)</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920" w:type="dxa"/>
            <w:vAlign w:val="bottom"/>
          </w:tcPr>
          <w:p>
            <w:pPr>
              <w:jc w:val="center"/>
              <w:spacing w:after="0"/>
              <w:rPr>
                <w:sz w:val="20"/>
                <w:szCs w:val="20"/>
                <w:color w:val="auto"/>
              </w:rPr>
            </w:pPr>
            <w:r>
              <w:rPr>
                <w:rFonts w:ascii="Arial" w:cs="Arial" w:eastAsia="Arial" w:hAnsi="Arial"/>
                <w:sz w:val="14"/>
                <w:szCs w:val="14"/>
                <w:color w:val="auto"/>
              </w:rPr>
              <w:t>2019</w:t>
            </w:r>
          </w:p>
        </w:tc>
        <w:tc>
          <w:tcPr>
            <w:tcW w:w="840" w:type="dxa"/>
            <w:vAlign w:val="bottom"/>
          </w:tcPr>
          <w:p>
            <w:pPr>
              <w:jc w:val="right"/>
              <w:ind w:right="328"/>
              <w:spacing w:after="0"/>
              <w:rPr>
                <w:sz w:val="20"/>
                <w:szCs w:val="20"/>
                <w:color w:val="auto"/>
              </w:rPr>
            </w:pPr>
            <w:r>
              <w:rPr>
                <w:rFonts w:ascii="Arial" w:cs="Arial" w:eastAsia="Arial" w:hAnsi="Arial"/>
                <w:sz w:val="14"/>
                <w:szCs w:val="14"/>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loss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Cost for the Year</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year actuarial loss (gain)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year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net actuarial loss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954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858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819</w:t>
            </w:r>
          </w:p>
        </w:tc>
      </w:tr>
      <w:tr>
        <w:trPr>
          <w:trHeight w:val="230"/>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3,678</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4,314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3,865</w:t>
            </w:r>
          </w:p>
        </w:tc>
      </w:tr>
      <w:tr>
        <w:trPr>
          <w:trHeight w:val="229"/>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331</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339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33"/>
        </w:trPr>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5,267</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2,314</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w:t>
            </w:r>
          </w:p>
        </w:tc>
      </w:tr>
      <w:tr>
        <w:trPr>
          <w:trHeight w:val="226"/>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10,230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7,825</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7,398</w:t>
            </w:r>
          </w:p>
        </w:tc>
      </w:tr>
      <w:tr>
        <w:trPr>
          <w:trHeight w:val="432"/>
        </w:trPr>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7,448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15,544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(7,552)</w:t>
            </w:r>
          </w:p>
        </w:tc>
      </w:tr>
      <w:tr>
        <w:trPr>
          <w:trHeight w:val="229"/>
        </w:trPr>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230"/>
        </w:trPr>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w:t>
            </w:r>
          </w:p>
        </w:tc>
      </w:tr>
      <w:tr>
        <w:trPr>
          <w:trHeight w:val="233"/>
        </w:trPr>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(5,267)</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w:t>
            </w:r>
          </w:p>
        </w:tc>
      </w:tr>
      <w:tr>
        <w:trPr>
          <w:trHeight w:val="226"/>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1,850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12,891</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(9,238)</w:t>
            </w:r>
          </w:p>
        </w:tc>
      </w:tr>
      <w:tr>
        <w:trPr>
          <w:trHeight w:val="223"/>
        </w:trPr>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12,080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20,716</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600"/>
          </w:cols>
          <w:pgMar w:left="320" w:top="1096" w:right="339" w:bottom="1440" w:gutter="0" w:footer="0" w:header="0"/>
          <w:type w:val="continuous"/>
        </w:sectPr>
      </w:pPr>
    </w:p>
    <w:p>
      <w:pPr>
        <w:spacing w:after="0" w:line="20"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Pension Plans</w:t>
            </w:r>
          </w:p>
        </w:tc>
        <w:tc>
          <w:tcPr>
            <w:tcW w:w="1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SERP</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80" w:type="dxa"/>
            <w:vAlign w:val="bottom"/>
          </w:tcPr>
          <w:p>
            <w:pPr>
              <w:spacing w:after="0"/>
              <w:rPr>
                <w:sz w:val="17"/>
                <w:szCs w:val="17"/>
                <w:color w:val="auto"/>
              </w:rPr>
            </w:pPr>
          </w:p>
        </w:tc>
        <w:tc>
          <w:tcPr>
            <w:tcW w:w="3100" w:type="dxa"/>
            <w:vAlign w:val="bottom"/>
            <w:tcBorders>
              <w:bottom w:val="single" w:sz="8" w:color="auto"/>
            </w:tcBorders>
            <w:gridSpan w:val="2"/>
          </w:tcPr>
          <w:p>
            <w:pPr>
              <w:jc w:val="center"/>
              <w:ind w:left="1301"/>
              <w:spacing w:after="0"/>
              <w:rPr>
                <w:sz w:val="20"/>
                <w:szCs w:val="20"/>
                <w:color w:val="auto"/>
              </w:rPr>
            </w:pPr>
            <w:r>
              <w:rPr>
                <w:rFonts w:ascii="Arial" w:cs="Arial" w:eastAsia="Arial" w:hAnsi="Arial"/>
                <w:sz w:val="14"/>
                <w:szCs w:val="14"/>
                <w:b w:val="1"/>
                <w:bCs w:val="1"/>
                <w:color w:val="auto"/>
              </w:rPr>
              <w:t>Year Ended December 31</w:t>
            </w:r>
          </w:p>
        </w:tc>
        <w:tc>
          <w:tcPr>
            <w:tcW w:w="146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2020</w:t>
            </w:r>
          </w:p>
        </w:tc>
        <w:tc>
          <w:tcPr>
            <w:tcW w:w="16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2019</w:t>
            </w: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rPr>
              <w:t>2018</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3.3%</w:t>
            </w: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4.3%</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4.0%/3.6%</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3.3%</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180" w:type="dxa"/>
            <w:vAlign w:val="bottom"/>
          </w:tcPr>
          <w:p>
            <w:pPr>
              <w:jc w:val="center"/>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6"/>
                <w:szCs w:val="16"/>
                <w:color w:val="auto"/>
              </w:rPr>
              <w:t>Expected return on plan assets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6.25%</w:t>
            </w: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6.25%</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6.25%</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78"/>
        </w:trPr>
        <w:tc>
          <w:tcPr>
            <w:tcW w:w="3080" w:type="dxa"/>
            <w:vAlign w:val="bottom"/>
          </w:tcPr>
          <w:p>
            <w:pPr>
              <w:ind w:left="20"/>
              <w:spacing w:after="0" w:line="178" w:lineRule="exact"/>
              <w:rPr>
                <w:sz w:val="20"/>
                <w:szCs w:val="20"/>
                <w:color w:val="auto"/>
              </w:rPr>
            </w:pPr>
            <w:r>
              <w:rPr>
                <w:rFonts w:ascii="Arial" w:cs="Arial" w:eastAsia="Arial" w:hAnsi="Arial"/>
                <w:sz w:val="16"/>
                <w:szCs w:val="16"/>
                <w:color w:val="auto"/>
              </w:rPr>
              <w:t>Rate of compensation increase – age</w:t>
            </w:r>
          </w:p>
        </w:tc>
        <w:tc>
          <w:tcPr>
            <w:tcW w:w="14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5.0%–1.0%</w:t>
            </w: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80" w:type="dxa"/>
            <w:vAlign w:val="bottom"/>
          </w:tcPr>
          <w:p>
            <w:pPr>
              <w:ind w:left="180"/>
              <w:spacing w:after="0"/>
              <w:rPr>
                <w:sz w:val="20"/>
                <w:szCs w:val="20"/>
                <w:color w:val="auto"/>
              </w:rPr>
            </w:pPr>
            <w:r>
              <w:rPr>
                <w:rFonts w:ascii="Arial" w:cs="Arial" w:eastAsia="Arial" w:hAnsi="Arial"/>
                <w:sz w:val="16"/>
                <w:szCs w:val="16"/>
                <w:color w:val="auto"/>
              </w:rPr>
              <w:t>graded</w:t>
            </w:r>
          </w:p>
        </w:tc>
        <w:tc>
          <w:tcPr>
            <w:tcW w:w="1480" w:type="dxa"/>
            <w:vAlign w:val="bottom"/>
            <w:vMerge w:val="continue"/>
          </w:tcPr>
          <w:p>
            <w:pPr>
              <w:spacing w:after="0"/>
              <w:rPr>
                <w:sz w:val="19"/>
                <w:szCs w:val="19"/>
                <w:color w:val="auto"/>
              </w:rPr>
            </w:pPr>
          </w:p>
        </w:tc>
        <w:tc>
          <w:tcPr>
            <w:tcW w:w="1620" w:type="dxa"/>
            <w:vAlign w:val="bottom"/>
          </w:tcPr>
          <w:p>
            <w:pPr>
              <w:jc w:val="center"/>
              <w:ind w:right="41"/>
              <w:spacing w:after="0"/>
              <w:rPr>
                <w:sz w:val="20"/>
                <w:szCs w:val="20"/>
                <w:color w:val="auto"/>
              </w:rPr>
            </w:pPr>
            <w:r>
              <w:rPr>
                <w:rFonts w:ascii="Arial" w:cs="Arial" w:eastAsia="Arial" w:hAnsi="Arial"/>
                <w:sz w:val="16"/>
                <w:szCs w:val="16"/>
                <w:color w:val="auto"/>
              </w:rPr>
              <w:t>5.0%–1.0%</w:t>
            </w:r>
          </w:p>
        </w:tc>
        <w:tc>
          <w:tcPr>
            <w:tcW w:w="1460" w:type="dxa"/>
            <w:vAlign w:val="bottom"/>
          </w:tcPr>
          <w:p>
            <w:pPr>
              <w:jc w:val="center"/>
              <w:ind w:right="80"/>
              <w:spacing w:after="0"/>
              <w:rPr>
                <w:sz w:val="20"/>
                <w:szCs w:val="20"/>
                <w:color w:val="auto"/>
              </w:rPr>
            </w:pPr>
            <w:r>
              <w:rPr>
                <w:rFonts w:ascii="Arial" w:cs="Arial" w:eastAsia="Arial" w:hAnsi="Arial"/>
                <w:sz w:val="16"/>
                <w:szCs w:val="16"/>
                <w:color w:val="auto"/>
              </w:rPr>
              <w:t>5.0%–1.0%</w:t>
            </w:r>
          </w:p>
        </w:tc>
        <w:tc>
          <w:tcPr>
            <w:tcW w:w="118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5.0%–1.0%</w:t>
            </w:r>
          </w:p>
        </w:tc>
        <w:tc>
          <w:tcPr>
            <w:tcW w:w="1180" w:type="dxa"/>
            <w:vAlign w:val="bottom"/>
          </w:tcPr>
          <w:p>
            <w:pPr>
              <w:jc w:val="center"/>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480" w:type="dxa"/>
            <w:vAlign w:val="bottom"/>
          </w:tcPr>
          <w:p>
            <w:pPr>
              <w:jc w:val="center"/>
              <w:spacing w:after="0" w:line="177" w:lineRule="exact"/>
              <w:rPr>
                <w:sz w:val="20"/>
                <w:szCs w:val="20"/>
                <w:color w:val="auto"/>
              </w:rPr>
            </w:pPr>
            <w:r>
              <w:rPr>
                <w:rFonts w:ascii="Arial" w:cs="Arial" w:eastAsia="Arial" w:hAnsi="Arial"/>
                <w:sz w:val="16"/>
                <w:szCs w:val="16"/>
                <w:b w:val="1"/>
                <w:bCs w:val="1"/>
                <w:color w:val="auto"/>
              </w:rPr>
              <w:t>2.77% with phase</w:t>
            </w:r>
          </w:p>
        </w:tc>
        <w:tc>
          <w:tcPr>
            <w:tcW w:w="1620" w:type="dxa"/>
            <w:vAlign w:val="bottom"/>
          </w:tcPr>
          <w:p>
            <w:pPr>
              <w:jc w:val="center"/>
              <w:ind w:right="61"/>
              <w:spacing w:after="0" w:line="177" w:lineRule="exact"/>
              <w:rPr>
                <w:sz w:val="20"/>
                <w:szCs w:val="20"/>
                <w:color w:val="auto"/>
              </w:rPr>
            </w:pPr>
            <w:r>
              <w:rPr>
                <w:rFonts w:ascii="Arial" w:cs="Arial" w:eastAsia="Arial" w:hAnsi="Arial"/>
                <w:sz w:val="16"/>
                <w:szCs w:val="16"/>
                <w:color w:val="auto"/>
              </w:rPr>
              <w:t>3.45% with phase</w:t>
            </w:r>
          </w:p>
        </w:tc>
        <w:tc>
          <w:tcPr>
            <w:tcW w:w="1460" w:type="dxa"/>
            <w:vAlign w:val="bottom"/>
          </w:tcPr>
          <w:p>
            <w:pPr>
              <w:jc w:val="center"/>
              <w:ind w:right="60"/>
              <w:spacing w:after="0" w:line="177" w:lineRule="exact"/>
              <w:rPr>
                <w:sz w:val="20"/>
                <w:szCs w:val="20"/>
                <w:color w:val="auto"/>
              </w:rPr>
            </w:pPr>
            <w:r>
              <w:rPr>
                <w:rFonts w:ascii="Arial" w:cs="Arial" w:eastAsia="Arial" w:hAnsi="Arial"/>
                <w:sz w:val="16"/>
                <w:szCs w:val="16"/>
                <w:color w:val="auto"/>
              </w:rPr>
              <w:t>2.23% with phase</w:t>
            </w:r>
          </w:p>
        </w:tc>
        <w:tc>
          <w:tcPr>
            <w:tcW w:w="1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4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in to 3.30% in</w:t>
            </w:r>
          </w:p>
        </w:tc>
        <w:tc>
          <w:tcPr>
            <w:tcW w:w="1620" w:type="dxa"/>
            <w:vAlign w:val="bottom"/>
          </w:tcPr>
          <w:p>
            <w:pPr>
              <w:jc w:val="center"/>
              <w:ind w:right="41"/>
              <w:spacing w:after="0" w:line="175" w:lineRule="exact"/>
              <w:rPr>
                <w:sz w:val="20"/>
                <w:szCs w:val="20"/>
                <w:color w:val="auto"/>
              </w:rPr>
            </w:pPr>
            <w:r>
              <w:rPr>
                <w:rFonts w:ascii="Arial" w:cs="Arial" w:eastAsia="Arial" w:hAnsi="Arial"/>
                <w:sz w:val="16"/>
                <w:szCs w:val="16"/>
                <w:color w:val="auto"/>
              </w:rPr>
              <w:t>in to 4.30% in</w:t>
            </w:r>
          </w:p>
        </w:tc>
        <w:tc>
          <w:tcPr>
            <w:tcW w:w="1460" w:type="dxa"/>
            <w:vAlign w:val="bottom"/>
          </w:tcPr>
          <w:p>
            <w:pPr>
              <w:jc w:val="center"/>
              <w:ind w:right="80"/>
              <w:spacing w:after="0" w:line="175" w:lineRule="exact"/>
              <w:rPr>
                <w:sz w:val="20"/>
                <w:szCs w:val="20"/>
                <w:color w:val="auto"/>
              </w:rPr>
            </w:pPr>
            <w:r>
              <w:rPr>
                <w:rFonts w:ascii="Arial" w:cs="Arial" w:eastAsia="Arial" w:hAnsi="Arial"/>
                <w:sz w:val="16"/>
                <w:szCs w:val="16"/>
                <w:color w:val="auto"/>
              </w:rPr>
              <w:t>in to 3.00% in</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6"/>
                <w:szCs w:val="16"/>
                <w:color w:val="auto"/>
              </w:rPr>
              <w:t>Cash balance interest crediting rate</w:t>
            </w:r>
          </w:p>
        </w:tc>
        <w:tc>
          <w:tcPr>
            <w:tcW w:w="1480" w:type="dxa"/>
            <w:vAlign w:val="bottom"/>
          </w:tcPr>
          <w:p>
            <w:pPr>
              <w:jc w:val="center"/>
              <w:ind w:right="1"/>
              <w:spacing w:after="0"/>
              <w:rPr>
                <w:sz w:val="20"/>
                <w:szCs w:val="20"/>
                <w:color w:val="auto"/>
              </w:rPr>
            </w:pPr>
            <w:r>
              <w:rPr>
                <w:rFonts w:ascii="Arial" w:cs="Arial" w:eastAsia="Arial" w:hAnsi="Arial"/>
                <w:sz w:val="16"/>
                <w:szCs w:val="16"/>
                <w:b w:val="1"/>
                <w:bCs w:val="1"/>
                <w:color w:val="auto"/>
              </w:rPr>
              <w:t>2022</w:t>
            </w:r>
          </w:p>
        </w:tc>
        <w:tc>
          <w:tcPr>
            <w:tcW w:w="1620" w:type="dxa"/>
            <w:vAlign w:val="bottom"/>
          </w:tcPr>
          <w:p>
            <w:pPr>
              <w:jc w:val="center"/>
              <w:ind w:right="61"/>
              <w:spacing w:after="0"/>
              <w:rPr>
                <w:sz w:val="20"/>
                <w:szCs w:val="20"/>
                <w:color w:val="auto"/>
              </w:rPr>
            </w:pPr>
            <w:r>
              <w:rPr>
                <w:rFonts w:ascii="Arial" w:cs="Arial" w:eastAsia="Arial" w:hAnsi="Arial"/>
                <w:sz w:val="16"/>
                <w:szCs w:val="16"/>
                <w:color w:val="auto"/>
              </w:rPr>
              <w:t>2021</w:t>
            </w:r>
          </w:p>
        </w:tc>
        <w:tc>
          <w:tcPr>
            <w:tcW w:w="1460" w:type="dxa"/>
            <w:vAlign w:val="bottom"/>
          </w:tcPr>
          <w:p>
            <w:pPr>
              <w:jc w:val="center"/>
              <w:ind w:right="60"/>
              <w:spacing w:after="0"/>
              <w:rPr>
                <w:sz w:val="20"/>
                <w:szCs w:val="20"/>
                <w:color w:val="auto"/>
              </w:rPr>
            </w:pPr>
            <w:r>
              <w:rPr>
                <w:rFonts w:ascii="Arial" w:cs="Arial" w:eastAsia="Arial" w:hAnsi="Arial"/>
                <w:sz w:val="16"/>
                <w:szCs w:val="16"/>
                <w:color w:val="auto"/>
              </w:rPr>
              <w:t>2020</w:t>
            </w:r>
          </w:p>
        </w:tc>
        <w:tc>
          <w:tcPr>
            <w:tcW w:w="1180" w:type="dxa"/>
            <w:vAlign w:val="bottom"/>
            <w:vMerge w:val="continue"/>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p>
      <w:pPr>
        <w:spacing w:after="0" w:line="159" w:lineRule="exact"/>
        <w:rPr>
          <w:sz w:val="20"/>
          <w:szCs w:val="20"/>
          <w:color w:val="auto"/>
        </w:rPr>
      </w:pPr>
    </w:p>
    <w:p>
      <w:pPr>
        <w:ind w:left="260" w:right="20" w:hanging="252"/>
        <w:spacing w:after="0" w:line="249" w:lineRule="auto"/>
        <w:tabs>
          <w:tab w:leader="none" w:pos="304" w:val="left"/>
        </w:tabs>
        <w:numPr>
          <w:ilvl w:val="0"/>
          <w:numId w:val="69"/>
        </w:numPr>
        <w:rPr>
          <w:rFonts w:ascii="Arial" w:cs="Arial" w:eastAsia="Arial" w:hAnsi="Arial"/>
          <w:sz w:val="13"/>
          <w:szCs w:val="13"/>
          <w:color w:val="auto"/>
        </w:rPr>
      </w:pPr>
      <w:r>
        <w:rPr>
          <w:rFonts w:ascii="Arial" w:cs="Arial" w:eastAsia="Arial" w:hAnsi="Arial"/>
          <w:sz w:val="13"/>
          <w:szCs w:val="13"/>
          <w:color w:val="auto"/>
        </w:rPr>
        <w:t>As a result of the Kaplan University transaction, the Company remeasured the accumulated and projected benefit obligation of the pension plan as of March 22, 2018. The remeasurement changed the discount rate from 3.6% for the period January 1 to March 23, 2018 to 4.0% for the period after March 23, 2018.</w:t>
      </w:r>
    </w:p>
    <w:p>
      <w:pPr>
        <w:spacing w:after="0" w:line="107"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center"/>
              <w:ind w:right="221"/>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197"/>
        </w:trPr>
        <w:tc>
          <w:tcPr>
            <w:tcW w:w="6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center"/>
              <w:ind w:right="221"/>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2019</w:t>
            </w:r>
          </w:p>
        </w:tc>
      </w:tr>
      <w:tr>
        <w:trPr>
          <w:trHeight w:val="217"/>
        </w:trPr>
        <w:tc>
          <w:tcPr>
            <w:tcW w:w="6400" w:type="dxa"/>
            <w:vAlign w:val="bottom"/>
          </w:tcPr>
          <w:p>
            <w:pPr>
              <w:ind w:left="2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(839,156)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ind w:left="160"/>
              <w:spacing w:after="0"/>
              <w:rPr>
                <w:sz w:val="20"/>
                <w:szCs w:val="20"/>
                <w:color w:val="auto"/>
              </w:rPr>
            </w:pPr>
            <w:r>
              <w:rPr>
                <w:rFonts w:ascii="Arial" w:cs="Arial" w:eastAsia="Arial" w:hAnsi="Arial"/>
                <w:sz w:val="16"/>
                <w:szCs w:val="16"/>
                <w:color w:val="auto"/>
              </w:rPr>
              <w:t>(467,535)</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32,681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30,500</w:t>
            </w:r>
          </w:p>
        </w:tc>
      </w:tr>
      <w:tr>
        <w:trPr>
          <w:trHeight w:val="230"/>
        </w:trPr>
        <w:tc>
          <w:tcPr>
            <w:tcW w:w="6400" w:type="dxa"/>
            <w:vAlign w:val="bottom"/>
          </w:tcPr>
          <w:p>
            <w:pPr>
              <w:ind w:left="2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7,355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10,116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367</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698</w:t>
            </w:r>
          </w:p>
        </w:tc>
      </w:tr>
      <w:tr>
        <w:trPr>
          <w:trHeight w:val="223"/>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19"/>
                <w:szCs w:val="19"/>
                <w:color w:val="auto"/>
              </w:rPr>
            </w:pPr>
          </w:p>
        </w:tc>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(831,801)</w:t>
            </w:r>
          </w:p>
        </w:tc>
        <w:tc>
          <w:tcPr>
            <w:tcW w:w="30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Arial" w:cs="Arial" w:eastAsia="Arial" w:hAnsi="Arial"/>
                <w:sz w:val="16"/>
                <w:szCs w:val="16"/>
                <w:color w:val="auto"/>
              </w:rPr>
              <w:t>(457,419)</w:t>
            </w:r>
          </w:p>
        </w:tc>
        <w:tc>
          <w:tcPr>
            <w:tcW w:w="32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33,048</w:t>
            </w:r>
          </w:p>
        </w:tc>
        <w:tc>
          <w:tcPr>
            <w:tcW w:w="3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31,198</w:t>
            </w:r>
          </w:p>
        </w:tc>
      </w:tr>
      <w:tr>
        <w:trPr>
          <w:trHeight w:val="232"/>
        </w:trPr>
        <w:tc>
          <w:tcPr>
            <w:tcW w:w="6400" w:type="dxa"/>
            <w:vAlign w:val="bottom"/>
          </w:tcPr>
          <w:p>
            <w:pPr>
              <w:ind w:left="2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224,586</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123,503</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(8,923)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(8,423)</w:t>
            </w:r>
          </w:p>
        </w:tc>
      </w:tr>
      <w:tr>
        <w:trPr>
          <w:trHeight w:val="227"/>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(607,215)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(333,916)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24,125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22,775</w:t>
            </w: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a U.S. stock index fund, and a relatively small number of stocks and high-quality fixed-income securities that are held by a third-party trustee. The assets of the Company’s pension plans were allocated as follows:</w:t>
      </w:r>
    </w:p>
    <w:p>
      <w:pPr>
        <w:sectPr>
          <w:pgSz w:w="11900" w:h="16838" w:orient="portrait"/>
          <w:cols w:equalWidth="0" w:num="1">
            <w:col w:w="11240"/>
          </w:cols>
          <w:pgMar w:left="320" w:top="1096" w:right="33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27305</wp:posOffset>
            </wp:positionV>
            <wp:extent cx="13373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5"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27305</wp:posOffset>
            </wp:positionV>
            <wp:extent cx="71062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6"/>
          <w:szCs w:val="16"/>
          <w:color w:val="auto"/>
        </w:rPr>
        <w:t>62%</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6"/>
          <w:szCs w:val="16"/>
          <w:color w:val="auto"/>
        </w:rPr>
        <w:t>7%</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9%</w:t>
      </w:r>
      <w:r>
        <w:rPr>
          <w:sz w:val="20"/>
          <w:szCs w:val="20"/>
          <w:color w:val="auto"/>
        </w:rPr>
        <w:tab/>
      </w:r>
      <w:r>
        <w:rPr>
          <w:rFonts w:ascii="Arial" w:cs="Arial" w:eastAsia="Arial" w:hAnsi="Arial"/>
          <w:sz w:val="16"/>
          <w:szCs w:val="16"/>
          <w:color w:val="auto"/>
        </w:rPr>
        <w:t>14%</w:t>
      </w:r>
    </w:p>
    <w:p>
      <w:pPr>
        <w:spacing w:after="0" w:line="46" w:lineRule="exact"/>
        <w:rPr>
          <w:sz w:val="20"/>
          <w:szCs w:val="20"/>
          <w:color w:val="auto"/>
        </w:rPr>
      </w:pPr>
    </w:p>
    <w:p>
      <w:pPr>
        <w:jc w:val="right"/>
        <w:ind w:right="60"/>
        <w:spacing w:after="0"/>
        <w:tabs>
          <w:tab w:leader="none" w:pos="26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6"/>
          <w:szCs w:val="16"/>
          <w:color w:val="auto"/>
        </w:rPr>
        <w:t>7%</w:t>
      </w:r>
    </w:p>
    <w:p>
      <w:pPr>
        <w:spacing w:after="0" w:line="46" w:lineRule="exact"/>
        <w:rPr>
          <w:sz w:val="20"/>
          <w:szCs w:val="20"/>
          <w:color w:val="auto"/>
        </w:rPr>
      </w:pPr>
    </w:p>
    <w:p>
      <w:pPr>
        <w:jc w:val="right"/>
        <w:ind w:right="60"/>
        <w:spacing w:after="0"/>
        <w:tabs>
          <w:tab w:leader="none" w:pos="34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33020</wp:posOffset>
            </wp:positionV>
            <wp:extent cx="13373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9" w:lineRule="exact"/>
        <w:rPr>
          <w:sz w:val="20"/>
          <w:szCs w:val="20"/>
          <w:color w:val="auto"/>
        </w:rPr>
      </w:pPr>
    </w:p>
    <w:p>
      <w:pPr>
        <w:jc w:val="right"/>
        <w:ind w:right="60"/>
        <w:spacing w:after="0"/>
        <w:tabs>
          <w:tab w:leader="none" w:pos="44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33020</wp:posOffset>
            </wp:positionV>
            <wp:extent cx="133731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59055</wp:posOffset>
            </wp:positionV>
            <wp:extent cx="13373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20" w:space="720"/>
            <w:col w:w="1800"/>
          </w:cols>
          <w:pgMar w:left="320" w:top="1096" w:right="339" w:bottom="1440" w:gutter="0" w:footer="0" w:header="0"/>
          <w:type w:val="continuous"/>
        </w:sectPr>
      </w:pPr>
    </w:p>
    <w:p>
      <w:pPr>
        <w:spacing w:after="0" w:line="126"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The Company manages approximately 40% of the pension assets internally, of which the majority is invested in a private investment fund with the remaining investments in Berkshire Hathaway stock, a U.S. stock index fund and</w:t>
      </w:r>
    </w:p>
    <w:p>
      <w:pPr>
        <w:sectPr>
          <w:pgSz w:w="11900" w:h="16838" w:orient="portrait"/>
          <w:cols w:equalWidth="0" w:num="1">
            <w:col w:w="11240"/>
          </w:cols>
          <w:pgMar w:left="320" w:top="1096" w:right="33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type w:val="continuous"/>
        </w:sectPr>
      </w:pPr>
    </w:p>
    <w:bookmarkStart w:id="108" w:name="page109"/>
    <w:bookmarkEnd w:id="108"/>
    <w:p>
      <w:pPr>
        <w:spacing w:after="0" w:line="225" w:lineRule="auto"/>
        <w:rPr>
          <w:sz w:val="20"/>
          <w:szCs w:val="20"/>
          <w:color w:val="auto"/>
        </w:rPr>
      </w:pPr>
      <w:r>
        <w:rPr>
          <w:rFonts w:ascii="Arial" w:cs="Arial" w:eastAsia="Arial" w:hAnsi="Arial"/>
          <w:sz w:val="18"/>
          <w:szCs w:val="18"/>
          <w:color w:val="auto"/>
        </w:rPr>
        <w:t>short-term fixed-income securities. The remaining 60%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and no more than 30% of the assets it manages in specified international exchanges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11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1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2020. Types of concentrations that were evaluated include, but are not limited to, investment concentrations in a single entity, type of industry, foreign country and individual fund. At December 31, 2020, the pension plan held investments in one common stock and one private investment fund that exceeded 10% of total plan assets, valued at $850.6 million, or approximately 30% of total plan assets. At December 31, 2019, the pension plan held investments in one common stock and one U.S. stock index fund that exceeded 10% of total plan assets, valued at $704.8 million, or approximately 30% of total plan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As of December 31, 2020</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2,218</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197,655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199,873</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Arial" w:cs="Arial" w:eastAsia="Arial" w:hAnsi="Arial"/>
                <w:sz w:val="16"/>
                <w:szCs w:val="16"/>
                <w:b w:val="1"/>
                <w:bCs w:val="1"/>
                <w:color w:val="auto"/>
              </w:rPr>
              <w:t>U.S. equities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1,614,879</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1,614,879</w:t>
            </w:r>
          </w:p>
        </w:tc>
        <w:tc>
          <w:tcPr>
            <w:tcW w:w="0" w:type="dxa"/>
            <w:vAlign w:val="bottom"/>
          </w:tcPr>
          <w:p>
            <w:pPr>
              <w:spacing w:after="0"/>
              <w:rPr>
                <w:sz w:val="1"/>
                <w:szCs w:val="1"/>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6"/>
                <w:szCs w:val="16"/>
                <w:b w:val="1"/>
                <w:bCs w:val="1"/>
                <w:color w:val="auto"/>
              </w:rPr>
              <w:t>International equities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233,818</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233,818</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Private investment fund</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496,458</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496,458</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U.S. stock index fund</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256,291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256,291</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1,850,915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197,655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752,749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2,801,319</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Receivables, net</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2,103</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2,803,422</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As of December 31, 2019</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6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Level 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6"/>
                <w:szCs w:val="16"/>
                <w:color w:val="auto"/>
              </w:rPr>
              <w:t>Cash equivalents and other short-term investments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2,133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234,999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237,132</w:t>
            </w:r>
          </w:p>
        </w:tc>
        <w:tc>
          <w:tcPr>
            <w:tcW w:w="0" w:type="dxa"/>
            <w:vAlign w:val="bottom"/>
          </w:tcPr>
          <w:p>
            <w:pPr>
              <w:spacing w:after="0"/>
              <w:rPr>
                <w:sz w:val="1"/>
                <w:szCs w:val="1"/>
                <w:color w:val="auto"/>
              </w:rPr>
            </w:pPr>
          </w:p>
        </w:tc>
      </w:tr>
      <w:tr>
        <w:trPr>
          <w:trHeight w:val="225"/>
        </w:trPr>
        <w:tc>
          <w:tcPr>
            <w:tcW w:w="618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20"/>
              <w:spacing w:after="0"/>
              <w:rPr>
                <w:sz w:val="20"/>
                <w:szCs w:val="20"/>
                <w:color w:val="auto"/>
              </w:rPr>
            </w:pPr>
            <w:r>
              <w:rPr>
                <w:rFonts w:ascii="Arial" w:cs="Arial" w:eastAsia="Arial" w:hAnsi="Arial"/>
                <w:sz w:val="16"/>
                <w:szCs w:val="16"/>
                <w:color w:val="auto"/>
              </w:rPr>
              <w:t>U.S. equities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1,439,098</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1,439,098</w:t>
            </w:r>
          </w:p>
        </w:tc>
        <w:tc>
          <w:tcPr>
            <w:tcW w:w="0" w:type="dxa"/>
            <w:vAlign w:val="bottom"/>
          </w:tcPr>
          <w:p>
            <w:pPr>
              <w:spacing w:after="0"/>
              <w:rPr>
                <w:sz w:val="1"/>
                <w:szCs w:val="1"/>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6"/>
                <w:szCs w:val="16"/>
                <w:color w:val="auto"/>
              </w:rPr>
              <w:t>International equities</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161,377</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161,377</w:t>
            </w:r>
          </w:p>
        </w:tc>
        <w:tc>
          <w:tcPr>
            <w:tcW w:w="0" w:type="dxa"/>
            <w:vAlign w:val="bottom"/>
          </w:tcPr>
          <w:p>
            <w:pPr>
              <w:spacing w:after="0"/>
              <w:rPr>
                <w:sz w:val="1"/>
                <w:szCs w:val="1"/>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6"/>
                <w:szCs w:val="16"/>
                <w:color w:val="auto"/>
              </w:rPr>
              <w:t>U.S. stock index fund</w:t>
            </w:r>
          </w:p>
        </w:tc>
        <w:tc>
          <w:tcPr>
            <w:tcW w:w="24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color w:val="auto"/>
              </w:rPr>
              <w:t>322,229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322,229</w:t>
            </w:r>
          </w:p>
        </w:tc>
        <w:tc>
          <w:tcPr>
            <w:tcW w:w="0" w:type="dxa"/>
            <w:vAlign w:val="bottom"/>
          </w:tcPr>
          <w:p>
            <w:pPr>
              <w:spacing w:after="0"/>
              <w:rPr>
                <w:sz w:val="1"/>
                <w:szCs w:val="1"/>
                <w:color w:val="auto"/>
              </w:rPr>
            </w:pPr>
          </w:p>
        </w:tc>
      </w:tr>
      <w:tr>
        <w:trPr>
          <w:trHeight w:val="238"/>
        </w:trPr>
        <w:tc>
          <w:tcPr>
            <w:tcW w:w="6180" w:type="dxa"/>
            <w:vAlign w:val="bottom"/>
          </w:tcPr>
          <w:p>
            <w:pPr>
              <w:ind w:left="20"/>
              <w:spacing w:after="0"/>
              <w:rPr>
                <w:sz w:val="20"/>
                <w:szCs w:val="20"/>
                <w:color w:val="auto"/>
              </w:rPr>
            </w:pPr>
            <w:r>
              <w:rPr>
                <w:rFonts w:ascii="Arial" w:cs="Arial" w:eastAsia="Arial" w:hAnsi="Arial"/>
                <w:sz w:val="16"/>
                <w:szCs w:val="16"/>
                <w:color w:val="auto"/>
              </w:rPr>
              <w:t>Private investment fund</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151,854</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151,854</w:t>
            </w: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 Investments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1,602,608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234,999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474,083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2,311,690</w:t>
            </w:r>
          </w:p>
        </w:tc>
        <w:tc>
          <w:tcPr>
            <w:tcW w:w="0" w:type="dxa"/>
            <w:vAlign w:val="bottom"/>
          </w:tcPr>
          <w:p>
            <w:pPr>
              <w:spacing w:after="0"/>
              <w:rPr>
                <w:sz w:val="1"/>
                <w:szCs w:val="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2,312,706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11" w:lineRule="exact"/>
        <w:rPr>
          <w:sz w:val="20"/>
          <w:szCs w:val="20"/>
          <w:color w:val="auto"/>
        </w:rPr>
      </w:pPr>
    </w:p>
    <w:p>
      <w:pPr>
        <w:jc w:val="both"/>
        <w:ind w:right="180"/>
        <w:spacing w:after="0" w:line="239" w:lineRule="auto"/>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109" w:name="page110"/>
    <w:bookmarkEnd w:id="109"/>
    <w:p>
      <w:pPr>
        <w:spacing w:after="0" w:line="239" w:lineRule="auto"/>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1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i w:val="1"/>
          <w:iCs w:val="1"/>
          <w:color w:val="auto"/>
        </w:rPr>
        <w:t xml:space="preserve">Private investment fund. </w:t>
      </w:r>
      <w:r>
        <w:rPr>
          <w:rFonts w:ascii="Arial" w:cs="Arial" w:eastAsia="Arial" w:hAnsi="Arial"/>
          <w:sz w:val="18"/>
          <w:szCs w:val="18"/>
          <w:color w:val="auto"/>
        </w:rPr>
        <w:t>This fund consists of investments held in a diversified mix of publicly-traded securities (U.S and international stocks)</w:t>
      </w:r>
      <w:r>
        <w:rPr>
          <w:rFonts w:ascii="Arial" w:cs="Arial" w:eastAsia="Arial" w:hAnsi="Arial"/>
          <w:sz w:val="18"/>
          <w:szCs w:val="18"/>
          <w:i w:val="1"/>
          <w:iCs w:val="1"/>
          <w:color w:val="auto"/>
        </w:rPr>
        <w:t xml:space="preserve"> </w:t>
      </w:r>
      <w:r>
        <w:rPr>
          <w:rFonts w:ascii="Arial" w:cs="Arial" w:eastAsia="Arial" w:hAnsi="Arial"/>
          <w:sz w:val="18"/>
          <w:szCs w:val="18"/>
          <w:color w:val="auto"/>
        </w:rPr>
        <w:t>and private companies. The fund is valued using the net asset value (NAV) provided by the administrator of the fund and reviewed by the Company. The NAV is based on the value of the underlying assets owned by the fund, minus liabilities and divided by the number of units outstanding. Five percent of the NAV of the investment may be redeemed annually starting at the 12-month anniversary of the investment, subject to certain limitations. Additionally, the investment in this fund may be redeemed in part, or in full, at the 60-month anniversary of the investment, or at any subsequent 36-month anniversary date following the initial 60-month anniversary. This investment is classified as Level 3 in the valuation hierarchy.</w:t>
      </w:r>
    </w:p>
    <w:p>
      <w:pPr>
        <w:spacing w:after="0" w:line="109" w:lineRule="exact"/>
        <w:rPr>
          <w:sz w:val="20"/>
          <w:szCs w:val="20"/>
          <w:color w:val="auto"/>
        </w:rPr>
      </w:pPr>
    </w:p>
    <w:p>
      <w:pPr>
        <w:spacing w:after="0" w:line="231" w:lineRule="auto"/>
        <w:rPr>
          <w:sz w:val="20"/>
          <w:szCs w:val="20"/>
          <w:color w:val="auto"/>
        </w:rPr>
      </w:pPr>
      <w:r>
        <w:rPr>
          <w:rFonts w:ascii="Arial" w:cs="Arial" w:eastAsia="Arial" w:hAnsi="Arial"/>
          <w:sz w:val="18"/>
          <w:szCs w:val="18"/>
          <w:i w:val="1"/>
          <w:iCs w:val="1"/>
          <w:color w:val="auto"/>
        </w:rPr>
        <w:t xml:space="preserve">U.S. stock index fund. </w:t>
      </w:r>
      <w:r>
        <w:rPr>
          <w:rFonts w:ascii="Arial" w:cs="Arial" w:eastAsia="Arial" w:hAnsi="Arial"/>
          <w:sz w:val="18"/>
          <w:szCs w:val="18"/>
          <w:color w:val="auto"/>
        </w:rPr>
        <w:t>This fund consists of investments held in a diversified mix of securities (U.S. and international stocks, and fixed-income securities) and a combination of other collective funds that together are designed to track the performance of the S&amp;P 500 Index. The fund is valued using the NAV provided by the administrator of the fund and reviewed by the Company. The NAV is based on the value of the underlying assets owned by the fund, minus liabilities and divided by the number of units outstanding. The investment in this fund may be redeemed daily, subject to the restrictions of the fund. This investment is classified as Level 3 in the valuation hierarchy.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changes in pension assets measured at fair value on a recurring basis, using Level 3 inputs: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340" w:type="dxa"/>
            <w:vAlign w:val="bottom"/>
          </w:tcPr>
          <w:p>
            <w:pPr>
              <w:jc w:val="right"/>
              <w:ind w:right="441"/>
              <w:spacing w:after="0"/>
              <w:rPr>
                <w:sz w:val="20"/>
                <w:szCs w:val="20"/>
                <w:color w:val="auto"/>
              </w:rPr>
            </w:pPr>
            <w:r>
              <w:rPr>
                <w:rFonts w:ascii="Arial" w:cs="Arial" w:eastAsia="Arial" w:hAnsi="Arial"/>
                <w:sz w:val="14"/>
                <w:szCs w:val="14"/>
                <w:b w:val="1"/>
                <w:bCs w:val="1"/>
                <w:color w:val="auto"/>
              </w:rPr>
              <w:t>Private</w:t>
            </w:r>
          </w:p>
        </w:tc>
        <w:tc>
          <w:tcPr>
            <w:tcW w:w="320" w:type="dxa"/>
            <w:vAlign w:val="bottom"/>
          </w:tcPr>
          <w:p>
            <w:pPr>
              <w:spacing w:after="0"/>
              <w:rPr>
                <w:sz w:val="14"/>
                <w:szCs w:val="14"/>
                <w:color w:val="auto"/>
              </w:rPr>
            </w:pPr>
          </w:p>
        </w:tc>
        <w:tc>
          <w:tcPr>
            <w:tcW w:w="1220" w:type="dxa"/>
            <w:vAlign w:val="bottom"/>
          </w:tcPr>
          <w:p>
            <w:pPr>
              <w:jc w:val="right"/>
              <w:ind w:right="301"/>
              <w:spacing w:after="0"/>
              <w:rPr>
                <w:sz w:val="20"/>
                <w:szCs w:val="20"/>
                <w:color w:val="auto"/>
              </w:rPr>
            </w:pPr>
            <w:r>
              <w:rPr>
                <w:rFonts w:ascii="Arial" w:cs="Arial" w:eastAsia="Arial" w:hAnsi="Arial"/>
                <w:sz w:val="14"/>
                <w:szCs w:val="14"/>
                <w:b w:val="1"/>
                <w:bCs w:val="1"/>
                <w:color w:val="auto"/>
              </w:rPr>
              <w:t>U.S. Stock</w:t>
            </w:r>
          </w:p>
        </w:tc>
        <w:tc>
          <w:tcPr>
            <w:tcW w:w="0" w:type="dxa"/>
            <w:vAlign w:val="bottom"/>
          </w:tcPr>
          <w:p>
            <w:pPr>
              <w:spacing w:after="0"/>
              <w:rPr>
                <w:sz w:val="1"/>
                <w:szCs w:val="1"/>
                <w:color w:val="auto"/>
              </w:rPr>
            </w:pPr>
          </w:p>
        </w:tc>
      </w:tr>
      <w:tr>
        <w:trPr>
          <w:trHeight w:val="202"/>
        </w:trPr>
        <w:tc>
          <w:tcPr>
            <w:tcW w:w="8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Investment Fund</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Index Fund</w:t>
            </w:r>
          </w:p>
        </w:tc>
        <w:tc>
          <w:tcPr>
            <w:tcW w:w="0" w:type="dxa"/>
            <w:vAlign w:val="bottom"/>
          </w:tcPr>
          <w:p>
            <w:pPr>
              <w:spacing w:after="0"/>
              <w:rPr>
                <w:sz w:val="1"/>
                <w:szCs w:val="1"/>
                <w:color w:val="auto"/>
              </w:rPr>
            </w:pPr>
          </w:p>
        </w:tc>
      </w:tr>
      <w:tr>
        <w:trPr>
          <w:trHeight w:val="212"/>
        </w:trPr>
        <w:tc>
          <w:tcPr>
            <w:tcW w:w="8220" w:type="dxa"/>
            <w:vAlign w:val="bottom"/>
          </w:tcPr>
          <w:p>
            <w:pPr>
              <w:ind w:left="20"/>
              <w:spacing w:after="0"/>
              <w:rPr>
                <w:sz w:val="20"/>
                <w:szCs w:val="20"/>
                <w:color w:val="auto"/>
              </w:rPr>
            </w:pPr>
            <w:r>
              <w:rPr>
                <w:rFonts w:ascii="Arial" w:cs="Arial" w:eastAsia="Arial" w:hAnsi="Arial"/>
                <w:sz w:val="16"/>
                <w:szCs w:val="16"/>
                <w:color w:val="auto"/>
              </w:rPr>
              <w:t>As of December 31, 2018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601,395</w:t>
            </w: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6"/>
                <w:szCs w:val="16"/>
                <w:color w:val="auto"/>
              </w:rPr>
              <w:t>Purchases, sales, and settlements, net</w:t>
            </w:r>
          </w:p>
        </w:tc>
        <w:tc>
          <w:tcPr>
            <w:tcW w:w="12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150,000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(425,000)</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Actual return on plan assets: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6"/>
                <w:szCs w:val="16"/>
                <w:color w:val="auto"/>
              </w:rPr>
              <w:t>Gains relating to assets sold</w:t>
            </w:r>
          </w:p>
        </w:tc>
        <w:tc>
          <w:tcPr>
            <w:tcW w:w="12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68,658</w:t>
            </w:r>
          </w:p>
        </w:tc>
        <w:tc>
          <w:tcPr>
            <w:tcW w:w="0" w:type="dxa"/>
            <w:vAlign w:val="bottom"/>
          </w:tcPr>
          <w:p>
            <w:pPr>
              <w:spacing w:after="0"/>
              <w:rPr>
                <w:sz w:val="1"/>
                <w:szCs w:val="1"/>
                <w:color w:val="auto"/>
              </w:rPr>
            </w:pPr>
          </w:p>
        </w:tc>
      </w:tr>
      <w:tr>
        <w:trPr>
          <w:trHeight w:val="238"/>
        </w:trPr>
        <w:tc>
          <w:tcPr>
            <w:tcW w:w="8220" w:type="dxa"/>
            <w:vAlign w:val="bottom"/>
          </w:tcPr>
          <w:p>
            <w:pPr>
              <w:ind w:left="220"/>
              <w:spacing w:after="0"/>
              <w:rPr>
                <w:sz w:val="20"/>
                <w:szCs w:val="20"/>
                <w:color w:val="auto"/>
              </w:rPr>
            </w:pPr>
            <w:r>
              <w:rPr>
                <w:rFonts w:ascii="Arial" w:cs="Arial" w:eastAsia="Arial" w:hAnsi="Arial"/>
                <w:sz w:val="16"/>
                <w:szCs w:val="16"/>
                <w:color w:val="auto"/>
              </w:rPr>
              <w:t>Gains relating to assets still held at year-end</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1,854</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77,176</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151,854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322,229</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Purchases, sales, and settlements, net</w:t>
            </w:r>
          </w:p>
        </w:tc>
        <w:tc>
          <w:tcPr>
            <w:tcW w:w="12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b w:val="1"/>
                <w:bCs w:val="1"/>
                <w:color w:val="auto"/>
              </w:rPr>
              <w:t>130,000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(100,000)</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Actual return on plan assets:</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6"/>
                <w:szCs w:val="16"/>
                <w:b w:val="1"/>
                <w:bCs w:val="1"/>
                <w:color w:val="auto"/>
              </w:rPr>
              <w:t>Losses relating to assets sold</w:t>
            </w:r>
          </w:p>
        </w:tc>
        <w:tc>
          <w:tcPr>
            <w:tcW w:w="120" w:type="dxa"/>
            <w:vAlign w:val="bottom"/>
          </w:tcPr>
          <w:p>
            <w:pPr>
              <w:spacing w:after="0"/>
              <w:rPr>
                <w:sz w:val="19"/>
                <w:szCs w:val="19"/>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(5,763)</w:t>
            </w:r>
          </w:p>
        </w:tc>
        <w:tc>
          <w:tcPr>
            <w:tcW w:w="0" w:type="dxa"/>
            <w:vAlign w:val="bottom"/>
          </w:tcPr>
          <w:p>
            <w:pPr>
              <w:spacing w:after="0"/>
              <w:rPr>
                <w:sz w:val="1"/>
                <w:szCs w:val="1"/>
                <w:color w:val="auto"/>
              </w:rPr>
            </w:pPr>
          </w:p>
        </w:tc>
      </w:tr>
      <w:tr>
        <w:trPr>
          <w:trHeight w:val="233"/>
        </w:trPr>
        <w:tc>
          <w:tcPr>
            <w:tcW w:w="8220" w:type="dxa"/>
            <w:vAlign w:val="bottom"/>
          </w:tcPr>
          <w:p>
            <w:pPr>
              <w:ind w:left="220"/>
              <w:spacing w:after="0"/>
              <w:rPr>
                <w:sz w:val="20"/>
                <w:szCs w:val="20"/>
                <w:color w:val="auto"/>
              </w:rPr>
            </w:pPr>
            <w:r>
              <w:rPr>
                <w:rFonts w:ascii="Arial" w:cs="Arial" w:eastAsia="Arial" w:hAnsi="Arial"/>
                <w:sz w:val="16"/>
                <w:szCs w:val="16"/>
                <w:b w:val="1"/>
                <w:bCs w:val="1"/>
                <w:color w:val="auto"/>
              </w:rPr>
              <w:t>Gains relating to assets still held at year-end</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214,604</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39,825</w:t>
            </w:r>
          </w:p>
        </w:tc>
        <w:tc>
          <w:tcPr>
            <w:tcW w:w="0" w:type="dxa"/>
            <w:vAlign w:val="bottom"/>
          </w:tcPr>
          <w:p>
            <w:pPr>
              <w:spacing w:after="0"/>
              <w:rPr>
                <w:sz w:val="1"/>
                <w:szCs w:val="1"/>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496,458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256,291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c>
          <w:tcPr>
            <w:tcW w:w="0" w:type="dxa"/>
            <w:vAlign w:val="bottom"/>
          </w:tcPr>
          <w:p>
            <w:pPr>
              <w:spacing w:after="0"/>
              <w:rPr>
                <w:sz w:val="1"/>
                <w:szCs w:val="1"/>
                <w:color w:val="auto"/>
              </w:rPr>
            </w:pPr>
          </w:p>
        </w:tc>
      </w:tr>
      <w:tr>
        <w:trPr>
          <w:trHeight w:val="197"/>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6,816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8,523</w:t>
            </w: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167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Actuarial gain</w:t>
            </w:r>
          </w:p>
        </w:tc>
        <w:tc>
          <w:tcPr>
            <w:tcW w:w="2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(991)</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Benefits paid, net of Medicare subsidy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(405)</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5,587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6,816</w:t>
            </w:r>
          </w:p>
        </w:tc>
        <w:tc>
          <w:tcPr>
            <w:tcW w:w="0" w:type="dxa"/>
            <w:vAlign w:val="bottom"/>
          </w:tcPr>
          <w:p>
            <w:pPr>
              <w:spacing w:after="0"/>
              <w:rPr>
                <w:sz w:val="1"/>
                <w:szCs w:val="1"/>
                <w:color w:val="auto"/>
              </w:rPr>
            </w:pPr>
          </w:p>
        </w:tc>
      </w:tr>
      <w:tr>
        <w:trPr>
          <w:trHeight w:val="216"/>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19"/>
                <w:szCs w:val="19"/>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405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Benefits paid, net of Medicare subsidy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(405)</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(5,587)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(6,816)</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The change in the benefit obligation for the Company’s other postretirement plans was primarily due to updated claims experience based on actual premium rates offset by the recognition of an actuarial loss resulting from a decrease to the discount rate used to measure the benefit obligation.</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7"/>
          <w:szCs w:val="17"/>
          <w:color w:val="auto"/>
        </w:rPr>
        <w:t>The amounts recognized in the Company’s Consolidated Balance Sheets for its other postretirement plans are as follows:</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 liability</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27305</wp:posOffset>
            </wp:positionV>
            <wp:extent cx="13373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27305</wp:posOffset>
            </wp:positionV>
            <wp:extent cx="13373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5"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27305</wp:posOffset>
            </wp:positionV>
            <wp:extent cx="71062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 w:lineRule="exact"/>
        <w:rPr>
          <w:sz w:val="20"/>
          <w:szCs w:val="20"/>
          <w:color w:val="auto"/>
        </w:rPr>
      </w:pPr>
    </w:p>
    <w:p>
      <w:pPr>
        <w:spacing w:after="0"/>
        <w:tabs>
          <w:tab w:leader="none" w:pos="540" w:val="left"/>
          <w:tab w:leader="none" w:pos="1080" w:val="left"/>
          <w:tab w:leader="none" w:pos="15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(797)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(1,153)</w:t>
      </w:r>
    </w:p>
    <w:p>
      <w:pPr>
        <w:spacing w:after="0" w:line="46" w:lineRule="exact"/>
        <w:rPr>
          <w:sz w:val="20"/>
          <w:szCs w:val="20"/>
          <w:color w:val="auto"/>
        </w:rPr>
      </w:pPr>
    </w:p>
    <w:p>
      <w:pPr>
        <w:jc w:val="both"/>
        <w:ind w:left="440"/>
        <w:spacing w:after="0"/>
        <w:tabs>
          <w:tab w:leader="none" w:pos="1520" w:val="left"/>
        </w:tabs>
        <w:rPr>
          <w:sz w:val="20"/>
          <w:szCs w:val="20"/>
          <w:color w:val="auto"/>
        </w:rPr>
      </w:pPr>
      <w:r>
        <w:rPr>
          <w:rFonts w:ascii="Arial" w:cs="Arial" w:eastAsia="Arial" w:hAnsi="Arial"/>
          <w:sz w:val="16"/>
          <w:szCs w:val="16"/>
          <w:b w:val="1"/>
          <w:bCs w:val="1"/>
          <w:color w:val="auto"/>
        </w:rPr>
        <w:t>(4,790)</w:t>
      </w:r>
      <w:r>
        <w:rPr>
          <w:sz w:val="20"/>
          <w:szCs w:val="20"/>
          <w:color w:val="auto"/>
        </w:rPr>
        <w:tab/>
      </w:r>
      <w:r>
        <w:rPr>
          <w:rFonts w:ascii="Arial" w:cs="Arial" w:eastAsia="Arial" w:hAnsi="Arial"/>
          <w:sz w:val="16"/>
          <w:szCs w:val="16"/>
          <w:color w:val="auto"/>
        </w:rPr>
        <w:t>(5,663)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13373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9" w:lineRule="exact"/>
        <w:rPr>
          <w:sz w:val="20"/>
          <w:szCs w:val="20"/>
          <w:color w:val="auto"/>
        </w:rPr>
      </w:pPr>
    </w:p>
    <w:p>
      <w:pPr>
        <w:spacing w:after="0"/>
        <w:tabs>
          <w:tab w:leader="none" w:pos="420" w:val="left"/>
          <w:tab w:leader="none" w:pos="1080" w:val="left"/>
          <w:tab w:leader="none" w:pos="15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(5,587)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13373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59055</wp:posOffset>
            </wp:positionV>
            <wp:extent cx="13373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400" w:space="720"/>
            <w:col w:w="2100"/>
          </w:cols>
          <w:pgMar w:left="320" w:top="1035" w:right="359" w:bottom="1440" w:gutter="0" w:footer="0" w:header="0"/>
          <w:type w:val="continuous"/>
        </w:sectPr>
      </w:pPr>
    </w:p>
    <w:p>
      <w:pPr>
        <w:spacing w:after="0" w:line="8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discount rates utilized for determining the benefit obligation at December 31, 2020 and 2019, for the postretirement plans were 1.78% and 2.68%, respectively. The assumed healthcare cost trend rate used in measuring the postretirement benefit obligation at December 31, 2020, was 6.59% for pre-age 65, decreasing to 4.5% in the year 2029 and thereafter. The assumed healthcare cost trend rate used in measuring the postretirement benefit obligation at December 31, 2020, was 7.01% for post-age 65, decreasing to 4.5% in the year 2029 and thereafter. The assumed healthcare cost trend rate used in measuring the postretirement benefit obligation at December 31, 2020, was 8.25% for Medicare Advantage, decreasing to 4.5% in the year 2029 and thereafter.</w:t>
      </w:r>
    </w:p>
    <w:p>
      <w:pPr>
        <w:spacing w:after="0" w:line="11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Company made contributions to its postretirement benefit plans of $ 0.4 million and $0.8 million for the years ended December 31, 2020 and 2019, respectively. As the plans are unfunded, the Company makes contributions to its postretirement plans based on actual benefit payments.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future estimated benefit payments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4580" w:type="dxa"/>
            <w:vAlign w:val="bottom"/>
          </w:tcPr>
          <w:p>
            <w:pPr>
              <w:spacing w:after="0"/>
              <w:rPr>
                <w:sz w:val="14"/>
                <w:szCs w:val="14"/>
                <w:color w:val="auto"/>
              </w:rPr>
            </w:pPr>
          </w:p>
        </w:tc>
        <w:tc>
          <w:tcPr>
            <w:tcW w:w="1260" w:type="dxa"/>
            <w:vAlign w:val="bottom"/>
          </w:tcPr>
          <w:p>
            <w:pPr>
              <w:jc w:val="right"/>
              <w:ind w:right="141"/>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202"/>
        </w:trPr>
        <w:tc>
          <w:tcPr>
            <w:tcW w:w="5380" w:type="dxa"/>
            <w:vAlign w:val="bottom"/>
            <w:tcBorders>
              <w:bottom w:val="single" w:sz="8" w:color="auto"/>
            </w:tcBorders>
            <w:vMerge w:val="continue"/>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12"/>
        </w:trPr>
        <w:tc>
          <w:tcPr>
            <w:tcW w:w="5380" w:type="dxa"/>
            <w:vAlign w:val="bottom"/>
          </w:tcPr>
          <w:p>
            <w:pPr>
              <w:ind w:left="20"/>
              <w:spacing w:after="0"/>
              <w:rPr>
                <w:sz w:val="20"/>
                <w:szCs w:val="20"/>
                <w:color w:val="auto"/>
              </w:rPr>
            </w:pPr>
            <w:r>
              <w:rPr>
                <w:rFonts w:ascii="Arial" w:cs="Arial" w:eastAsia="Arial" w:hAnsi="Arial"/>
                <w:sz w:val="16"/>
                <w:szCs w:val="16"/>
                <w:color w:val="auto"/>
              </w:rPr>
              <w:t>2021</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Arial" w:cs="Arial" w:eastAsia="Arial" w:hAnsi="Arial"/>
                <w:sz w:val="16"/>
                <w:szCs w:val="16"/>
                <w:color w:val="auto"/>
              </w:rPr>
              <w:t>2022</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2023</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2024</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6"/>
                <w:szCs w:val="16"/>
                <w:color w:val="auto"/>
              </w:rPr>
              <w:t>2025</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6"/>
                <w:szCs w:val="16"/>
                <w:color w:val="auto"/>
              </w:rPr>
              <w:t>2026–2030</w:t>
            </w:r>
          </w:p>
        </w:tc>
        <w:tc>
          <w:tcPr>
            <w:tcW w:w="45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arising from the Company’s other postretirement plans consists of the following components: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Postretirement Plans</w:t>
            </w:r>
          </w:p>
        </w:tc>
        <w:tc>
          <w:tcPr>
            <w:tcW w:w="700" w:type="dxa"/>
            <w:vAlign w:val="bottom"/>
            <w:tcBorders>
              <w:bottom w:val="single" w:sz="8" w:color="auto"/>
            </w:tcBorders>
          </w:tcPr>
          <w:p>
            <w:pPr>
              <w:spacing w:after="0"/>
              <w:rPr>
                <w:sz w:val="17"/>
                <w:szCs w:val="17"/>
                <w:color w:val="auto"/>
              </w:rPr>
            </w:pPr>
          </w:p>
        </w:tc>
      </w:tr>
      <w:tr>
        <w:trPr>
          <w:trHeight w:val="197"/>
        </w:trPr>
        <w:tc>
          <w:tcPr>
            <w:tcW w:w="7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2018</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892</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b w:val="1"/>
                <w:bCs w:val="1"/>
                <w:color w:val="auto"/>
              </w:rPr>
              <w:t>167</w:t>
            </w:r>
          </w:p>
        </w:tc>
        <w:tc>
          <w:tcPr>
            <w:tcW w:w="2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289</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(481)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(7,363)</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(1,408)</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(4,048)</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(4,360)</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w:t>
            </w: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 for the Year</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(4,362)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(11,434)</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(3,679)</w:t>
            </w:r>
          </w:p>
        </w:tc>
      </w:tr>
      <w:tr>
        <w:trPr>
          <w:trHeight w:val="230"/>
        </w:trPr>
        <w:tc>
          <w:tcPr>
            <w:tcW w:w="7980" w:type="dxa"/>
            <w:vAlign w:val="bottom"/>
          </w:tcPr>
          <w:p>
            <w:pPr>
              <w:ind w:left="20"/>
              <w:spacing w:after="0"/>
              <w:rPr>
                <w:sz w:val="20"/>
                <w:szCs w:val="20"/>
                <w:color w:val="auto"/>
              </w:rPr>
            </w:pPr>
            <w:r>
              <w:rPr>
                <w:rFonts w:ascii="Arial" w:cs="Arial" w:eastAsia="Arial" w:hAnsi="Arial"/>
                <w:sz w:val="16"/>
                <w:szCs w:val="16"/>
                <w:color w:val="auto"/>
              </w:rPr>
              <w:t>Curtailment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Total Benefit for the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(4,362)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20"/>
          </w:cols>
          <w:pgMar w:left="320" w:top="1035"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Current year actuarial gain</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year prior service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gain</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Curtailment and settlement</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Recognized in Benefit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(991)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(1,246)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(2,519)</w:t>
            </w:r>
          </w:p>
        </w:tc>
      </w:tr>
      <w:tr>
        <w:trPr>
          <w:trHeight w:val="229"/>
        </w:trPr>
        <w:tc>
          <w:tcPr>
            <w:tcW w:w="32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(12,473)</w:t>
            </w:r>
          </w:p>
        </w:tc>
      </w:tr>
      <w:tr>
        <w:trPr>
          <w:trHeight w:val="230"/>
        </w:trPr>
        <w:tc>
          <w:tcPr>
            <w:tcW w:w="32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481</w:t>
            </w:r>
          </w:p>
        </w:tc>
        <w:tc>
          <w:tcPr>
            <w:tcW w:w="3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7,363</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1,408</w:t>
            </w:r>
          </w:p>
        </w:tc>
      </w:tr>
      <w:tr>
        <w:trPr>
          <w:trHeight w:val="230"/>
        </w:trPr>
        <w:tc>
          <w:tcPr>
            <w:tcW w:w="320" w:type="dxa"/>
            <w:vAlign w:val="bottom"/>
          </w:tcPr>
          <w:p>
            <w:pPr>
              <w:spacing w:after="0"/>
              <w:rPr>
                <w:sz w:val="19"/>
                <w:szCs w:val="19"/>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rPr>
              <w:t>4,048</w:t>
            </w:r>
          </w:p>
        </w:tc>
        <w:tc>
          <w:tcPr>
            <w:tcW w:w="320" w:type="dxa"/>
            <w:vAlign w:val="bottom"/>
          </w:tcPr>
          <w:p>
            <w:pPr>
              <w:spacing w:after="0"/>
              <w:rPr>
                <w:sz w:val="19"/>
                <w:szCs w:val="19"/>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4,360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3,783</w:t>
            </w:r>
          </w:p>
        </w:tc>
      </w:tr>
      <w:tr>
        <w:trPr>
          <w:trHeight w:val="233"/>
        </w:trPr>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w:t>
            </w:r>
          </w:p>
        </w:tc>
      </w:tr>
      <w:tr>
        <w:trPr>
          <w:trHeight w:val="226"/>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3,538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10,477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(6,421)</w:t>
            </w:r>
          </w:p>
        </w:tc>
      </w:tr>
      <w:tr>
        <w:trPr>
          <w:trHeight w:val="223"/>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(13,480)</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240"/>
          </w:cols>
          <w:pgMar w:left="320" w:top="1035" w:right="359" w:bottom="1440" w:gutter="0" w:footer="0" w:header="0"/>
          <w:type w:val="continuous"/>
        </w:sectPr>
      </w:pPr>
    </w:p>
    <w:p>
      <w:pPr>
        <w:spacing w:after="0" w:line="20"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The costs for the Company’s postretirement plans are actuarially determined. The discount rate utilized to determine periodic cost for the years ended December 31, 2020 and 2019 were 2.68% and 3.69%. As a result of the changes to the postretirement plans, the Company remeasured the accumulated and projected benefit obligation of the postretirement plan as of October 31, 2018. The remeasurement changed the discount rate from 3.11% for the</w:t>
      </w:r>
    </w:p>
    <w:p>
      <w:pPr>
        <w:sectPr>
          <w:pgSz w:w="11900" w:h="16838" w:orient="portrait"/>
          <w:cols w:equalWidth="0" w:num="1">
            <w:col w:w="11220"/>
          </w:cols>
          <w:pgMar w:left="320" w:top="1035" w:right="35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11" w:name="page112"/>
    <w:bookmarkEnd w:id="111"/>
    <w:p>
      <w:pPr>
        <w:ind w:right="720"/>
        <w:spacing w:after="0" w:line="260" w:lineRule="auto"/>
        <w:rPr>
          <w:sz w:val="20"/>
          <w:szCs w:val="20"/>
          <w:color w:val="auto"/>
        </w:rPr>
      </w:pPr>
      <w:r>
        <w:rPr>
          <w:rFonts w:ascii="Arial" w:cs="Arial" w:eastAsia="Arial" w:hAnsi="Arial"/>
          <w:sz w:val="18"/>
          <w:szCs w:val="18"/>
          <w:color w:val="auto"/>
        </w:rPr>
        <w:t>period January 1 through October 31, 2018 to 4.04% for the period November 1 to December 31, 2018. AOCI included the following components of unrecognized net periodic benefit for the postretirement plans: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9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2019</w:t>
            </w:r>
          </w:p>
        </w:tc>
      </w:tr>
      <w:tr>
        <w:trPr>
          <w:trHeight w:val="217"/>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actuarial gain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(16,690)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(19,747)</w:t>
            </w:r>
          </w:p>
        </w:tc>
      </w:tr>
      <w:tr>
        <w:trPr>
          <w:trHeight w:val="230"/>
        </w:trPr>
        <w:tc>
          <w:tcPr>
            <w:tcW w:w="9100" w:type="dxa"/>
            <w:vAlign w:val="bottom"/>
          </w:tcPr>
          <w:p>
            <w:pPr>
              <w:ind w:left="20"/>
              <w:spacing w:after="0"/>
              <w:rPr>
                <w:sz w:val="20"/>
                <w:szCs w:val="20"/>
                <w:color w:val="auto"/>
              </w:rPr>
            </w:pPr>
            <w:r>
              <w:rPr>
                <w:rFonts w:ascii="Arial" w:cs="Arial" w:eastAsia="Arial" w:hAnsi="Arial"/>
                <w:sz w:val="16"/>
                <w:szCs w:val="16"/>
                <w:color w:val="auto"/>
              </w:rPr>
              <w:t>Unrecognized prior service credit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23"/>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Gross Amount</w:t>
            </w:r>
          </w:p>
        </w:tc>
        <w:tc>
          <w:tcPr>
            <w:tcW w:w="22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(16,709)</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(20,247)</w:t>
            </w:r>
          </w:p>
        </w:tc>
      </w:tr>
      <w:tr>
        <w:trPr>
          <w:trHeight w:val="232"/>
        </w:trPr>
        <w:tc>
          <w:tcPr>
            <w:tcW w:w="91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4,512</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5,467</w:t>
            </w:r>
          </w:p>
        </w:tc>
      </w:tr>
      <w:tr>
        <w:trPr>
          <w:trHeight w:val="227"/>
        </w:trPr>
        <w:tc>
          <w:tcPr>
            <w:tcW w:w="9100" w:type="dxa"/>
            <w:vAlign w:val="bottom"/>
          </w:tcPr>
          <w:p>
            <w:pPr>
              <w:ind w:left="20"/>
              <w:spacing w:after="0"/>
              <w:rPr>
                <w:sz w:val="20"/>
                <w:szCs w:val="20"/>
                <w:color w:val="auto"/>
              </w:rPr>
            </w:pPr>
            <w:r>
              <w:rPr>
                <w:rFonts w:ascii="Arial" w:cs="Arial" w:eastAsia="Arial" w:hAnsi="Arial"/>
                <w:sz w:val="16"/>
                <w:szCs w:val="16"/>
                <w:b w:val="1"/>
                <w:bCs w:val="1"/>
                <w:color w:val="auto"/>
              </w:rPr>
              <w:t>Net Amount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(12,197)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(14,780)</w:t>
            </w:r>
          </w:p>
        </w:tc>
      </w:tr>
      <w:tr>
        <w:trPr>
          <w:trHeight w:val="21"/>
        </w:trPr>
        <w:tc>
          <w:tcPr>
            <w:tcW w:w="9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2020, 2019 and 2018,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2020, 2019 and 2018.</w:t>
      </w:r>
    </w:p>
    <w:p>
      <w:pPr>
        <w:spacing w:after="0" w:line="10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401(k) plans) of approximately $8.8 million in 2020, $9.8 million in 2019 and $8.6 million in 2018.</w:t>
      </w:r>
    </w:p>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OTHER NON-OPERATING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198"/>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2018</w:t>
            </w:r>
          </w:p>
        </w:tc>
      </w:tr>
      <w:tr>
        <w:trPr>
          <w:trHeight w:val="217"/>
        </w:trPr>
        <w:tc>
          <w:tcPr>
            <w:tcW w:w="7640" w:type="dxa"/>
            <w:vAlign w:val="bottom"/>
          </w:tcPr>
          <w:p>
            <w:pPr>
              <w:ind w:left="20"/>
              <w:spacing w:after="0"/>
              <w:rPr>
                <w:sz w:val="20"/>
                <w:szCs w:val="20"/>
                <w:color w:val="auto"/>
              </w:rPr>
            </w:pPr>
            <w:r>
              <w:rPr>
                <w:rFonts w:ascii="Arial" w:cs="Arial" w:eastAsia="Arial" w:hAnsi="Arial"/>
                <w:sz w:val="16"/>
                <w:szCs w:val="16"/>
                <w:color w:val="auto"/>
              </w:rPr>
              <w:t>Net gain (loss) on sale of businesses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213,302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8,157</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(7,327)</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(2,697)</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gain on cost method investments</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4,209</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5,080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11,663</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Gain on acquiring a controlling interest in an equity affiliate</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3,708</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loss,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(2,153)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(3,844)</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equity affiliates</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1,370</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28,994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1,039</w:t>
            </w:r>
          </w:p>
        </w:tc>
        <w:tc>
          <w:tcPr>
            <w:tcW w:w="32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267</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2,845</w:t>
            </w: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Loss on guarantor obligations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(1,014)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(17,518)</w:t>
            </w:r>
          </w:p>
        </w:tc>
      </w:tr>
      <w:tr>
        <w:trPr>
          <w:trHeight w:val="230"/>
        </w:trPr>
        <w:tc>
          <w:tcPr>
            <w:tcW w:w="7640" w:type="dxa"/>
            <w:vAlign w:val="bottom"/>
          </w:tcPr>
          <w:p>
            <w:pPr>
              <w:ind w:left="20"/>
              <w:spacing w:after="0"/>
              <w:rPr>
                <w:sz w:val="20"/>
                <w:szCs w:val="20"/>
                <w:color w:val="auto"/>
              </w:rPr>
            </w:pPr>
            <w:r>
              <w:rPr>
                <w:rFonts w:ascii="Arial" w:cs="Arial" w:eastAsia="Arial" w:hAnsi="Arial"/>
                <w:sz w:val="16"/>
                <w:szCs w:val="16"/>
                <w:color w:val="auto"/>
              </w:rPr>
              <w:t>Net (loss) gain on sale of property, plant and equipment</w:t>
            </w:r>
          </w:p>
        </w:tc>
        <w:tc>
          <w:tcPr>
            <w:tcW w:w="24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2,539</w:t>
            </w:r>
          </w:p>
        </w:tc>
      </w:tr>
      <w:tr>
        <w:trPr>
          <w:trHeight w:val="233"/>
        </w:trPr>
        <w:tc>
          <w:tcPr>
            <w:tcW w:w="76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1,400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881</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214,534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32,431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In the first and fourth quarter of 2020, the Company recorded impairment losses of $2.6 million and $4.8 million, respectively, to equity securities that are accounted for as cost method investments.</w:t>
      </w:r>
    </w:p>
    <w:p>
      <w:pPr>
        <w:spacing w:after="0" w:line="9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In the second quarter of 2020, the Company made an additional investment in Framebridge (see Notes 3 and 4) that resulted in the Company obtaining control of the investee. The Company remeasured its previously held equity interest in Framebridge at the acquisition-date fair value and recorded a gain of $3.7 million. The fair value was determined using a market approach by using the share value indicated in the transaction.</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the second and third quarter of 2020, the Company recorded gains of $2.6 million and $1.6 million, respectively, resulting from observable price changes in the fair value of an equity security accounted for under the cost method.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2020, the Company recorded a $209.8 million gain on the sale of Megaphone.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2020, the Company recorded contingent consideration gains of $3.5 million related to the disposition of Kaplan University in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the Company recorded a $29.0 million gain on the sale of the Company’s interest in Gimlet Media.</w:t>
      </w:r>
    </w:p>
    <w:p>
      <w:pPr>
        <w:spacing w:after="0" w:line="144"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In the first and third quarter of 2019, the Company recorded gains of $1.3 million and $3.7 million, respectively, resulting from observable price changes in the fair value of equity securities accounted for under the cost method.</w:t>
      </w:r>
    </w:p>
    <w:p>
      <w:pPr>
        <w:spacing w:after="0" w:line="92" w:lineRule="exact"/>
        <w:rPr>
          <w:sz w:val="20"/>
          <w:szCs w:val="20"/>
          <w:color w:val="auto"/>
        </w:rPr>
      </w:pPr>
    </w:p>
    <w:p>
      <w:pPr>
        <w:ind w:right="700"/>
        <w:spacing w:after="0" w:line="260" w:lineRule="auto"/>
        <w:rPr>
          <w:sz w:val="20"/>
          <w:szCs w:val="20"/>
          <w:color w:val="auto"/>
        </w:rPr>
      </w:pPr>
      <w:r>
        <w:rPr>
          <w:rFonts w:ascii="Arial" w:cs="Arial" w:eastAsia="Arial" w:hAnsi="Arial"/>
          <w:sz w:val="18"/>
          <w:szCs w:val="18"/>
          <w:color w:val="auto"/>
        </w:rPr>
        <w:t>In 2018, the Company recorded a $17.5 million loss in guarantor lease obligations in connection with the sale of the KHE Campuses business.</w:t>
      </w:r>
    </w:p>
    <w:p>
      <w:pPr>
        <w:sectPr>
          <w:pgSz w:w="11900" w:h="16838" w:orient="portrait"/>
          <w:cols w:equalWidth="0" w:num="1">
            <w:col w:w="11220"/>
          </w:cols>
          <w:pgMar w:left="320" w:top="1035" w:right="35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12" w:name="page113"/>
    <w:bookmarkEnd w:id="112"/>
    <w:p>
      <w:pPr>
        <w:ind w:right="320"/>
        <w:spacing w:after="0" w:line="260" w:lineRule="auto"/>
        <w:rPr>
          <w:sz w:val="20"/>
          <w:szCs w:val="20"/>
          <w:color w:val="auto"/>
        </w:rPr>
      </w:pPr>
      <w:r>
        <w:rPr>
          <w:rFonts w:ascii="Arial" w:cs="Arial" w:eastAsia="Arial" w:hAnsi="Arial"/>
          <w:sz w:val="18"/>
          <w:szCs w:val="18"/>
          <w:color w:val="auto"/>
        </w:rPr>
        <w:t>In the third quarter of 2018, the Company recorded an $8.5 million gain resulting from observable price changes in the fair value of equity securities accounted for under the cost method. In the fourth quarter of 2018, an additional $3.2 million gain was recorded.</w:t>
      </w:r>
    </w:p>
    <w:p>
      <w:pPr>
        <w:spacing w:after="0" w:line="9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2018, the Company recorded an $8.2 million gain on the sale of three businesses in the education division, including a gain of $4.3 million on the Kaplan University transaction and $1.9 million in contingent consideration gains related to the sale of a business (see Note 3).</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ACCUMULATED OTHER COMPREHENSIVE INCOME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5"/>
          </w:tcPr>
          <w:p>
            <w:pPr>
              <w:jc w:val="center"/>
              <w:ind w:right="82"/>
              <w:spacing w:after="0"/>
              <w:rPr>
                <w:sz w:val="20"/>
                <w:szCs w:val="20"/>
                <w:color w:val="auto"/>
              </w:rPr>
            </w:pPr>
            <w:r>
              <w:rPr>
                <w:rFonts w:ascii="Arial" w:cs="Arial" w:eastAsia="Arial" w:hAnsi="Arial"/>
                <w:sz w:val="14"/>
                <w:szCs w:val="14"/>
                <w:b w:val="1"/>
                <w:bCs w:val="1"/>
                <w:color w:val="auto"/>
              </w:rPr>
              <w:t>Year Ended December 31, 2020</w:t>
            </w:r>
          </w:p>
        </w:tc>
        <w:tc>
          <w:tcPr>
            <w:tcW w:w="0" w:type="dxa"/>
            <w:vAlign w:val="bottom"/>
          </w:tcPr>
          <w:p>
            <w:pPr>
              <w:spacing w:after="0"/>
              <w:rPr>
                <w:sz w:val="1"/>
                <w:szCs w:val="1"/>
                <w:color w:val="auto"/>
              </w:rPr>
            </w:pPr>
          </w:p>
        </w:tc>
      </w:tr>
      <w:tr>
        <w:trPr>
          <w:trHeight w:val="195"/>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23"/>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16"/>
                <w:szCs w:val="16"/>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6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31,642</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31,642</w:t>
            </w:r>
          </w:p>
        </w:tc>
        <w:tc>
          <w:tcPr>
            <w:tcW w:w="0" w:type="dxa"/>
            <w:vAlign w:val="bottom"/>
          </w:tcPr>
          <w:p>
            <w:pPr>
              <w:spacing w:after="0"/>
              <w:rPr>
                <w:sz w:val="1"/>
                <w:szCs w:val="1"/>
                <w:color w:val="auto"/>
              </w:rPr>
            </w:pPr>
          </w:p>
        </w:tc>
      </w:tr>
      <w:tr>
        <w:trPr>
          <w:trHeight w:val="221"/>
        </w:trPr>
        <w:tc>
          <w:tcPr>
            <w:tcW w:w="764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640" w:type="dxa"/>
            <w:vAlign w:val="bottom"/>
          </w:tcPr>
          <w:p>
            <w:pPr>
              <w:ind w:left="140"/>
              <w:spacing w:after="0"/>
              <w:rPr>
                <w:sz w:val="20"/>
                <w:szCs w:val="20"/>
                <w:color w:val="auto"/>
              </w:rPr>
            </w:pPr>
            <w:r>
              <w:rPr>
                <w:rFonts w:ascii="Arial" w:cs="Arial" w:eastAsia="Arial" w:hAnsi="Arial"/>
                <w:sz w:val="16"/>
                <w:szCs w:val="16"/>
                <w:color w:val="auto"/>
              </w:rPr>
              <w:t>Actuarial gain</w:t>
            </w:r>
          </w:p>
        </w:tc>
        <w:tc>
          <w:tcPr>
            <w:tcW w:w="140" w:type="dxa"/>
            <w:vAlign w:val="bottom"/>
          </w:tcPr>
          <w:p>
            <w:pPr>
              <w:spacing w:after="0"/>
              <w:rPr>
                <w:sz w:val="20"/>
                <w:szCs w:val="20"/>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365,164</w:t>
            </w:r>
          </w:p>
        </w:tc>
        <w:tc>
          <w:tcPr>
            <w:tcW w:w="28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(98,594)</w:t>
            </w:r>
          </w:p>
        </w:tc>
        <w:tc>
          <w:tcPr>
            <w:tcW w:w="24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266,570</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6"/>
                <w:szCs w:val="16"/>
                <w:color w:val="auto"/>
              </w:rPr>
              <w:t>Prior service cost</w:t>
            </w:r>
          </w:p>
        </w:tc>
        <w:tc>
          <w:tcPr>
            <w:tcW w:w="140" w:type="dxa"/>
            <w:vAlign w:val="bottom"/>
          </w:tcPr>
          <w:p>
            <w:pPr>
              <w:spacing w:after="0"/>
              <w:rPr>
                <w:sz w:val="19"/>
                <w:szCs w:val="19"/>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(69)</w:t>
            </w:r>
          </w:p>
        </w:tc>
        <w:tc>
          <w:tcPr>
            <w:tcW w:w="280" w:type="dxa"/>
            <w:vAlign w:val="bottom"/>
          </w:tcPr>
          <w:p>
            <w:pPr>
              <w:spacing w:after="0"/>
              <w:rPr>
                <w:sz w:val="19"/>
                <w:szCs w:val="19"/>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b w:val="1"/>
                <w:bCs w:val="1"/>
                <w:color w:val="auto"/>
              </w:rPr>
              <w:t>19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net actuarial loss included in net income</w:t>
            </w:r>
          </w:p>
        </w:tc>
        <w:tc>
          <w:tcPr>
            <w:tcW w:w="140" w:type="dxa"/>
            <w:vAlign w:val="bottom"/>
          </w:tcPr>
          <w:p>
            <w:pPr>
              <w:spacing w:after="0"/>
              <w:rPr>
                <w:sz w:val="19"/>
                <w:szCs w:val="19"/>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1,219</w:t>
            </w:r>
          </w:p>
        </w:tc>
        <w:tc>
          <w:tcPr>
            <w:tcW w:w="280" w:type="dxa"/>
            <w:vAlign w:val="bottom"/>
          </w:tcPr>
          <w:p>
            <w:pPr>
              <w:spacing w:after="0"/>
              <w:rPr>
                <w:sz w:val="19"/>
                <w:szCs w:val="19"/>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(329)</w:t>
            </w:r>
          </w:p>
        </w:tc>
        <w:tc>
          <w:tcPr>
            <w:tcW w:w="24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b w:val="1"/>
                <w:bCs w:val="1"/>
                <w:color w:val="auto"/>
              </w:rPr>
              <w:t>890</w:t>
            </w:r>
          </w:p>
        </w:tc>
        <w:tc>
          <w:tcPr>
            <w:tcW w:w="0" w:type="dxa"/>
            <w:vAlign w:val="bottom"/>
          </w:tcPr>
          <w:p>
            <w:pPr>
              <w:spacing w:after="0"/>
              <w:rPr>
                <w:sz w:val="1"/>
                <w:szCs w:val="1"/>
                <w:color w:val="auto"/>
              </w:rPr>
            </w:pPr>
          </w:p>
        </w:tc>
      </w:tr>
      <w:tr>
        <w:trPr>
          <w:trHeight w:val="233"/>
        </w:trPr>
        <w:tc>
          <w:tcPr>
            <w:tcW w:w="76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2,680</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(724)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1,956</w:t>
            </w:r>
          </w:p>
        </w:tc>
        <w:tc>
          <w:tcPr>
            <w:tcW w:w="0" w:type="dxa"/>
            <w:vAlign w:val="bottom"/>
          </w:tcPr>
          <w:p>
            <w:pPr>
              <w:spacing w:after="0"/>
              <w:rPr>
                <w:sz w:val="1"/>
                <w:szCs w:val="1"/>
                <w:color w:val="auto"/>
              </w:rPr>
            </w:pPr>
          </w:p>
        </w:tc>
      </w:tr>
      <w:tr>
        <w:trPr>
          <w:trHeight w:val="226"/>
        </w:trPr>
        <w:tc>
          <w:tcPr>
            <w:tcW w:w="7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368,994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(99,628)</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269,366</w:t>
            </w:r>
          </w:p>
        </w:tc>
        <w:tc>
          <w:tcPr>
            <w:tcW w:w="0" w:type="dxa"/>
            <w:vAlign w:val="bottom"/>
          </w:tcPr>
          <w:p>
            <w:pPr>
              <w:spacing w:after="0"/>
              <w:rPr>
                <w:sz w:val="1"/>
                <w:szCs w:val="1"/>
                <w:color w:val="auto"/>
              </w:rPr>
            </w:pPr>
          </w:p>
        </w:tc>
      </w:tr>
      <w:tr>
        <w:trPr>
          <w:trHeight w:val="199"/>
        </w:trPr>
        <w:tc>
          <w:tcPr>
            <w:tcW w:w="764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7"/>
                <w:szCs w:val="17"/>
                <w:color w:val="auto"/>
              </w:rPr>
            </w:pPr>
          </w:p>
        </w:tc>
        <w:tc>
          <w:tcPr>
            <w:tcW w:w="10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(1,282)</w:t>
            </w:r>
          </w:p>
        </w:tc>
        <w:tc>
          <w:tcPr>
            <w:tcW w:w="280" w:type="dxa"/>
            <w:vAlign w:val="bottom"/>
          </w:tcPr>
          <w:p>
            <w:pPr>
              <w:spacing w:after="0"/>
              <w:rPr>
                <w:sz w:val="17"/>
                <w:szCs w:val="17"/>
                <w:color w:val="auto"/>
              </w:rPr>
            </w:pPr>
          </w:p>
        </w:tc>
        <w:tc>
          <w:tcPr>
            <w:tcW w:w="96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293</w:t>
            </w:r>
          </w:p>
        </w:tc>
        <w:tc>
          <w:tcPr>
            <w:tcW w:w="2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(989)</w:t>
            </w:r>
          </w:p>
        </w:tc>
        <w:tc>
          <w:tcPr>
            <w:tcW w:w="0" w:type="dxa"/>
            <w:vAlign w:val="bottom"/>
          </w:tcPr>
          <w:p>
            <w:pPr>
              <w:spacing w:after="0"/>
              <w:rPr>
                <w:sz w:val="1"/>
                <w:szCs w:val="1"/>
                <w:color w:val="auto"/>
              </w:rPr>
            </w:pPr>
          </w:p>
        </w:tc>
      </w:tr>
      <w:tr>
        <w:trPr>
          <w:trHeight w:val="238"/>
        </w:trPr>
        <w:tc>
          <w:tcPr>
            <w:tcW w:w="7640" w:type="dxa"/>
            <w:vAlign w:val="bottom"/>
          </w:tcPr>
          <w:p>
            <w:pPr>
              <w:ind w:left="140"/>
              <w:spacing w:after="0"/>
              <w:rPr>
                <w:sz w:val="20"/>
                <w:szCs w:val="20"/>
                <w:color w:val="auto"/>
              </w:rPr>
            </w:pPr>
            <w:r>
              <w:rPr>
                <w:rFonts w:ascii="Arial" w:cs="Arial" w:eastAsia="Arial" w:hAnsi="Arial"/>
                <w:sz w:val="16"/>
                <w:szCs w:val="16"/>
                <w:color w:val="auto"/>
              </w:rPr>
              <w:t>Loss for the year</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399,354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(99,335)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300,019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6"/>
        </w:trPr>
        <w:tc>
          <w:tcPr>
            <w:tcW w:w="7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jc w:val="center"/>
              <w:ind w:right="82"/>
              <w:spacing w:after="0"/>
              <w:rPr>
                <w:sz w:val="20"/>
                <w:szCs w:val="20"/>
                <w:color w:val="auto"/>
              </w:rPr>
            </w:pPr>
            <w:r>
              <w:rPr>
                <w:rFonts w:ascii="Arial" w:cs="Arial" w:eastAsia="Arial" w:hAnsi="Arial"/>
                <w:sz w:val="14"/>
                <w:szCs w:val="14"/>
                <w:color w:val="auto"/>
              </w:rPr>
              <w:t>Year Ended December 31, 2019</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123"/>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16"/>
                <w:szCs w:val="16"/>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6"/>
                <w:szCs w:val="16"/>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7"/>
                <w:szCs w:val="17"/>
                <w:color w:val="auto"/>
              </w:rPr>
            </w:pPr>
          </w:p>
        </w:tc>
        <w:tc>
          <w:tcPr>
            <w:tcW w:w="1020" w:type="dxa"/>
            <w:vAlign w:val="bottom"/>
          </w:tcPr>
          <w:p>
            <w:pPr>
              <w:jc w:val="center"/>
              <w:ind w:right="123"/>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7"/>
                <w:szCs w:val="17"/>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color w:val="auto"/>
                <w:w w:val="94"/>
              </w:rPr>
              <w:t>Tax</w:t>
            </w:r>
          </w:p>
        </w:tc>
        <w:tc>
          <w:tcPr>
            <w:tcW w:w="240" w:type="dxa"/>
            <w:vAlign w:val="bottom"/>
          </w:tcPr>
          <w:p>
            <w:pPr>
              <w:spacing w:after="0"/>
              <w:rPr>
                <w:sz w:val="17"/>
                <w:szCs w:val="17"/>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Translation adjustments arising during the year</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Actuarial gain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Prior service cost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Settlement included in net income</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flow hedges: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Loss for the year</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5,371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5,371</w:t>
            </w:r>
          </w:p>
        </w:tc>
      </w:tr>
      <w:tr>
        <w:trPr>
          <w:trHeight w:val="238"/>
        </w:trPr>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2,011</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224"/>
        </w:trPr>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7,382</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7,382</w:t>
            </w:r>
          </w:p>
        </w:tc>
      </w:tr>
      <w:tr>
        <w:trPr>
          <w:trHeight w:val="429"/>
        </w:trPr>
        <w:tc>
          <w:tcPr>
            <w:tcW w:w="2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231,104</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(62,398)</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168,706</w:t>
            </w:r>
          </w:p>
        </w:tc>
      </w:tr>
      <w:tr>
        <w:trPr>
          <w:trHeight w:val="230"/>
        </w:trPr>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(5,725)</w:t>
            </w:r>
          </w:p>
        </w:tc>
        <w:tc>
          <w:tcPr>
            <w:tcW w:w="3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1,546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(4,179)</w:t>
            </w:r>
          </w:p>
        </w:tc>
      </w:tr>
      <w:tr>
        <w:trPr>
          <w:trHeight w:val="230"/>
        </w:trPr>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(2,046)</w:t>
            </w:r>
          </w:p>
        </w:tc>
        <w:tc>
          <w:tcPr>
            <w:tcW w:w="3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(1,494)</w:t>
            </w:r>
          </w:p>
        </w:tc>
      </w:tr>
      <w:tr>
        <w:trPr>
          <w:trHeight w:val="230"/>
        </w:trPr>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(4,142)</w:t>
            </w:r>
          </w:p>
        </w:tc>
        <w:tc>
          <w:tcPr>
            <w:tcW w:w="3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(3,024)</w:t>
            </w:r>
          </w:p>
        </w:tc>
      </w:tr>
      <w:tr>
        <w:trPr>
          <w:trHeight w:val="238"/>
        </w:trPr>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(91,676)</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24,752</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(66,924)</w:t>
            </w:r>
          </w:p>
        </w:tc>
      </w:tr>
      <w:tr>
        <w:trPr>
          <w:trHeight w:val="224"/>
        </w:trPr>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127,515</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93,085</w:t>
            </w:r>
          </w:p>
        </w:tc>
      </w:tr>
      <w:tr>
        <w:trPr>
          <w:trHeight w:val="438"/>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r>
      <w:tr>
        <w:trPr>
          <w:trHeight w:val="224"/>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133,553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99,466</w:t>
            </w:r>
          </w:p>
        </w:tc>
      </w:tr>
      <w:tr>
        <w:trPr>
          <w:trHeight w:val="26"/>
        </w:trPr>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920" w:space="720"/>
            <w:col w:w="3580"/>
          </w:cols>
          <w:pgMar w:left="320" w:top="1035" w:right="359" w:bottom="1440" w:gutter="0" w:footer="0" w:header="0"/>
          <w:type w:val="continuous"/>
        </w:sectPr>
      </w:pP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5"/>
          </w:tcPr>
          <w:p>
            <w:pPr>
              <w:jc w:val="center"/>
              <w:ind w:right="61"/>
              <w:spacing w:after="0"/>
              <w:rPr>
                <w:sz w:val="20"/>
                <w:szCs w:val="20"/>
                <w:color w:val="auto"/>
              </w:rPr>
            </w:pPr>
            <w:r>
              <w:rPr>
                <w:rFonts w:ascii="Arial" w:cs="Arial" w:eastAsia="Arial" w:hAnsi="Arial"/>
                <w:sz w:val="14"/>
                <w:szCs w:val="14"/>
                <w:color w:val="auto"/>
              </w:rPr>
              <w:t>Year Ended December 31, 2018</w:t>
            </w:r>
          </w:p>
        </w:tc>
      </w:tr>
      <w:tr>
        <w:trPr>
          <w:trHeight w:val="192"/>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81"/>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16"/>
                <w:szCs w:val="16"/>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6"/>
                <w:szCs w:val="16"/>
                <w:color w:val="auto"/>
              </w:rPr>
            </w:pPr>
          </w:p>
        </w:tc>
        <w:tc>
          <w:tcPr>
            <w:tcW w:w="920" w:type="dxa"/>
            <w:vAlign w:val="bottom"/>
          </w:tcPr>
          <w:p>
            <w:pPr>
              <w:jc w:val="right"/>
              <w:ind w:right="181"/>
              <w:spacing w:after="0"/>
              <w:rPr>
                <w:sz w:val="20"/>
                <w:szCs w:val="20"/>
                <w:color w:val="auto"/>
              </w:rPr>
            </w:pPr>
            <w:r>
              <w:rPr>
                <w:rFonts w:ascii="Arial" w:cs="Arial" w:eastAsia="Arial" w:hAnsi="Arial"/>
                <w:sz w:val="14"/>
                <w:szCs w:val="14"/>
                <w:color w:val="auto"/>
              </w:rPr>
              <w:t>After-Tax</w:t>
            </w:r>
          </w:p>
        </w:tc>
      </w:tr>
      <w:tr>
        <w:trPr>
          <w:trHeight w:val="207"/>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color w:val="auto"/>
                <w:w w:val="94"/>
              </w:rPr>
              <w:t>Tax</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r>
      <w:tr>
        <w:trPr>
          <w:trHeight w:val="216"/>
        </w:trPr>
        <w:tc>
          <w:tcPr>
            <w:tcW w:w="76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762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(35,584)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(35,584)</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6"/>
                <w:szCs w:val="16"/>
                <w:color w:val="auto"/>
              </w:rPr>
              <w:t>Actuarial loss</w:t>
            </w:r>
          </w:p>
        </w:tc>
        <w:tc>
          <w:tcPr>
            <w:tcW w:w="1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(101,013)</w:t>
            </w:r>
          </w:p>
        </w:tc>
        <w:tc>
          <w:tcPr>
            <w:tcW w:w="28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27,273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(73,740)</w:t>
            </w:r>
          </w:p>
        </w:tc>
      </w:tr>
      <w:tr>
        <w:trPr>
          <w:trHeight w:val="229"/>
        </w:trPr>
        <w:tc>
          <w:tcPr>
            <w:tcW w:w="7620" w:type="dxa"/>
            <w:vAlign w:val="bottom"/>
          </w:tcPr>
          <w:p>
            <w:pPr>
              <w:ind w:left="140"/>
              <w:spacing w:after="0"/>
              <w:rPr>
                <w:sz w:val="20"/>
                <w:szCs w:val="20"/>
                <w:color w:val="auto"/>
              </w:rPr>
            </w:pPr>
            <w:r>
              <w:rPr>
                <w:rFonts w:ascii="Arial" w:cs="Arial" w:eastAsia="Arial" w:hAnsi="Arial"/>
                <w:sz w:val="16"/>
                <w:szCs w:val="16"/>
                <w:color w:val="auto"/>
              </w:rPr>
              <w:t>Prior service credit</w:t>
            </w:r>
          </w:p>
        </w:tc>
        <w:tc>
          <w:tcPr>
            <w:tcW w:w="16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4,262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3,111</w:t>
            </w:r>
          </w:p>
        </w:tc>
      </w:tr>
      <w:tr>
        <w:trPr>
          <w:trHeight w:val="230"/>
        </w:trPr>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(11,349)</w:t>
            </w:r>
          </w:p>
        </w:tc>
        <w:tc>
          <w:tcPr>
            <w:tcW w:w="28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3,064</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(8,285)</w:t>
            </w:r>
          </w:p>
        </w:tc>
      </w:tr>
      <w:tr>
        <w:trPr>
          <w:trHeight w:val="229"/>
        </w:trPr>
        <w:tc>
          <w:tcPr>
            <w:tcW w:w="7620" w:type="dxa"/>
            <w:vAlign w:val="bottom"/>
          </w:tcPr>
          <w:p>
            <w:pPr>
              <w:ind w:left="140"/>
              <w:spacing w:after="0"/>
              <w:rPr>
                <w:sz w:val="20"/>
                <w:szCs w:val="20"/>
                <w:color w:val="auto"/>
              </w:rPr>
            </w:pPr>
            <w:r>
              <w:rPr>
                <w:rFonts w:ascii="Arial" w:cs="Arial" w:eastAsia="Arial" w:hAnsi="Arial"/>
                <w:sz w:val="16"/>
                <w:szCs w:val="16"/>
                <w:color w:val="auto"/>
              </w:rPr>
              <w:t>Amortization of net prior service credit included in net income</w:t>
            </w:r>
          </w:p>
        </w:tc>
        <w:tc>
          <w:tcPr>
            <w:tcW w:w="16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(947)</w:t>
            </w:r>
          </w:p>
        </w:tc>
        <w:tc>
          <w:tcPr>
            <w:tcW w:w="280" w:type="dxa"/>
            <w:vAlign w:val="bottom"/>
          </w:tcPr>
          <w:p>
            <w:pPr>
              <w:spacing w:after="0"/>
              <w:rPr>
                <w:sz w:val="19"/>
                <w:szCs w:val="19"/>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256</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239"/>
        </w:trPr>
        <w:tc>
          <w:tcPr>
            <w:tcW w:w="7620" w:type="dxa"/>
            <w:vAlign w:val="bottom"/>
          </w:tcPr>
          <w:p>
            <w:pPr>
              <w:ind w:left="140"/>
              <w:spacing w:after="0"/>
              <w:rPr>
                <w:sz w:val="20"/>
                <w:szCs w:val="20"/>
                <w:color w:val="auto"/>
              </w:rPr>
            </w:pPr>
            <w:r>
              <w:rPr>
                <w:rFonts w:ascii="Arial" w:cs="Arial" w:eastAsia="Arial" w:hAnsi="Arial"/>
                <w:sz w:val="16"/>
                <w:szCs w:val="16"/>
                <w:color w:val="auto"/>
              </w:rPr>
              <w:t>Curtailments and settlements included in net income</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(30,267)</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8,172</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(22,095)</w:t>
            </w:r>
          </w:p>
        </w:tc>
      </w:tr>
      <w:tr>
        <w:trPr>
          <w:trHeight w:val="223"/>
        </w:trPr>
        <w:tc>
          <w:tcPr>
            <w:tcW w:w="7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(139,314)</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37,614</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(101,700)</w:t>
            </w:r>
          </w:p>
        </w:tc>
      </w:tr>
      <w:tr>
        <w:trPr>
          <w:trHeight w:val="201"/>
        </w:trPr>
        <w:tc>
          <w:tcPr>
            <w:tcW w:w="7620" w:type="dxa"/>
            <w:vAlign w:val="bottom"/>
          </w:tcPr>
          <w:p>
            <w:pPr>
              <w:ind w:left="20"/>
              <w:spacing w:after="0"/>
              <w:rPr>
                <w:sz w:val="20"/>
                <w:szCs w:val="20"/>
                <w:color w:val="auto"/>
              </w:rPr>
            </w:pPr>
            <w:r>
              <w:rPr>
                <w:rFonts w:ascii="Arial" w:cs="Arial" w:eastAsia="Arial" w:hAnsi="Arial"/>
                <w:sz w:val="16"/>
                <w:szCs w:val="16"/>
                <w:color w:val="auto"/>
              </w:rPr>
              <w:t>Cash flow hedge:</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8"/>
        </w:trPr>
        <w:tc>
          <w:tcPr>
            <w:tcW w:w="7620" w:type="dxa"/>
            <w:vAlign w:val="bottom"/>
          </w:tcPr>
          <w:p>
            <w:pPr>
              <w:ind w:left="140"/>
              <w:spacing w:after="0"/>
              <w:rPr>
                <w:sz w:val="20"/>
                <w:szCs w:val="20"/>
                <w:color w:val="auto"/>
              </w:rPr>
            </w:pPr>
            <w:r>
              <w:rPr>
                <w:rFonts w:ascii="Arial" w:cs="Arial" w:eastAsia="Arial" w:hAnsi="Arial"/>
                <w:sz w:val="16"/>
                <w:szCs w:val="16"/>
                <w:color w:val="auto"/>
              </w:rPr>
              <w:t>Gain for the year</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551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r>
      <w:tr>
        <w:trPr>
          <w:trHeight w:val="230"/>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(174,347)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37,510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(136,837)</w:t>
            </w: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35" w:right="35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62"/>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420" w:type="dxa"/>
            <w:vAlign w:val="bottom"/>
          </w:tcPr>
          <w:p>
            <w:pPr>
              <w:jc w:val="center"/>
              <w:ind w:right="182"/>
              <w:spacing w:after="0"/>
              <w:rPr>
                <w:sz w:val="20"/>
                <w:szCs w:val="20"/>
                <w:color w:val="auto"/>
              </w:rPr>
            </w:pPr>
            <w:r>
              <w:rPr>
                <w:rFonts w:ascii="Arial" w:cs="Arial" w:eastAsia="Arial" w:hAnsi="Arial"/>
                <w:sz w:val="14"/>
                <w:szCs w:val="14"/>
                <w:b w:val="1"/>
                <w:bCs w:val="1"/>
                <w:color w:val="auto"/>
              </w:rPr>
              <w:t>Unrealized Gain</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2"/>
                <w:szCs w:val="12"/>
                <w:color w:val="auto"/>
              </w:rPr>
            </w:pPr>
          </w:p>
        </w:tc>
        <w:tc>
          <w:tcPr>
            <w:tcW w:w="14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on Pensions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142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rPr>
              <w:t>and Other</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2"/>
                <w:szCs w:val="12"/>
                <w:color w:val="auto"/>
              </w:rPr>
            </w:pPr>
          </w:p>
        </w:tc>
        <w:tc>
          <w:tcPr>
            <w:tcW w:w="13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800" w:type="dxa"/>
            <w:vAlign w:val="bottom"/>
            <w:vMerge w:val="restart"/>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Pr>
          <w:p>
            <w:pPr>
              <w:spacing w:after="0"/>
              <w:rPr>
                <w:sz w:val="12"/>
                <w:szCs w:val="12"/>
                <w:color w:val="auto"/>
              </w:rPr>
            </w:pPr>
          </w:p>
        </w:tc>
        <w:tc>
          <w:tcPr>
            <w:tcW w:w="11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14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rPr>
              <w:t>Postretirement</w:t>
            </w: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2"/>
        </w:trPr>
        <w:tc>
          <w:tcPr>
            <w:tcW w:w="5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Plans</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Hedges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2"/>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2018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(29,270)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232,836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203,829</w:t>
            </w:r>
          </w:p>
        </w:tc>
        <w:tc>
          <w:tcPr>
            <w:tcW w:w="0" w:type="dxa"/>
            <w:vAlign w:val="bottom"/>
          </w:tcPr>
          <w:p>
            <w:pPr>
              <w:spacing w:after="0"/>
              <w:rPr>
                <w:sz w:val="1"/>
                <w:szCs w:val="1"/>
                <w:color w:val="auto"/>
              </w:rPr>
            </w:pPr>
          </w:p>
        </w:tc>
      </w:tr>
      <w:tr>
        <w:trPr>
          <w:trHeight w:val="225"/>
        </w:trPr>
        <w:tc>
          <w:tcPr>
            <w:tcW w:w="5800" w:type="dxa"/>
            <w:vAlign w:val="bottom"/>
          </w:tcPr>
          <w:p>
            <w:pPr>
              <w:ind w:left="14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9"/>
                <w:szCs w:val="19"/>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5,371</w:t>
            </w:r>
          </w:p>
        </w:tc>
        <w:tc>
          <w:tcPr>
            <w:tcW w:w="22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164,527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(906)</w:t>
            </w:r>
          </w:p>
        </w:tc>
        <w:tc>
          <w:tcPr>
            <w:tcW w:w="20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168,992</w:t>
            </w:r>
          </w:p>
        </w:tc>
        <w:tc>
          <w:tcPr>
            <w:tcW w:w="0" w:type="dxa"/>
            <w:vAlign w:val="bottom"/>
          </w:tcPr>
          <w:p>
            <w:pPr>
              <w:spacing w:after="0"/>
              <w:rPr>
                <w:sz w:val="1"/>
                <w:szCs w:val="1"/>
                <w:color w:val="auto"/>
              </w:rPr>
            </w:pPr>
          </w:p>
        </w:tc>
      </w:tr>
      <w:tr>
        <w:trPr>
          <w:trHeight w:val="238"/>
        </w:trPr>
        <w:tc>
          <w:tcPr>
            <w:tcW w:w="5800" w:type="dxa"/>
            <w:vAlign w:val="bottom"/>
          </w:tcPr>
          <w:p>
            <w:pPr>
              <w:ind w:left="140"/>
              <w:spacing w:after="0"/>
              <w:rPr>
                <w:sz w:val="20"/>
                <w:szCs w:val="20"/>
                <w:color w:val="auto"/>
              </w:rPr>
            </w:pPr>
            <w:r>
              <w:rPr>
                <w:rFonts w:ascii="Arial" w:cs="Arial" w:eastAsia="Arial" w:hAnsi="Arial"/>
                <w:sz w:val="16"/>
                <w:szCs w:val="16"/>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2,011</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(71,442)</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(69,526)</w:t>
            </w:r>
          </w:p>
        </w:tc>
        <w:tc>
          <w:tcPr>
            <w:tcW w:w="0" w:type="dxa"/>
            <w:vAlign w:val="bottom"/>
          </w:tcPr>
          <w:p>
            <w:pPr>
              <w:spacing w:after="0"/>
              <w:rPr>
                <w:sz w:val="1"/>
                <w:szCs w:val="1"/>
                <w:color w:val="auto"/>
              </w:rPr>
            </w:pPr>
          </w:p>
        </w:tc>
      </w:tr>
      <w:tr>
        <w:trPr>
          <w:trHeight w:val="223"/>
        </w:trPr>
        <w:tc>
          <w:tcPr>
            <w:tcW w:w="5800" w:type="dxa"/>
            <w:vAlign w:val="bottom"/>
          </w:tcPr>
          <w:p>
            <w:pPr>
              <w:ind w:left="140"/>
              <w:spacing w:after="0"/>
              <w:rPr>
                <w:sz w:val="20"/>
                <w:szCs w:val="20"/>
                <w:color w:val="auto"/>
              </w:rPr>
            </w:pPr>
            <w:r>
              <w:rPr>
                <w:rFonts w:ascii="Arial" w:cs="Arial" w:eastAsia="Arial" w:hAnsi="Arial"/>
                <w:sz w:val="16"/>
                <w:szCs w:val="16"/>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7,382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93,085</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99,466</w:t>
            </w:r>
          </w:p>
        </w:tc>
        <w:tc>
          <w:tcPr>
            <w:tcW w:w="0" w:type="dxa"/>
            <w:vAlign w:val="bottom"/>
          </w:tcPr>
          <w:p>
            <w:pPr>
              <w:spacing w:after="0"/>
              <w:rPr>
                <w:sz w:val="1"/>
                <w:szCs w:val="1"/>
                <w:color w:val="auto"/>
              </w:rPr>
            </w:pPr>
          </w:p>
        </w:tc>
      </w:tr>
      <w:tr>
        <w:trPr>
          <w:trHeight w:val="219"/>
        </w:trPr>
        <w:tc>
          <w:tcPr>
            <w:tcW w:w="5800" w:type="dxa"/>
            <w:vAlign w:val="bottom"/>
          </w:tcPr>
          <w:p>
            <w:pPr>
              <w:ind w:left="20"/>
              <w:spacing w:after="0"/>
              <w:rPr>
                <w:sz w:val="20"/>
                <w:szCs w:val="20"/>
                <w:color w:val="auto"/>
              </w:rPr>
            </w:pPr>
            <w:r>
              <w:rPr>
                <w:rFonts w:ascii="Arial" w:cs="Arial" w:eastAsia="Arial" w:hAnsi="Arial"/>
                <w:sz w:val="16"/>
                <w:szCs w:val="16"/>
                <w:color w:val="auto"/>
              </w:rPr>
              <w:t>As of December 31, 2019</w:t>
            </w:r>
          </w:p>
        </w:tc>
        <w:tc>
          <w:tcPr>
            <w:tcW w:w="1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(21,888)</w:t>
            </w:r>
          </w:p>
        </w:tc>
        <w:tc>
          <w:tcPr>
            <w:tcW w:w="220" w:type="dxa"/>
            <w:vAlign w:val="bottom"/>
          </w:tcPr>
          <w:p>
            <w:pPr>
              <w:spacing w:after="0"/>
              <w:rPr>
                <w:sz w:val="19"/>
                <w:szCs w:val="19"/>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color w:val="auto"/>
              </w:rPr>
              <w:t>325,921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(738)</w:t>
            </w:r>
          </w:p>
        </w:tc>
        <w:tc>
          <w:tcPr>
            <w:tcW w:w="20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303,295</w:t>
            </w:r>
          </w:p>
        </w:tc>
        <w:tc>
          <w:tcPr>
            <w:tcW w:w="0" w:type="dxa"/>
            <w:vAlign w:val="bottom"/>
          </w:tcPr>
          <w:p>
            <w:pPr>
              <w:spacing w:after="0"/>
              <w:rPr>
                <w:sz w:val="1"/>
                <w:szCs w:val="1"/>
                <w:color w:val="auto"/>
              </w:rPr>
            </w:pPr>
          </w:p>
        </w:tc>
      </w:tr>
      <w:tr>
        <w:trPr>
          <w:trHeight w:val="233"/>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income (loss) before reclassifications</w:t>
            </w:r>
          </w:p>
        </w:tc>
        <w:tc>
          <w:tcPr>
            <w:tcW w:w="1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b w:val="1"/>
                <w:bCs w:val="1"/>
                <w:color w:val="auto"/>
              </w:rPr>
              <w:t>31,642</w:t>
            </w:r>
          </w:p>
        </w:tc>
        <w:tc>
          <w:tcPr>
            <w:tcW w:w="220" w:type="dxa"/>
            <w:vAlign w:val="bottom"/>
          </w:tcPr>
          <w:p>
            <w:pPr>
              <w:spacing w:after="0"/>
              <w:rPr>
                <w:sz w:val="20"/>
                <w:szCs w:val="20"/>
                <w:color w:val="auto"/>
              </w:rPr>
            </w:pPr>
          </w:p>
        </w:tc>
        <w:tc>
          <w:tcPr>
            <w:tcW w:w="1420" w:type="dxa"/>
            <w:vAlign w:val="bottom"/>
          </w:tcPr>
          <w:p>
            <w:pPr>
              <w:jc w:val="right"/>
              <w:ind w:right="42"/>
              <w:spacing w:after="0"/>
              <w:rPr>
                <w:sz w:val="20"/>
                <w:szCs w:val="20"/>
                <w:color w:val="auto"/>
              </w:rPr>
            </w:pPr>
            <w:r>
              <w:rPr>
                <w:rFonts w:ascii="Arial" w:cs="Arial" w:eastAsia="Arial" w:hAnsi="Arial"/>
                <w:sz w:val="16"/>
                <w:szCs w:val="16"/>
                <w:b w:val="1"/>
                <w:bCs w:val="1"/>
                <w:color w:val="auto"/>
              </w:rPr>
              <w:t>266,520</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(1,476)</w:t>
            </w:r>
          </w:p>
        </w:tc>
        <w:tc>
          <w:tcPr>
            <w:tcW w:w="20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296,686</w:t>
            </w:r>
          </w:p>
        </w:tc>
        <w:tc>
          <w:tcPr>
            <w:tcW w:w="0" w:type="dxa"/>
            <w:vAlign w:val="bottom"/>
          </w:tcPr>
          <w:p>
            <w:pPr>
              <w:spacing w:after="0"/>
              <w:rPr>
                <w:sz w:val="1"/>
                <w:szCs w:val="1"/>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2,846</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487</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3,333</w:t>
            </w:r>
          </w:p>
        </w:tc>
        <w:tc>
          <w:tcPr>
            <w:tcW w:w="0" w:type="dxa"/>
            <w:vAlign w:val="bottom"/>
          </w:tcPr>
          <w:p>
            <w:pPr>
              <w:spacing w:after="0"/>
              <w:rPr>
                <w:sz w:val="1"/>
                <w:szCs w:val="1"/>
                <w:color w:val="auto"/>
              </w:rPr>
            </w:pPr>
          </w:p>
        </w:tc>
      </w:tr>
      <w:tr>
        <w:trPr>
          <w:trHeight w:val="229"/>
        </w:trPr>
        <w:tc>
          <w:tcPr>
            <w:tcW w:w="5800" w:type="dxa"/>
            <w:vAlign w:val="bottom"/>
          </w:tcPr>
          <w:p>
            <w:pPr>
              <w:ind w:left="140"/>
              <w:spacing w:after="0"/>
              <w:rPr>
                <w:sz w:val="20"/>
                <w:szCs w:val="20"/>
                <w:color w:val="auto"/>
              </w:rPr>
            </w:pPr>
            <w:r>
              <w:rPr>
                <w:rFonts w:ascii="Arial" w:cs="Arial" w:eastAsia="Arial" w:hAnsi="Arial"/>
                <w:sz w:val="16"/>
                <w:szCs w:val="16"/>
                <w:b w:val="1"/>
                <w:bCs w:val="1"/>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31,642</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269,366</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(989)</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300,019</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9,754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595,287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603,314</w:t>
            </w:r>
          </w:p>
        </w:tc>
        <w:tc>
          <w:tcPr>
            <w:tcW w:w="0" w:type="dxa"/>
            <w:vAlign w:val="bottom"/>
          </w:tcPr>
          <w:p>
            <w:pPr>
              <w:spacing w:after="0"/>
              <w:rPr>
                <w:sz w:val="1"/>
                <w:szCs w:val="1"/>
                <w:color w:val="auto"/>
              </w:rPr>
            </w:pPr>
          </w:p>
        </w:tc>
      </w:tr>
      <w:tr>
        <w:trPr>
          <w:trHeight w:val="21"/>
        </w:trPr>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19"/>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Foreign Currency Translation Adjustments: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tcPr>
          <w:p>
            <w:pPr>
              <w:ind w:left="140"/>
              <w:spacing w:after="0"/>
              <w:rPr>
                <w:sz w:val="20"/>
                <w:szCs w:val="20"/>
                <w:color w:val="auto"/>
              </w:rPr>
            </w:pPr>
            <w:r>
              <w:rPr>
                <w:rFonts w:ascii="Arial" w:cs="Arial" w:eastAsia="Arial" w:hAnsi="Arial"/>
                <w:sz w:val="16"/>
                <w:szCs w:val="16"/>
                <w:color w:val="auto"/>
              </w:rPr>
              <w:t>Adjustment for sales of businesses with foreign operations</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color w:val="auto"/>
              </w:rPr>
              <w:t>2,011</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176"/>
        </w:trPr>
        <w:tc>
          <w:tcPr>
            <w:tcW w:w="534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Pr>
          <w:p>
            <w:pPr>
              <w:spacing w:after="0"/>
              <w:rPr>
                <w:sz w:val="18"/>
                <w:szCs w:val="18"/>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1,219</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actuarial loss (gain)</w:t>
            </w: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(2,046)</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(11,349)</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(credit)</w:t>
            </w:r>
          </w:p>
        </w:tc>
        <w:tc>
          <w:tcPr>
            <w:tcW w:w="22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2,680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(4,142)</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6"/>
                <w:szCs w:val="16"/>
                <w:color w:val="auto"/>
              </w:rPr>
              <w:t>Curtailment and settlement gains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(91,676)</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(30,267)</w:t>
            </w:r>
          </w:p>
        </w:tc>
        <w:tc>
          <w:tcPr>
            <w:tcW w:w="278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3,899</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(97,864)</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(42,563)</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(1,053)</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26,422</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11,492</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2,846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(71,442)</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(31,071)</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Cash Flow Hedges</w:t>
            </w:r>
          </w:p>
        </w:tc>
        <w:tc>
          <w:tcPr>
            <w:tcW w:w="220" w:type="dxa"/>
            <w:vAlign w:val="bottom"/>
          </w:tcPr>
          <w:p>
            <w:pPr>
              <w:spacing w:after="0"/>
              <w:rPr>
                <w:sz w:val="18"/>
                <w:szCs w:val="18"/>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474</w:t>
            </w:r>
          </w:p>
        </w:tc>
        <w:tc>
          <w:tcPr>
            <w:tcW w:w="26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(146)</w:t>
            </w:r>
          </w:p>
        </w:tc>
        <w:tc>
          <w:tcPr>
            <w:tcW w:w="3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24"/>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487</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3,333</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(69,526)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(31,203)</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ind w:left="260" w:right="40" w:hanging="252"/>
        <w:spacing w:after="0" w:line="233" w:lineRule="auto"/>
        <w:tabs>
          <w:tab w:leader="none" w:pos="30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15) and are included in non-operating pension and postretirement benefit income in the Company’s Consolidated Statements of Operations.</w:t>
      </w:r>
    </w:p>
    <w:p>
      <w:pPr>
        <w:spacing w:after="0" w:line="11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OTHER COMMITMENTS</w:t>
      </w:r>
    </w:p>
    <w:p>
      <w:pPr>
        <w:spacing w:after="0" w:line="14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11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On September 3, 2015, Kaplan sold to Education Corporation of America (ECA) substantially all of the assets of the KHE Campuses. The transaction included the transfer of certain real estate leases that were guaranteed or purportedly guaranteed by Kaplan. ECA is currently in receivership, has terminated all of its higher education operations and has sold most, if not all, of its remaining assets (including New England College of Business). Additionally, the receiver has repudiated all of ECA’s real estate leases. Although ECA is required to indemnify Kaplan for any amounts Kaplan must pay due to ECA’s failure to fulfill its obligations under the real estate leases guaranteed by Kaplan, ECA’s current financial condition and the amount of secured and unsecured creditor claims outstanding against ECA make it unlikely that Kaplan will recover from ECA. In the second half of 2018, the</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14" w:name="page115"/>
    <w:bookmarkEnd w:id="114"/>
    <w:p>
      <w:pPr>
        <w:spacing w:after="0" w:line="229" w:lineRule="auto"/>
        <w:rPr>
          <w:sz w:val="20"/>
          <w:szCs w:val="20"/>
          <w:color w:val="auto"/>
        </w:rPr>
      </w:pPr>
      <w:r>
        <w:rPr>
          <w:rFonts w:ascii="Arial" w:cs="Arial" w:eastAsia="Arial" w:hAnsi="Arial"/>
          <w:sz w:val="18"/>
          <w:szCs w:val="18"/>
          <w:color w:val="auto"/>
        </w:rPr>
        <w:t>Company recorded an estimated $ 17.5 million in losses on guarantor lease obligations in connection with this transaction in other non-operating expense. The Company recorded an additional estimated $1.1 million and $1.0 million in non-operating expense in 2019 and 2020, respectively, consisting of legal fees and lease costs. The Company continues to monitor the status of these obligations. Kaplan also may be liable to the current owners of KU and the KHE schools, respectively, related to the pre-sale conduct of the schools. Additionally, the pre-sale conduct of the schools could be the subject of future compliance reviews or lawsuits that could result in monetary liabilities or fines or other sanctions.</w:t>
      </w:r>
    </w:p>
    <w:p>
      <w:pPr>
        <w:spacing w:after="0" w:line="11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raised assessments against the Kaplan UK Pathways business for Value Added Tax (VAT) relating to 2017 and earlier years, which Kaplan has paid. In September 2017, in a case captioned </w:t>
      </w:r>
      <w:r>
        <w:rPr>
          <w:rFonts w:ascii="Arial" w:cs="Arial" w:eastAsia="Arial" w:hAnsi="Arial"/>
          <w:sz w:val="18"/>
          <w:szCs w:val="18"/>
          <w:i w:val="1"/>
          <w:iCs w:val="1"/>
          <w:color w:val="auto"/>
        </w:rPr>
        <w:t>Kaplan International Colleges UK Limited v. The Commissioners for Her Majesty’s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and Customs</w:t>
      </w:r>
      <w:r>
        <w:rPr>
          <w:rFonts w:ascii="Arial" w:cs="Arial" w:eastAsia="Arial" w:hAnsi="Arial"/>
          <w:sz w:val="18"/>
          <w:szCs w:val="18"/>
          <w:color w:val="auto"/>
        </w:rPr>
        <w:t>, Kaplan challenged these assessments. The Company believed it had met all requirements under U.K. VAT law for a cost</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group VAT exemption to apply and was entitled to recover the £18.6 million related to the assessments and subsequent payments that had been paid through December 31, 2019. Following a hearing held in January 2019 before the First Tier Tax Tribunal, European legal questions on the scope of the cost sharing VAT exemption were referred to the Court of Justice of the European Union. The Court of Justice ruled against Kaplan on November 18, 2020. In the third quarter of 2019, due to developments in the case, the Company recorded a full provision against a receivable to expense, of which £14.1 million related to years 2014 to 2018.</w:t>
      </w:r>
    </w:p>
    <w:p>
      <w:pPr>
        <w:spacing w:after="0" w:line="109"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On January 10, 2020, Kaplan Bournemouth Limited received an improvement notice from Bournemouth, Christchurch and Poole Council, a local government authority, under section 11 of the U.K. Housing Act 2004 in relation to its leased student residence in Bournemouth, U.K. This notice followed the Council’s assessment that a category 1 fire hazard exists at the property and required certain remedial work to be undertaken at the property within a specified timetable. This work comprised a number of items, including the removal of aluminum composite material (ACM) cladding and high pressure laminate (HPL) cladding from the facade of the building. Kaplan Bournemouth Limited appealed the notice on January 31, 2020, to contest certain remedial requirements, although it did not contest the requirement for the removal of the ACM and HPL cladding. Kaplan and the Council have reached an agreement regarding the remedial works required. A revised improvement notice was issued by the Council on February 17, 2021. The appeal proceedings are in the process of being formally withdrawn by Kaplan. Remediation works are underway at this site.</w:t>
      </w:r>
    </w:p>
    <w:p>
      <w:pPr>
        <w:spacing w:after="0" w:line="10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The Company’s broadcast subsidiaries are parties to certain agreements that commit them to purchase programming</w:t>
      </w:r>
      <w:r>
        <w:rPr>
          <w:rFonts w:ascii="Arial" w:cs="Arial" w:eastAsia="Arial" w:hAnsi="Arial"/>
          <w:sz w:val="18"/>
          <w:szCs w:val="18"/>
          <w:b w:val="1"/>
          <w:bCs w:val="1"/>
          <w:color w:val="auto"/>
        </w:rPr>
        <w:t xml:space="preserve"> </w:t>
      </w:r>
      <w:r>
        <w:rPr>
          <w:rFonts w:ascii="Arial" w:cs="Arial" w:eastAsia="Arial" w:hAnsi="Arial"/>
          <w:sz w:val="18"/>
          <w:szCs w:val="18"/>
          <w:color w:val="auto"/>
        </w:rPr>
        <w:t>to be produced in future years. At December 31, 2020, such commitments amounted to approximately $21.8 million. If such programs are not produced, the Company’s commitment would expire without obligation.</w:t>
      </w:r>
    </w:p>
    <w:p>
      <w:pPr>
        <w:spacing w:after="0" w:line="105"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w:t>
      </w:r>
      <w:r>
        <w:rPr>
          <w:rFonts w:ascii="Arial" w:cs="Arial" w:eastAsia="Arial" w:hAnsi="Arial"/>
          <w:sz w:val="18"/>
          <w:szCs w:val="18"/>
          <w:b w:val="1"/>
          <w:bCs w:val="1"/>
          <w:color w:val="auto"/>
        </w:rPr>
        <w:t xml:space="preserve"> </w:t>
      </w:r>
      <w:r>
        <w:rPr>
          <w:rFonts w:ascii="Arial" w:cs="Arial" w:eastAsia="Arial" w:hAnsi="Arial"/>
          <w:sz w:val="18"/>
          <w:szCs w:val="18"/>
          <w:color w:val="auto"/>
        </w:rPr>
        <w:t>and 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w:t>
      </w:r>
    </w:p>
    <w:p>
      <w:pPr>
        <w:spacing w:after="0" w:line="10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June 2020, Kaplan announced a plan to combine its three primary divisions based in the United States (Kaplan Test Preparation, Kaplan Professional, and Kaplan Higher Education) into one business known as Kaplan North America. The plan for this combination was implemented in the second half of 2020 and is designed to create and reinforce Kaplan’s competitiveness in each market, and new markets into which Kaplan extends. Following completion of the plan, the Kaplan Test Preparation and Kaplan Professional segments were combined into the Kaplan Supplemental Education segment. Prior to the combination, the Company performed an impairment review of the</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$64.7 million and $89.5 million goodwill balances at the Kaplan Test Preparation and Kaplan Professional reporting units, respectively. The quantitative goodwill impairment analysis indicated the estimated fair value of both reporting units exceeded their carrying values.</w:t>
      </w:r>
    </w:p>
    <w:p>
      <w:pPr>
        <w:spacing w:after="0" w:line="10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In July 2020, SocialCode announced it will split into two separate companies. SocialCode’s marketing agency business continues to operate under the new name Code3, and the legacy business surrounding the Audience Intelligence Platform (AIP) continues as a separate software company, operating under the new name, Decile. Following the split, the Company started reporting Code3 and Decile in other businesses.</w:t>
      </w:r>
    </w:p>
    <w:p>
      <w:pPr>
        <w:spacing w:after="0" w:line="11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As a result of these changes, the Company changed the presentation of its segments in the third and fourth quarters of 2020 into the following six reportable segments: Kaplan International, Kaplan Higher Education, Kaplan Supplemental Education, Television Broadcasting, Manufacturing and Healthcare.</w:t>
      </w:r>
    </w:p>
    <w:p>
      <w:pPr>
        <w:spacing w:after="0" w:line="111"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15" w:name="page116"/>
    <w:bookmarkEnd w:id="115"/>
    <w:p>
      <w:pPr>
        <w:ind w:right="20"/>
        <w:spacing w:after="0" w:line="234" w:lineRule="auto"/>
        <w:rPr>
          <w:sz w:val="20"/>
          <w:szCs w:val="20"/>
          <w:color w:val="auto"/>
        </w:rPr>
      </w:pPr>
      <w:r>
        <w:rPr>
          <w:rFonts w:ascii="Arial" w:cs="Arial" w:eastAsia="Arial" w:hAnsi="Arial"/>
          <w:sz w:val="18"/>
          <w:szCs w:val="18"/>
          <w:color w:val="auto"/>
        </w:rPr>
        <w:t>described in Note 2. In computing operating income before amortization by segment, the effects of amortization of intangible assets, impairment of goodwill and other long-lived assets, equity in earnings (losses) of affiliates, interest income, interest expense, non-operating pension and postretirement benefit income, other non-operating income and expense items and income taxes are not included. Intersegment sales are not material.</w:t>
      </w:r>
    </w:p>
    <w:p>
      <w:pPr>
        <w:spacing w:after="0" w:line="111"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investments in marketable equity securities and affiliates, and prepaid pension cost are not included in identifiable assets by segment. Investments in marketable equity securities are discussed in Note 4.</w:t>
      </w:r>
    </w:p>
    <w:p>
      <w:pPr>
        <w:spacing w:after="0" w:line="10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Kaplan International includes professional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businesses largely outside the U.S., as well as English-language programs. Prior to the KU Transaction closing on March 22, 2018, KHE included Kaplan’s domestic postsecondary education business, made up of fixed-facility colleges and online postsecondary and career programs. Following the KU Transaction closing, KHE includes the results as a service provider to higher education institutions. Supplemental Education includes Kaplan’s standardized test preparation, domestic professional and other continuing education businesses.</w:t>
      </w:r>
    </w:p>
    <w:p>
      <w:pPr>
        <w:spacing w:after="0" w:line="113"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As of December 31, 2020, Kaplan had a total outstanding accounts receivable balance of $87.3 million from Purdue Global related to amounts due for reimbursements for services, fees earned and a deferred fee. In addition, Kaplan has a $19.9 million long-term receivable balance due from Purdue Global at December 31, 2020, related to the advance of $20.0 million during the initial KU Transaction.</w:t>
      </w:r>
    </w:p>
    <w:p>
      <w:pPr>
        <w:spacing w:after="0" w:line="8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seven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107"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Manufacturing. </w:t>
      </w:r>
      <w:r>
        <w:rPr>
          <w:rFonts w:ascii="Arial" w:cs="Arial" w:eastAsia="Arial" w:hAnsi="Arial"/>
          <w:sz w:val="18"/>
          <w:szCs w:val="18"/>
          <w:color w:val="auto"/>
        </w:rPr>
        <w:t>Manufacturing operations include Hoover, a Thomson, GA-based supplier of pressure impregnated kiln-dried lumber and</w:t>
      </w:r>
      <w:r>
        <w:rPr>
          <w:rFonts w:ascii="Arial" w:cs="Arial" w:eastAsia="Arial" w:hAnsi="Arial"/>
          <w:sz w:val="18"/>
          <w:szCs w:val="18"/>
          <w:b w:val="1"/>
          <w:bCs w:val="1"/>
          <w:color w:val="auto"/>
        </w:rPr>
        <w:t xml:space="preserve"> </w:t>
      </w:r>
      <w:r>
        <w:rPr>
          <w:rFonts w:ascii="Arial" w:cs="Arial" w:eastAsia="Arial" w:hAnsi="Arial"/>
          <w:sz w:val="18"/>
          <w:szCs w:val="18"/>
          <w:color w:val="auto"/>
        </w:rPr>
        <w:t>plywood products for fire retardant and preservative application; Dekko, a Garrett, IN-based manufacturer of electrical workspace solutions, architectural lighting, and electrical components and assemblies;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provides home health, hospice and palliative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06" w:lineRule="exact"/>
        <w:rPr>
          <w:sz w:val="20"/>
          <w:szCs w:val="20"/>
          <w:color w:val="auto"/>
        </w:rPr>
      </w:pPr>
    </w:p>
    <w:p>
      <w:pPr>
        <w:ind w:left="660" w:right="140" w:hanging="328"/>
        <w:spacing w:after="0" w:line="260"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Three automotive dealerships, including Lexus of Rockville and Honda of Tysons Corner, which were acquired on January 31, 2019 and Jeep of Bethesda, which opened in December 2019.</w:t>
      </w:r>
    </w:p>
    <w:p>
      <w:pPr>
        <w:spacing w:after="0" w:line="64" w:lineRule="exact"/>
        <w:rPr>
          <w:rFonts w:ascii="Arial" w:cs="Arial" w:eastAsia="Arial" w:hAnsi="Arial"/>
          <w:sz w:val="18"/>
          <w:szCs w:val="18"/>
          <w:color w:val="auto"/>
        </w:rPr>
      </w:pPr>
    </w:p>
    <w:p>
      <w:pPr>
        <w:ind w:left="660" w:right="560" w:hanging="328"/>
        <w:spacing w:after="0" w:line="260"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Clyde’s Restaurant Group (acquired on July 31, 2019) owns and operates eleven restaurants and entertainment venues in the Washington, D.C. metropolitan area.</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Code3 is a marketing and insights company that manages digital advertising companies.</w:t>
      </w:r>
    </w:p>
    <w:p>
      <w:pPr>
        <w:spacing w:after="0" w:line="103" w:lineRule="exact"/>
        <w:rPr>
          <w:rFonts w:ascii="Arial" w:cs="Arial" w:eastAsia="Arial" w:hAnsi="Arial"/>
          <w:sz w:val="18"/>
          <w:szCs w:val="18"/>
          <w:b w:val="1"/>
          <w:bCs w:val="1"/>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Decile is a customer data and analytics software company.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i w:val="1"/>
          <w:iCs w:val="1"/>
          <w:color w:val="auto"/>
        </w:rPr>
      </w:pPr>
      <w:r>
        <w:rPr>
          <w:rFonts w:ascii="Arial" w:cs="Arial" w:eastAsia="Arial" w:hAnsi="Arial"/>
          <w:sz w:val="18"/>
          <w:szCs w:val="18"/>
          <w:color w:val="auto"/>
        </w:rPr>
        <w:t>Framebridge, a custom framing service company, which was acquired in May 2020.</w:t>
      </w:r>
    </w:p>
    <w:p>
      <w:pPr>
        <w:spacing w:after="0" w:line="103" w:lineRule="exact"/>
        <w:rPr>
          <w:rFonts w:ascii="Arial" w:cs="Arial" w:eastAsia="Arial" w:hAnsi="Arial"/>
          <w:sz w:val="18"/>
          <w:szCs w:val="18"/>
          <w:i w:val="1"/>
          <w:iCs w:val="1"/>
          <w:color w:val="auto"/>
        </w:rPr>
      </w:pPr>
    </w:p>
    <w:p>
      <w:pPr>
        <w:ind w:left="660" w:right="420" w:hanging="328"/>
        <w:spacing w:after="0" w:line="260"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Slate Group and Foreign Policy Group, which publish online and print magazines and websites; and three investment stage businesses, Megaphone (sold in December 2020), Pinna and CyberVista.</w:t>
      </w:r>
    </w:p>
    <w:p>
      <w:pPr>
        <w:spacing w:after="0" w:line="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defined benefit pension expense,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obligations related to prior business dispositions.</w:t>
      </w:r>
    </w:p>
    <w:p>
      <w:pPr>
        <w:spacing w:after="0" w:line="86" w:lineRule="exact"/>
        <w:rPr>
          <w:sz w:val="20"/>
          <w:szCs w:val="20"/>
          <w:color w:val="auto"/>
        </w:rPr>
      </w:pPr>
    </w:p>
    <w:p>
      <w:pPr>
        <w:ind w:right="320"/>
        <w:spacing w:after="0" w:line="232"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2020, 2019 and 2018 totaled approximately $ 642 million, $691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and $657 million, respectively, primarily from Kaplan’s operations outside the U.S. Additionally, revenues in 2020, 2019 and 2018 totaled approximately $375 million, $384 million, and $345 million, respectively, from Kaplan’s operations in the U.K. The Company’s long-lived assets in non-U.S. countries (excluding goodwill and other intangible assets), totaled approximately $442 million and $431 million at December 31, 2020 and 2019, respectively.</w:t>
      </w:r>
    </w:p>
    <w:p>
      <w:pPr>
        <w:spacing w:after="0" w:line="107"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Restructuring. </w:t>
      </w:r>
      <w:r>
        <w:rPr>
          <w:rFonts w:ascii="Arial" w:cs="Arial" w:eastAsia="Arial" w:hAnsi="Arial"/>
          <w:sz w:val="18"/>
          <w:szCs w:val="18"/>
          <w:color w:val="auto"/>
        </w:rPr>
        <w:t>Kaplan developed and implemented a number of initiatives across its businesses to help mitigate the negative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arising from COVID-19 and to re-align its program offerings to better pursue opportunities from the disruption. These initiatives include employee salary and work-hour reductions; temporary furlough and other employee reductions; reduced discretionary spending; facility restructuring to reduce its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16" w:name="page117"/>
    <w:bookmarkEnd w:id="116"/>
    <w:p>
      <w:pPr>
        <w:ind w:right="320"/>
        <w:spacing w:after="0" w:line="260" w:lineRule="auto"/>
        <w:rPr>
          <w:sz w:val="20"/>
          <w:szCs w:val="20"/>
          <w:color w:val="auto"/>
        </w:rPr>
      </w:pPr>
      <w:r>
        <w:rPr>
          <w:rFonts w:ascii="Arial" w:cs="Arial" w:eastAsia="Arial" w:hAnsi="Arial"/>
          <w:sz w:val="18"/>
          <w:szCs w:val="18"/>
          <w:color w:val="auto"/>
        </w:rPr>
        <w:t>classroom and office facilities; reduced capital expenditures; and accelerated development and promotion of various online programs and solutions.</w:t>
      </w:r>
    </w:p>
    <w:p>
      <w:pPr>
        <w:spacing w:after="0" w:line="92"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In 2020, Kaplan recorded restructuring costs related to severance, the exit of classroom and office facilities, and approved Separation Incentive Programs that reduced the number of employees at all of Kaplan’s divisions.</w:t>
      </w:r>
    </w:p>
    <w:p>
      <w:pPr>
        <w:spacing w:after="0" w:line="9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2020, Code3 and Decile recorded restructuring costs in connection with a restructuring plan that included the exit of an office facility, an approved Separation Incentive Program to reduce the number of employees, and other cost reduction initiatives to mitigate the adverse impact of COVID-19 on advertising demand.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related costs across all businesses in 2020 were recorded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320" w:type="dxa"/>
            <w:vAlign w:val="bottom"/>
          </w:tcPr>
          <w:p>
            <w:pPr>
              <w:spacing w:after="0"/>
              <w:rPr>
                <w:sz w:val="14"/>
                <w:szCs w:val="14"/>
                <w:color w:val="auto"/>
              </w:rPr>
            </w:pPr>
          </w:p>
        </w:tc>
        <w:tc>
          <w:tcPr>
            <w:tcW w:w="960" w:type="dxa"/>
            <w:vAlign w:val="bottom"/>
          </w:tcPr>
          <w:p>
            <w:pPr>
              <w:jc w:val="center"/>
              <w:ind w:right="25"/>
              <w:spacing w:after="0"/>
              <w:rPr>
                <w:sz w:val="20"/>
                <w:szCs w:val="20"/>
                <w:color w:val="auto"/>
              </w:rPr>
            </w:pPr>
            <w:r>
              <w:rPr>
                <w:rFonts w:ascii="Arial" w:cs="Arial" w:eastAsia="Arial" w:hAnsi="Arial"/>
                <w:sz w:val="14"/>
                <w:szCs w:val="14"/>
                <w:color w:val="auto"/>
              </w:rPr>
              <w:t>Kaplan</w:t>
            </w:r>
          </w:p>
        </w:tc>
        <w:tc>
          <w:tcPr>
            <w:tcW w:w="180" w:type="dxa"/>
            <w:vAlign w:val="bottom"/>
          </w:tcPr>
          <w:p>
            <w:pPr>
              <w:spacing w:after="0"/>
              <w:rPr>
                <w:sz w:val="14"/>
                <w:szCs w:val="14"/>
                <w:color w:val="auto"/>
              </w:rPr>
            </w:pPr>
          </w:p>
        </w:tc>
        <w:tc>
          <w:tcPr>
            <w:tcW w:w="980" w:type="dxa"/>
            <w:vAlign w:val="bottom"/>
          </w:tcPr>
          <w:p>
            <w:pPr>
              <w:jc w:val="center"/>
              <w:ind w:right="205"/>
              <w:spacing w:after="0"/>
              <w:rPr>
                <w:sz w:val="20"/>
                <w:szCs w:val="20"/>
                <w:color w:val="auto"/>
              </w:rPr>
            </w:pPr>
            <w:r>
              <w:rPr>
                <w:rFonts w:ascii="Arial" w:cs="Arial" w:eastAsia="Arial" w:hAnsi="Arial"/>
                <w:sz w:val="14"/>
                <w:szCs w:val="14"/>
                <w:color w:val="auto"/>
              </w:rPr>
              <w:t>Higher</w:t>
            </w:r>
          </w:p>
        </w:tc>
        <w:tc>
          <w:tcPr>
            <w:tcW w:w="1060" w:type="dxa"/>
            <w:vAlign w:val="bottom"/>
          </w:tcPr>
          <w:p>
            <w:pPr>
              <w:jc w:val="center"/>
              <w:ind w:right="25"/>
              <w:spacing w:after="0"/>
              <w:rPr>
                <w:sz w:val="20"/>
                <w:szCs w:val="20"/>
                <w:color w:val="auto"/>
              </w:rPr>
            </w:pPr>
            <w:r>
              <w:rPr>
                <w:rFonts w:ascii="Arial" w:cs="Arial" w:eastAsia="Arial" w:hAnsi="Arial"/>
                <w:sz w:val="14"/>
                <w:szCs w:val="14"/>
                <w:color w:val="auto"/>
              </w:rPr>
              <w:t>Supplemental</w:t>
            </w:r>
          </w:p>
        </w:tc>
        <w:tc>
          <w:tcPr>
            <w:tcW w:w="160" w:type="dxa"/>
            <w:vAlign w:val="bottom"/>
          </w:tcPr>
          <w:p>
            <w:pPr>
              <w:spacing w:after="0"/>
              <w:rPr>
                <w:sz w:val="14"/>
                <w:szCs w:val="14"/>
                <w:color w:val="auto"/>
              </w:rPr>
            </w:pPr>
          </w:p>
        </w:tc>
        <w:tc>
          <w:tcPr>
            <w:tcW w:w="940" w:type="dxa"/>
            <w:vAlign w:val="bottom"/>
          </w:tcPr>
          <w:p>
            <w:pPr>
              <w:jc w:val="center"/>
              <w:ind w:right="185"/>
              <w:spacing w:after="0"/>
              <w:rPr>
                <w:sz w:val="20"/>
                <w:szCs w:val="20"/>
                <w:color w:val="auto"/>
              </w:rPr>
            </w:pPr>
            <w:r>
              <w:rPr>
                <w:rFonts w:ascii="Arial" w:cs="Arial" w:eastAsia="Arial" w:hAnsi="Arial"/>
                <w:sz w:val="14"/>
                <w:szCs w:val="14"/>
                <w:color w:val="auto"/>
              </w:rPr>
              <w:t>Kaplan</w:t>
            </w:r>
          </w:p>
        </w:tc>
        <w:tc>
          <w:tcPr>
            <w:tcW w:w="840" w:type="dxa"/>
            <w:vAlign w:val="bottom"/>
          </w:tcPr>
          <w:p>
            <w:pPr>
              <w:jc w:val="center"/>
              <w:ind w:right="25"/>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180" w:type="dxa"/>
            <w:vAlign w:val="bottom"/>
          </w:tcPr>
          <w:p>
            <w:pPr>
              <w:jc w:val="center"/>
              <w:ind w:right="245"/>
              <w:spacing w:after="0"/>
              <w:rPr>
                <w:sz w:val="20"/>
                <w:szCs w:val="20"/>
                <w:color w:val="auto"/>
              </w:rPr>
            </w:pPr>
            <w:r>
              <w:rPr>
                <w:rFonts w:ascii="Arial" w:cs="Arial" w:eastAsia="Arial" w:hAnsi="Arial"/>
                <w:sz w:val="14"/>
                <w:szCs w:val="14"/>
                <w:b w:val="1"/>
                <w:bCs w:val="1"/>
                <w:color w:val="auto"/>
              </w:rPr>
              <w:t>Other</w:t>
            </w:r>
          </w:p>
        </w:tc>
        <w:tc>
          <w:tcPr>
            <w:tcW w:w="7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7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vMerge w:val="restart"/>
          </w:tcPr>
          <w:p>
            <w:pPr>
              <w:jc w:val="center"/>
              <w:ind w:right="25"/>
              <w:spacing w:after="0"/>
              <w:rPr>
                <w:sz w:val="20"/>
                <w:szCs w:val="20"/>
                <w:color w:val="auto"/>
              </w:rPr>
            </w:pPr>
            <w:r>
              <w:rPr>
                <w:rFonts w:ascii="Arial" w:cs="Arial" w:eastAsia="Arial" w:hAnsi="Arial"/>
                <w:sz w:val="14"/>
                <w:szCs w:val="14"/>
                <w:color w:val="auto"/>
              </w:rPr>
              <w:t>International</w:t>
            </w:r>
          </w:p>
        </w:tc>
        <w:tc>
          <w:tcPr>
            <w:tcW w:w="180" w:type="dxa"/>
            <w:vAlign w:val="bottom"/>
          </w:tcPr>
          <w:p>
            <w:pPr>
              <w:spacing w:after="0"/>
              <w:rPr>
                <w:sz w:val="10"/>
                <w:szCs w:val="10"/>
                <w:color w:val="auto"/>
              </w:rPr>
            </w:pPr>
          </w:p>
        </w:tc>
        <w:tc>
          <w:tcPr>
            <w:tcW w:w="980" w:type="dxa"/>
            <w:vAlign w:val="bottom"/>
            <w:vMerge w:val="restart"/>
          </w:tcPr>
          <w:p>
            <w:pPr>
              <w:jc w:val="center"/>
              <w:ind w:right="205"/>
              <w:spacing w:after="0"/>
              <w:rPr>
                <w:sz w:val="20"/>
                <w:szCs w:val="20"/>
                <w:color w:val="auto"/>
              </w:rPr>
            </w:pPr>
            <w:r>
              <w:rPr>
                <w:rFonts w:ascii="Arial" w:cs="Arial" w:eastAsia="Arial" w:hAnsi="Arial"/>
                <w:sz w:val="14"/>
                <w:szCs w:val="14"/>
                <w:color w:val="auto"/>
                <w:w w:val="99"/>
              </w:rPr>
              <w:t>Education</w:t>
            </w:r>
          </w:p>
        </w:tc>
        <w:tc>
          <w:tcPr>
            <w:tcW w:w="1060" w:type="dxa"/>
            <w:vAlign w:val="bottom"/>
            <w:vMerge w:val="restart"/>
          </w:tcPr>
          <w:p>
            <w:pPr>
              <w:jc w:val="center"/>
              <w:ind w:right="25"/>
              <w:spacing w:after="0"/>
              <w:rPr>
                <w:sz w:val="20"/>
                <w:szCs w:val="20"/>
                <w:color w:val="auto"/>
              </w:rPr>
            </w:pPr>
            <w:r>
              <w:rPr>
                <w:rFonts w:ascii="Arial" w:cs="Arial" w:eastAsia="Arial" w:hAnsi="Arial"/>
                <w:sz w:val="14"/>
                <w:szCs w:val="14"/>
                <w:color w:val="auto"/>
              </w:rPr>
              <w:t>Education</w:t>
            </w:r>
          </w:p>
        </w:tc>
        <w:tc>
          <w:tcPr>
            <w:tcW w:w="160" w:type="dxa"/>
            <w:vAlign w:val="bottom"/>
          </w:tcPr>
          <w:p>
            <w:pPr>
              <w:spacing w:after="0"/>
              <w:rPr>
                <w:sz w:val="10"/>
                <w:szCs w:val="10"/>
                <w:color w:val="auto"/>
              </w:rPr>
            </w:pPr>
          </w:p>
        </w:tc>
        <w:tc>
          <w:tcPr>
            <w:tcW w:w="940" w:type="dxa"/>
            <w:vAlign w:val="bottom"/>
            <w:vMerge w:val="restart"/>
          </w:tcPr>
          <w:p>
            <w:pPr>
              <w:jc w:val="center"/>
              <w:ind w:right="185"/>
              <w:spacing w:after="0"/>
              <w:rPr>
                <w:sz w:val="20"/>
                <w:szCs w:val="20"/>
                <w:color w:val="auto"/>
              </w:rPr>
            </w:pPr>
            <w:r>
              <w:rPr>
                <w:rFonts w:ascii="Arial" w:cs="Arial" w:eastAsia="Arial" w:hAnsi="Arial"/>
                <w:sz w:val="14"/>
                <w:szCs w:val="14"/>
                <w:color w:val="auto"/>
              </w:rPr>
              <w:t>Corporate</w:t>
            </w:r>
          </w:p>
        </w:tc>
        <w:tc>
          <w:tcPr>
            <w:tcW w:w="84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rPr>
              <w:t>Education</w:t>
            </w:r>
          </w:p>
        </w:tc>
        <w:tc>
          <w:tcPr>
            <w:tcW w:w="160" w:type="dxa"/>
            <w:vAlign w:val="bottom"/>
          </w:tcPr>
          <w:p>
            <w:pPr>
              <w:spacing w:after="0"/>
              <w:rPr>
                <w:sz w:val="10"/>
                <w:szCs w:val="10"/>
                <w:color w:val="auto"/>
              </w:rPr>
            </w:pPr>
          </w:p>
        </w:tc>
        <w:tc>
          <w:tcPr>
            <w:tcW w:w="1180" w:type="dxa"/>
            <w:vAlign w:val="bottom"/>
            <w:vMerge w:val="restart"/>
          </w:tcPr>
          <w:p>
            <w:pPr>
              <w:jc w:val="center"/>
              <w:ind w:right="265"/>
              <w:spacing w:after="0"/>
              <w:rPr>
                <w:sz w:val="20"/>
                <w:szCs w:val="20"/>
                <w:color w:val="auto"/>
              </w:rPr>
            </w:pPr>
            <w:r>
              <w:rPr>
                <w:rFonts w:ascii="Arial" w:cs="Arial" w:eastAsia="Arial" w:hAnsi="Arial"/>
                <w:sz w:val="14"/>
                <w:szCs w:val="14"/>
                <w:b w:val="1"/>
                <w:bCs w:val="1"/>
                <w:color w:val="auto"/>
              </w:rPr>
              <w:t>Businesses</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76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760" w:type="dxa"/>
            <w:vAlign w:val="bottom"/>
          </w:tcPr>
          <w:p>
            <w:pPr>
              <w:ind w:left="20"/>
              <w:spacing w:after="0"/>
              <w:rPr>
                <w:sz w:val="20"/>
                <w:szCs w:val="20"/>
                <w:color w:val="auto"/>
              </w:rPr>
            </w:pPr>
            <w:r>
              <w:rPr>
                <w:rFonts w:ascii="Arial" w:cs="Arial" w:eastAsia="Arial" w:hAnsi="Arial"/>
                <w:sz w:val="16"/>
                <w:szCs w:val="16"/>
                <w:color w:val="auto"/>
              </w:rPr>
              <w:t>Severance</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4,366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620"/>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1,797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5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6,163</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ind w:left="760"/>
              <w:spacing w:after="0"/>
              <w:rPr>
                <w:sz w:val="20"/>
                <w:szCs w:val="20"/>
                <w:color w:val="auto"/>
              </w:rPr>
            </w:pPr>
            <w:r>
              <w:rPr>
                <w:rFonts w:ascii="Arial" w:cs="Arial" w:eastAsia="Arial" w:hAnsi="Arial"/>
                <w:sz w:val="16"/>
                <w:szCs w:val="16"/>
                <w:b w:val="1"/>
                <w:bCs w:val="1"/>
                <w:color w:val="auto"/>
              </w:rPr>
              <w:t>— $</w:t>
            </w:r>
          </w:p>
        </w:tc>
        <w:tc>
          <w:tcPr>
            <w:tcW w:w="700" w:type="dxa"/>
            <w:vAlign w:val="bottom"/>
          </w:tcPr>
          <w:p>
            <w:pPr>
              <w:jc w:val="right"/>
              <w:ind w:right="4"/>
              <w:spacing w:after="0"/>
              <w:rPr>
                <w:sz w:val="20"/>
                <w:szCs w:val="20"/>
                <w:color w:val="auto"/>
              </w:rPr>
            </w:pPr>
            <w:r>
              <w:rPr>
                <w:rFonts w:ascii="Arial" w:cs="Arial" w:eastAsia="Arial" w:hAnsi="Arial"/>
                <w:sz w:val="16"/>
                <w:szCs w:val="16"/>
                <w:b w:val="1"/>
                <w:bCs w:val="1"/>
                <w:color w:val="auto"/>
              </w:rPr>
              <w:t>6,163</w:t>
            </w:r>
          </w:p>
        </w:tc>
        <w:tc>
          <w:tcPr>
            <w:tcW w:w="0" w:type="dxa"/>
            <w:vAlign w:val="bottom"/>
          </w:tcPr>
          <w:p>
            <w:pPr>
              <w:spacing w:after="0"/>
              <w:rPr>
                <w:sz w:val="1"/>
                <w:szCs w:val="1"/>
                <w:color w:val="auto"/>
              </w:rPr>
            </w:pPr>
          </w:p>
        </w:tc>
      </w:tr>
      <w:tr>
        <w:trPr>
          <w:trHeight w:val="219"/>
        </w:trPr>
        <w:tc>
          <w:tcPr>
            <w:tcW w:w="2760" w:type="dxa"/>
            <w:vAlign w:val="bottom"/>
          </w:tcPr>
          <w:p>
            <w:pPr>
              <w:ind w:left="20"/>
              <w:spacing w:after="0"/>
              <w:rPr>
                <w:sz w:val="20"/>
                <w:szCs w:val="20"/>
                <w:color w:val="auto"/>
              </w:rPr>
            </w:pPr>
            <w:r>
              <w:rPr>
                <w:rFonts w:ascii="Arial" w:cs="Arial" w:eastAsia="Arial" w:hAnsi="Arial"/>
                <w:sz w:val="16"/>
                <w:szCs w:val="16"/>
                <w:color w:val="auto"/>
              </w:rPr>
              <w:t>Facility related costs:</w:t>
            </w: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35" w:right="3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360" w:right="100" w:hanging="161"/>
        <w:spacing w:after="0" w:line="262" w:lineRule="auto"/>
        <w:rPr>
          <w:sz w:val="20"/>
          <w:szCs w:val="20"/>
          <w:color w:val="auto"/>
        </w:rPr>
      </w:pPr>
      <w:r>
        <w:rPr>
          <w:rFonts w:ascii="Arial" w:cs="Arial" w:eastAsia="Arial" w:hAnsi="Arial"/>
          <w:sz w:val="16"/>
          <w:szCs w:val="16"/>
          <w:color w:val="auto"/>
        </w:rPr>
        <w:t>Accelerated depreciation of property, plant and equipment</w:t>
      </w:r>
    </w:p>
    <w:p>
      <w:pPr>
        <w:spacing w:after="0" w:line="1" w:lineRule="exact"/>
        <w:rPr>
          <w:sz w:val="20"/>
          <w:szCs w:val="20"/>
          <w:color w:val="auto"/>
        </w:rPr>
      </w:pPr>
    </w:p>
    <w:p>
      <w:pPr>
        <w:ind w:left="180" w:hanging="161"/>
        <w:spacing w:after="0"/>
        <w:rPr>
          <w:sz w:val="20"/>
          <w:szCs w:val="20"/>
          <w:color w:val="auto"/>
        </w:rPr>
      </w:pPr>
      <w:r>
        <w:rPr>
          <w:rFonts w:ascii="Arial" w:cs="Arial" w:eastAsia="Arial" w:hAnsi="Arial"/>
          <w:sz w:val="16"/>
          <w:szCs w:val="16"/>
          <w:b w:val="1"/>
          <w:bCs w:val="1"/>
          <w:color w:val="auto"/>
        </w:rPr>
        <w:t xml:space="preserve">Total Restructuring Costs Included in Segment Results </w:t>
      </w:r>
      <w:r>
        <w:rPr>
          <w:rFonts w:ascii="Arial" w:cs="Arial" w:eastAsia="Arial" w:hAnsi="Arial"/>
          <w:sz w:val="21"/>
          <w:szCs w:val="21"/>
          <w:b w:val="1"/>
          <w:bCs w:val="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other long-lived assets:</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Lease right-of-use assets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plant and equipment</w:t>
      </w:r>
    </w:p>
    <w:p>
      <w:pPr>
        <w:spacing w:after="0" w:line="46" w:lineRule="exact"/>
        <w:rPr>
          <w:sz w:val="20"/>
          <w:szCs w:val="20"/>
          <w:color w:val="auto"/>
        </w:rPr>
      </w:pPr>
    </w:p>
    <w:p>
      <w:pPr>
        <w:ind w:left="180" w:right="40" w:hanging="161"/>
        <w:spacing w:after="0" w:line="271" w:lineRule="auto"/>
        <w:rPr>
          <w:sz w:val="20"/>
          <w:szCs w:val="20"/>
          <w:color w:val="auto"/>
        </w:rPr>
      </w:pPr>
      <w:r>
        <w:rPr>
          <w:rFonts w:ascii="Arial" w:cs="Arial" w:eastAsia="Arial" w:hAnsi="Arial"/>
          <w:sz w:val="16"/>
          <w:szCs w:val="16"/>
          <w:color w:val="auto"/>
        </w:rPr>
        <w:t>Non-operating pension and postretirement benefit income, net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Restructuring Related Costs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2,905</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3,451</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3,586</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9,942</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9,942</w:t>
            </w:r>
          </w:p>
        </w:tc>
      </w:tr>
      <w:tr>
        <w:trPr>
          <w:trHeight w:val="409"/>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3,573</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3,573</w:t>
            </w:r>
          </w:p>
        </w:tc>
      </w:tr>
      <w:tr>
        <w:trPr>
          <w:trHeight w:val="385"/>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8,891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3,603</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7,184</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 $</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19,678</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19,678</w:t>
            </w:r>
          </w:p>
        </w:tc>
      </w:tr>
      <w:tr>
        <w:trPr>
          <w:trHeight w:val="435"/>
        </w:trPr>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3,976</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2,062</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4,005</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59"/>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10,043</w:t>
            </w:r>
          </w:p>
        </w:tc>
        <w:tc>
          <w:tcPr>
            <w:tcW w:w="40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1,405</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11,448</w:t>
            </w:r>
          </w:p>
        </w:tc>
      </w:tr>
      <w:tr>
        <w:trPr>
          <w:trHeight w:val="229"/>
        </w:trPr>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1,248</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813</w:t>
            </w: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2,235</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2,321</w:t>
            </w:r>
          </w:p>
        </w:tc>
      </w:tr>
      <w:tr>
        <w:trPr>
          <w:trHeight w:val="409"/>
        </w:trPr>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w:t>
            </w: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12,782</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999</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13,781</w:t>
            </w:r>
          </w:p>
        </w:tc>
      </w:tr>
      <w:tr>
        <w:trPr>
          <w:trHeight w:val="226"/>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15,215</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8,072</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20,568</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883</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44,738</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47,228</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3640" w:space="300"/>
            <w:col w:w="7300"/>
          </w:cols>
          <w:pgMar w:left="320" w:top="1035" w:right="339" w:bottom="1440" w:gutter="0" w:footer="0" w:header="0"/>
          <w:type w:val="continuous"/>
        </w:sectPr>
      </w:pPr>
    </w:p>
    <w:p>
      <w:pPr>
        <w:ind w:left="420" w:right="160" w:hanging="412"/>
        <w:spacing w:after="0" w:line="270" w:lineRule="auto"/>
        <w:tabs>
          <w:tab w:leader="none" w:pos="348"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These amounts are included in the segments’ Income (Loss) from Operations before Amortization of Intangible Assets and Impairment of Goodwill and Other Long-Lived Assets.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were $4.7 million and $1.3 million as of December 31, 2020 and 2019, respectively.</w:t>
      </w:r>
    </w:p>
    <w:p>
      <w:pPr>
        <w:spacing w:after="0" w:line="14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June 2020, CRG made the decision to close its restaurant and entertainment venue in Columbia, MD effective July 19, 2020 and recorded accelerated depreciation of property, plant and equipment totaling $5.7 million for the year ended December 31, 2020.</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ectPr>
          <w:pgSz w:w="11900" w:h="16838" w:orient="portrait"/>
          <w:cols w:equalWidth="0" w:num="1">
            <w:col w:w="10139"/>
          </w:cols>
          <w:pgMar w:left="320" w:top="1035"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2"/>
        </w:trPr>
        <w:tc>
          <w:tcPr>
            <w:tcW w:w="7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1,305,713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1,451,750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1,451,015</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525,212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463,464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505,549</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416,137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449,053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487,619</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198,196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161,768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149,275</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445,491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406,731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102,608</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6"/>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2,889,121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2,932,099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2,695,966</w:t>
            </w:r>
          </w:p>
        </w:tc>
        <w:tc>
          <w:tcPr>
            <w:tcW w:w="0" w:type="dxa"/>
            <w:vAlign w:val="bottom"/>
          </w:tcPr>
          <w:p>
            <w:pPr>
              <w:spacing w:after="0"/>
              <w:rPr>
                <w:sz w:val="1"/>
                <w:szCs w:val="1"/>
                <w:color w:val="auto"/>
              </w:rPr>
            </w:pPr>
          </w:p>
        </w:tc>
      </w:tr>
      <w:tr>
        <w:trPr>
          <w:trHeight w:val="150"/>
        </w:trPr>
        <w:tc>
          <w:tcPr>
            <w:tcW w:w="7500" w:type="dxa"/>
            <w:vAlign w:val="bottom"/>
          </w:tcPr>
          <w:p>
            <w:pPr>
              <w:ind w:left="20"/>
              <w:spacing w:after="0" w:line="150" w:lineRule="exact"/>
              <w:rPr>
                <w:sz w:val="20"/>
                <w:szCs w:val="20"/>
                <w:color w:val="auto"/>
              </w:rPr>
            </w:pPr>
            <w:r>
              <w:rPr>
                <w:rFonts w:ascii="Arial" w:cs="Arial" w:eastAsia="Arial" w:hAnsi="Arial"/>
                <w:sz w:val="16"/>
                <w:szCs w:val="16"/>
                <w:b w:val="1"/>
                <w:bCs w:val="1"/>
                <w:color w:val="auto"/>
              </w:rPr>
              <w:t>Income (Loss) before Amortization of Intangible Assets and Impairment of Goodwill and Other</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00"/>
              <w:spacing w:after="0"/>
              <w:rPr>
                <w:sz w:val="20"/>
                <w:szCs w:val="20"/>
                <w:color w:val="auto"/>
              </w:rPr>
            </w:pPr>
            <w:r>
              <w:rPr>
                <w:rFonts w:ascii="Arial" w:cs="Arial" w:eastAsia="Arial" w:hAnsi="Arial"/>
                <w:sz w:val="16"/>
                <w:szCs w:val="16"/>
                <w:b w:val="1"/>
                <w:bCs w:val="1"/>
                <w:color w:val="auto"/>
              </w:rPr>
              <w:t>Long-Lived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41,056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63,680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106,498</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199,938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166,076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216,165</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40,427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46,809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53,597</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30,327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14,319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6,454</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(72,413)</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(32,786)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(28,169)</w:t>
            </w:r>
          </w:p>
        </w:tc>
        <w:tc>
          <w:tcPr>
            <w:tcW w:w="0" w:type="dxa"/>
            <w:vAlign w:val="bottom"/>
          </w:tcPr>
          <w:p>
            <w:pPr>
              <w:spacing w:after="0"/>
              <w:rPr>
                <w:sz w:val="1"/>
                <w:szCs w:val="1"/>
                <w:color w:val="auto"/>
              </w:rPr>
            </w:pP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(51,978)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(52,861)</w:t>
            </w:r>
          </w:p>
        </w:tc>
        <w:tc>
          <w:tcPr>
            <w:tcW w:w="0" w:type="dxa"/>
            <w:vAlign w:val="bottom"/>
          </w:tcPr>
          <w:p>
            <w:pPr>
              <w:spacing w:after="0"/>
              <w:rPr>
                <w:sz w:val="1"/>
                <w:szCs w:val="1"/>
                <w:color w:val="auto"/>
              </w:rPr>
            </w:pPr>
          </w:p>
        </w:tc>
      </w:tr>
      <w:tr>
        <w:trPr>
          <w:trHeight w:val="226"/>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187,357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206,941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301,684</w:t>
            </w:r>
          </w:p>
        </w:tc>
        <w:tc>
          <w:tcPr>
            <w:tcW w:w="0" w:type="dxa"/>
            <w:vAlign w:val="bottom"/>
          </w:tcPr>
          <w:p>
            <w:pPr>
              <w:spacing w:after="0"/>
              <w:rPr>
                <w:sz w:val="1"/>
                <w:szCs w:val="1"/>
                <w:color w:val="auto"/>
              </w:rPr>
            </w:pPr>
          </w:p>
        </w:tc>
      </w:tr>
      <w:tr>
        <w:trPr>
          <w:trHeight w:val="206"/>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29,452</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15,608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9,362</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5,440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13,408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5,632</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28,099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26,342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24,746</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4,220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6,411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14,855</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19,739</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626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928</w:t>
            </w:r>
          </w:p>
        </w:tc>
        <w:tc>
          <w:tcPr>
            <w:tcW w:w="0" w:type="dxa"/>
            <w:vAlign w:val="bottom"/>
          </w:tcPr>
          <w:p>
            <w:pPr>
              <w:spacing w:after="0"/>
              <w:rPr>
                <w:sz w:val="1"/>
                <w:szCs w:val="1"/>
                <w:color w:val="auto"/>
              </w:rPr>
            </w:pP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86,950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62,395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55,523</w:t>
            </w:r>
          </w:p>
        </w:tc>
        <w:tc>
          <w:tcPr>
            <w:tcW w:w="0" w:type="dxa"/>
            <w:vAlign w:val="bottom"/>
          </w:tcPr>
          <w:p>
            <w:pPr>
              <w:spacing w:after="0"/>
              <w:rPr>
                <w:sz w:val="1"/>
                <w:szCs w:val="1"/>
                <w:color w:val="auto"/>
              </w:rPr>
            </w:pPr>
          </w:p>
        </w:tc>
      </w:tr>
      <w:tr>
        <w:trPr>
          <w:trHeight w:val="206"/>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11,604</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48,072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97,136</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194,498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152,668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210,533</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12,328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20,467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28,851</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26,107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7,908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(8,401)</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(92,152)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(33,412)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(29,097)</w:t>
            </w:r>
          </w:p>
        </w:tc>
        <w:tc>
          <w:tcPr>
            <w:tcW w:w="0" w:type="dxa"/>
            <w:vAlign w:val="bottom"/>
          </w:tcPr>
          <w:p>
            <w:pPr>
              <w:spacing w:after="0"/>
              <w:rPr>
                <w:sz w:val="1"/>
                <w:szCs w:val="1"/>
                <w:color w:val="auto"/>
              </w:rPr>
            </w:pP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(51,978)</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(52,861)</w:t>
            </w:r>
          </w:p>
        </w:tc>
        <w:tc>
          <w:tcPr>
            <w:tcW w:w="0" w:type="dxa"/>
            <w:vAlign w:val="bottom"/>
          </w:tcPr>
          <w:p>
            <w:pPr>
              <w:spacing w:after="0"/>
              <w:rPr>
                <w:sz w:val="1"/>
                <w:szCs w:val="1"/>
                <w:color w:val="auto"/>
              </w:rPr>
            </w:pPr>
          </w:p>
        </w:tc>
      </w:tr>
      <w:tr>
        <w:trPr>
          <w:trHeight w:val="226"/>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100,407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144,546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246,161</w:t>
            </w:r>
          </w:p>
        </w:tc>
        <w:tc>
          <w:tcPr>
            <w:tcW w:w="0" w:type="dxa"/>
            <w:vAlign w:val="bottom"/>
          </w:tcPr>
          <w:p>
            <w:pPr>
              <w:spacing w:after="0"/>
              <w:rPr>
                <w:sz w:val="1"/>
                <w:szCs w:val="1"/>
                <w:color w:val="auto"/>
              </w:rPr>
            </w:pP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24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6,664</w:t>
            </w:r>
          </w:p>
        </w:tc>
        <w:tc>
          <w:tcPr>
            <w:tcW w:w="2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11,664</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14,473</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(34,439)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(23,628)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(32,549)</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Debt Extinguishment Costs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(11,378)</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59,315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162,798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120,541</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60,787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98,668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(15,843)</w:t>
            </w:r>
          </w:p>
        </w:tc>
        <w:tc>
          <w:tcPr>
            <w:tcW w:w="0" w:type="dxa"/>
            <w:vAlign w:val="bottom"/>
          </w:tcPr>
          <w:p>
            <w:pPr>
              <w:spacing w:after="0"/>
              <w:rPr>
                <w:sz w:val="1"/>
                <w:szCs w:val="1"/>
                <w:color w:val="auto"/>
              </w:rPr>
            </w:pP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214,534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32,431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27"/>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407,268</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426,479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323,508</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0"/>
        </w:trPr>
        <w:tc>
          <w:tcPr>
            <w:tcW w:w="7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31,759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25,655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28,099</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13,830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12,817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13,204</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10,333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10,036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9,515</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1,665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2,314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15,964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7,556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2,320</w:t>
            </w:r>
          </w:p>
        </w:tc>
        <w:tc>
          <w:tcPr>
            <w:tcW w:w="0" w:type="dxa"/>
            <w:vAlign w:val="bottom"/>
          </w:tcPr>
          <w:p>
            <w:pPr>
              <w:spacing w:after="0"/>
              <w:rPr>
                <w:sz w:val="1"/>
                <w:szCs w:val="1"/>
                <w:color w:val="auto"/>
              </w:rPr>
            </w:pP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706</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26"/>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74,257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59,253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56,722</w:t>
            </w: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10,024</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10,385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8,753</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3,263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3,025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1,424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543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1,698</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1,640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1,301</w:t>
            </w:r>
          </w:p>
        </w:tc>
        <w:tc>
          <w:tcPr>
            <w:tcW w:w="0" w:type="dxa"/>
            <w:vAlign w:val="bottom"/>
          </w:tcPr>
          <w:p>
            <w:pPr>
              <w:spacing w:after="0"/>
              <w:rPr>
                <w:sz w:val="1"/>
                <w:szCs w:val="1"/>
                <w:color w:val="auto"/>
              </w:rPr>
            </w:pP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5,704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4,800</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5,334</w:t>
            </w:r>
          </w:p>
        </w:tc>
        <w:tc>
          <w:tcPr>
            <w:tcW w:w="0" w:type="dxa"/>
            <w:vAlign w:val="bottom"/>
          </w:tcPr>
          <w:p>
            <w:pPr>
              <w:spacing w:after="0"/>
              <w:rPr>
                <w:sz w:val="1"/>
                <w:szCs w:val="1"/>
                <w:color w:val="auto"/>
              </w:rPr>
            </w:pPr>
          </w:p>
        </w:tc>
      </w:tr>
      <w:tr>
        <w:trPr>
          <w:trHeight w:val="226"/>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22,656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20,422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18,221</w:t>
            </w:r>
          </w:p>
        </w:tc>
        <w:tc>
          <w:tcPr>
            <w:tcW w:w="0" w:type="dxa"/>
            <w:vAlign w:val="bottom"/>
          </w:tcPr>
          <w:p>
            <w:pPr>
              <w:spacing w:after="0"/>
              <w:rPr>
                <w:sz w:val="1"/>
                <w:szCs w:val="1"/>
                <w:color w:val="auto"/>
              </w:rPr>
            </w:pPr>
          </w:p>
        </w:tc>
      </w:tr>
      <w:tr>
        <w:trPr>
          <w:trHeight w:val="216"/>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33,553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57,246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54,159</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13,470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19,362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27,013</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8,034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11,218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14,806</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2,481</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2,303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8,256</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3,703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3"/>
        </w:trPr>
        <w:tc>
          <w:tcPr>
            <w:tcW w:w="75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80</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75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65,874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93,947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65" w:right="379"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200"/>
          </w:cols>
          <w:pgMar w:left="320" w:top="165" w:right="379" w:bottom="0" w:gutter="0" w:footer="0" w:header="0"/>
          <w:type w:val="continuous"/>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8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2019</w:t>
            </w:r>
          </w:p>
        </w:tc>
      </w:tr>
      <w:tr>
        <w:trPr>
          <w:trHeight w:val="217"/>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1,975,104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2,032,425</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453,988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463,689</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551,611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564,251</w:t>
            </w:r>
          </w:p>
        </w:tc>
      </w:tr>
      <w:tr>
        <w:trPr>
          <w:trHeight w:val="229"/>
        </w:trPr>
        <w:tc>
          <w:tcPr>
            <w:tcW w:w="880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160,654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160,033</w:t>
            </w:r>
          </w:p>
        </w:tc>
      </w:tr>
      <w:tr>
        <w:trPr>
          <w:trHeight w:val="230"/>
        </w:trPr>
        <w:tc>
          <w:tcPr>
            <w:tcW w:w="880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517,533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567,395</w:t>
            </w:r>
          </w:p>
        </w:tc>
      </w:tr>
      <w:tr>
        <w:trPr>
          <w:trHeight w:val="233"/>
        </w:trPr>
        <w:tc>
          <w:tcPr>
            <w:tcW w:w="880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348,045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103,764</w:t>
            </w:r>
          </w:p>
        </w:tc>
      </w:tr>
      <w:tr>
        <w:trPr>
          <w:trHeight w:val="226"/>
        </w:trPr>
        <w:tc>
          <w:tcPr>
            <w:tcW w:w="88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4,006,935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3,891,557</w:t>
            </w:r>
          </w:p>
        </w:tc>
      </w:tr>
      <w:tr>
        <w:trPr>
          <w:trHeight w:val="217"/>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573,102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585,080</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155,777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162,249</w:t>
            </w:r>
          </w:p>
        </w:tc>
      </w:tr>
      <w:tr>
        <w:trPr>
          <w:trHeight w:val="230"/>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1,708,305</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1,292,350</w:t>
            </w:r>
          </w:p>
        </w:tc>
      </w:tr>
      <w:tr>
        <w:trPr>
          <w:trHeight w:val="229"/>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6,444,119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5,931,236</w:t>
            </w:r>
          </w:p>
        </w:tc>
      </w:tr>
      <w:tr>
        <w:trPr>
          <w:trHeight w:val="21"/>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653,892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750,245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719,982</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316,095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305,672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342,085</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327,087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388,814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390,289</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12,643</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9,480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(2,461)</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26"/>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1,305,713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1,451,750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1,451,015</w:t>
            </w:r>
          </w:p>
        </w:tc>
        <w:tc>
          <w:tcPr>
            <w:tcW w:w="0" w:type="dxa"/>
            <w:vAlign w:val="bottom"/>
          </w:tcPr>
          <w:p>
            <w:pPr>
              <w:spacing w:after="0"/>
              <w:rPr>
                <w:sz w:val="1"/>
                <w:szCs w:val="1"/>
                <w:color w:val="auto"/>
              </w:rPr>
            </w:pPr>
          </w:p>
        </w:tc>
      </w:tr>
      <w:tr>
        <w:trPr>
          <w:trHeight w:val="150"/>
        </w:trPr>
        <w:tc>
          <w:tcPr>
            <w:tcW w:w="7580" w:type="dxa"/>
            <w:vAlign w:val="bottom"/>
          </w:tcPr>
          <w:p>
            <w:pPr>
              <w:ind w:left="20"/>
              <w:spacing w:after="0" w:line="150"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100"/>
              <w:spacing w:after="0"/>
              <w:rPr>
                <w:sz w:val="20"/>
                <w:szCs w:val="20"/>
                <w:color w:val="auto"/>
              </w:rPr>
            </w:pPr>
            <w:r>
              <w:rPr>
                <w:rFonts w:ascii="Arial" w:cs="Arial" w:eastAsia="Arial" w:hAnsi="Arial"/>
                <w:sz w:val="16"/>
                <w:szCs w:val="16"/>
                <w:b w:val="1"/>
                <w:bCs w:val="1"/>
                <w:color w:val="auto"/>
              </w:rPr>
              <w:t>Long-Lived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15,248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42,129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70,315</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24,364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13,960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15,217</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19,705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34,487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47,704</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(18,266)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(26,891)</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(26,702)</w:t>
            </w:r>
          </w:p>
        </w:tc>
        <w:tc>
          <w:tcPr>
            <w:tcW w:w="0" w:type="dxa"/>
            <w:vAlign w:val="bottom"/>
          </w:tcPr>
          <w:p>
            <w:pPr>
              <w:spacing w:after="0"/>
              <w:rPr>
                <w:sz w:val="1"/>
                <w:szCs w:val="1"/>
                <w:color w:val="auto"/>
              </w:rPr>
            </w:pP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6"/>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41,056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63,680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106,498</w:t>
            </w:r>
          </w:p>
        </w:tc>
        <w:tc>
          <w:tcPr>
            <w:tcW w:w="0" w:type="dxa"/>
            <w:vAlign w:val="bottom"/>
          </w:tcPr>
          <w:p>
            <w:pPr>
              <w:spacing w:after="0"/>
              <w:rPr>
                <w:sz w:val="1"/>
                <w:szCs w:val="1"/>
                <w:color w:val="auto"/>
              </w:rPr>
            </w:pPr>
          </w:p>
        </w:tc>
      </w:tr>
      <w:tr>
        <w:trPr>
          <w:trHeight w:val="217"/>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17,174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14,915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9,362</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12,278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693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15,248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42,129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70,315</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24,364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13,960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15,217</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19,705</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34,487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47,704</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(47,718)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(42,499)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(36,064)</w:t>
            </w:r>
          </w:p>
        </w:tc>
        <w:tc>
          <w:tcPr>
            <w:tcW w:w="0" w:type="dxa"/>
            <w:vAlign w:val="bottom"/>
          </w:tcPr>
          <w:p>
            <w:pPr>
              <w:spacing w:after="0"/>
              <w:rPr>
                <w:sz w:val="1"/>
                <w:szCs w:val="1"/>
                <w:color w:val="auto"/>
              </w:rPr>
            </w:pP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6"/>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11,604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48,072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97,136</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19,562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15,394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15,755</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3,082</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2,883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4,826</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8,724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7,132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7,037</w:t>
            </w:r>
          </w:p>
        </w:tc>
        <w:tc>
          <w:tcPr>
            <w:tcW w:w="0" w:type="dxa"/>
            <w:vAlign w:val="bottom"/>
          </w:tcPr>
          <w:p>
            <w:pPr>
              <w:spacing w:after="0"/>
              <w:rPr>
                <w:sz w:val="1"/>
                <w:szCs w:val="1"/>
                <w:color w:val="auto"/>
              </w:rPr>
            </w:pP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391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26"/>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31,759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25,655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28,099</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433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4,150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4,535</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4,207</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4,734</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3,773</w:t>
            </w:r>
          </w:p>
        </w:tc>
        <w:tc>
          <w:tcPr>
            <w:tcW w:w="0" w:type="dxa"/>
            <w:vAlign w:val="bottom"/>
          </w:tcPr>
          <w:p>
            <w:pPr>
              <w:spacing w:after="0"/>
              <w:rPr>
                <w:sz w:val="1"/>
                <w:szCs w:val="1"/>
                <w:color w:val="auto"/>
              </w:rPr>
            </w:pP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1,234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26"/>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10,024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10,385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8,753</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24,085</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48,362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44,469</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3,234</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3,463</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6,030</w:t>
            </w: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5,362</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5,526</w:t>
            </w:r>
          </w:p>
        </w:tc>
        <w:tc>
          <w:tcPr>
            <w:tcW w:w="0" w:type="dxa"/>
            <w:vAlign w:val="bottom"/>
          </w:tcPr>
          <w:p>
            <w:pPr>
              <w:spacing w:after="0"/>
              <w:rPr>
                <w:sz w:val="1"/>
                <w:szCs w:val="1"/>
                <w:color w:val="auto"/>
              </w:rPr>
            </w:pPr>
          </w:p>
        </w:tc>
      </w:tr>
      <w:tr>
        <w:trPr>
          <w:trHeight w:val="233"/>
        </w:trPr>
        <w:tc>
          <w:tcPr>
            <w:tcW w:w="75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26"/>
        </w:trPr>
        <w:tc>
          <w:tcPr>
            <w:tcW w:w="75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33,553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57,246</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5" w:right="339"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240"/>
          </w:cols>
          <w:pgMar w:left="320" w:top="1035" w:right="339" w:bottom="0" w:gutter="0" w:footer="0" w:header="0"/>
          <w:type w:val="continuous"/>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7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As of December 31</w:t>
            </w:r>
          </w:p>
        </w:tc>
      </w:tr>
      <w:tr>
        <w:trPr>
          <w:trHeight w:val="198"/>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2019</w:t>
            </w:r>
          </w:p>
        </w:tc>
      </w:tr>
      <w:tr>
        <w:trPr>
          <w:trHeight w:val="217"/>
        </w:trPr>
        <w:tc>
          <w:tcPr>
            <w:tcW w:w="87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1,455,722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1,455,122</w:t>
            </w:r>
          </w:p>
        </w:tc>
      </w:tr>
      <w:tr>
        <w:trPr>
          <w:trHeight w:val="230"/>
        </w:trPr>
        <w:tc>
          <w:tcPr>
            <w:tcW w:w="87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187,123</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196,761</w:t>
            </w:r>
          </w:p>
        </w:tc>
      </w:tr>
      <w:tr>
        <w:trPr>
          <w:trHeight w:val="229"/>
        </w:trPr>
        <w:tc>
          <w:tcPr>
            <w:tcW w:w="87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b w:val="1"/>
                <w:bCs w:val="1"/>
                <w:color w:val="auto"/>
              </w:rPr>
              <w:t>274,687</w:t>
            </w:r>
          </w:p>
        </w:tc>
        <w:tc>
          <w:tcPr>
            <w:tcW w:w="32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312,454</w:t>
            </w:r>
          </w:p>
        </w:tc>
      </w:tr>
      <w:tr>
        <w:trPr>
          <w:trHeight w:val="233"/>
        </w:trPr>
        <w:tc>
          <w:tcPr>
            <w:tcW w:w="87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57,572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68,088</w:t>
            </w:r>
          </w:p>
        </w:tc>
      </w:tr>
      <w:tr>
        <w:trPr>
          <w:trHeight w:val="226"/>
        </w:trPr>
        <w:tc>
          <w:tcPr>
            <w:tcW w:w="87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1,975,104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2,032,425</w:t>
            </w:r>
          </w:p>
        </w:tc>
      </w:tr>
      <w:tr>
        <w:trPr>
          <w:trHeight w:val="21"/>
        </w:trPr>
        <w:tc>
          <w:tcPr>
            <w:tcW w:w="8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(LOSS) (UNAUDITED)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(loss) for the year ended December 31, 2020,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Pr>
          <w:p>
            <w:pPr>
              <w:spacing w:after="0"/>
              <w:rPr>
                <w:sz w:val="14"/>
                <w:szCs w:val="14"/>
                <w:color w:val="auto"/>
              </w:rPr>
            </w:pPr>
          </w:p>
        </w:tc>
        <w:tc>
          <w:tcPr>
            <w:tcW w:w="860" w:type="dxa"/>
            <w:vAlign w:val="bottom"/>
          </w:tcPr>
          <w:p>
            <w:pPr>
              <w:jc w:val="right"/>
              <w:ind w:right="30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88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82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02"/>
        </w:trPr>
        <w:tc>
          <w:tcPr>
            <w:tcW w:w="68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9"/>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80" w:type="dxa"/>
            <w:vAlign w:val="bottom"/>
          </w:tcPr>
          <w:p>
            <w:pPr>
              <w:ind w:left="220"/>
              <w:spacing w:after="0"/>
              <w:rPr>
                <w:sz w:val="20"/>
                <w:szCs w:val="20"/>
                <w:color w:val="auto"/>
              </w:rPr>
            </w:pPr>
            <w:r>
              <w:rPr>
                <w:rFonts w:ascii="Arial" w:cs="Arial" w:eastAsia="Arial" w:hAnsi="Arial"/>
                <w:sz w:val="16"/>
                <w:szCs w:val="16"/>
                <w:color w:val="auto"/>
              </w:rPr>
              <w:t>Sales of services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516,637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483,595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492,399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563,597</w:t>
            </w:r>
          </w:p>
        </w:tc>
        <w:tc>
          <w:tcPr>
            <w:tcW w:w="0" w:type="dxa"/>
            <w:vAlign w:val="bottom"/>
          </w:tcPr>
          <w:p>
            <w:pPr>
              <w:spacing w:after="0"/>
              <w:rPr>
                <w:sz w:val="1"/>
                <w:szCs w:val="1"/>
                <w:color w:val="auto"/>
              </w:rPr>
            </w:pPr>
          </w:p>
        </w:tc>
      </w:tr>
      <w:tr>
        <w:trPr>
          <w:trHeight w:val="238"/>
        </w:trPr>
        <w:tc>
          <w:tcPr>
            <w:tcW w:w="6880" w:type="dxa"/>
            <w:vAlign w:val="bottom"/>
          </w:tcPr>
          <w:p>
            <w:pPr>
              <w:ind w:left="220"/>
              <w:spacing w:after="0"/>
              <w:rPr>
                <w:sz w:val="20"/>
                <w:szCs w:val="20"/>
                <w:color w:val="auto"/>
              </w:rPr>
            </w:pPr>
            <w:r>
              <w:rPr>
                <w:rFonts w:ascii="Arial" w:cs="Arial" w:eastAsia="Arial" w:hAnsi="Arial"/>
                <w:sz w:val="16"/>
                <w:szCs w:val="16"/>
                <w:color w:val="auto"/>
              </w:rPr>
              <w:t>Sales of goods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215,620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169,276</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224,583</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223,414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732,257</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652,871</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716,982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787,011</w:t>
            </w:r>
          </w:p>
        </w:tc>
        <w:tc>
          <w:tcPr>
            <w:tcW w:w="0" w:type="dxa"/>
            <w:vAlign w:val="bottom"/>
          </w:tcPr>
          <w:p>
            <w:pPr>
              <w:spacing w:after="0"/>
              <w:rPr>
                <w:sz w:val="1"/>
                <w:szCs w:val="1"/>
                <w:color w:val="auto"/>
              </w:rPr>
            </w:pPr>
          </w:p>
        </w:tc>
      </w:tr>
      <w:tr>
        <w:trPr>
          <w:trHeight w:val="208"/>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80" w:type="dxa"/>
            <w:vAlign w:val="bottom"/>
          </w:tcPr>
          <w:p>
            <w:pPr>
              <w:ind w:left="220"/>
              <w:spacing w:after="0"/>
              <w:rPr>
                <w:sz w:val="20"/>
                <w:szCs w:val="20"/>
                <w:color w:val="auto"/>
              </w:rPr>
            </w:pPr>
            <w:r>
              <w:rPr>
                <w:rFonts w:ascii="Arial" w:cs="Arial" w:eastAsia="Arial" w:hAnsi="Arial"/>
                <w:sz w:val="16"/>
                <w:szCs w:val="16"/>
                <w:color w:val="auto"/>
              </w:rPr>
              <w:t>Cost of services sold</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333,049</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298,578</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298,250</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309,364</w:t>
            </w:r>
          </w:p>
        </w:tc>
        <w:tc>
          <w:tcPr>
            <w:tcW w:w="0" w:type="dxa"/>
            <w:vAlign w:val="bottom"/>
          </w:tcPr>
          <w:p>
            <w:pPr>
              <w:spacing w:after="0"/>
              <w:rPr>
                <w:sz w:val="1"/>
                <w:szCs w:val="1"/>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166,701</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136,825</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177,734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191,605</w:t>
            </w:r>
          </w:p>
        </w:tc>
        <w:tc>
          <w:tcPr>
            <w:tcW w:w="0" w:type="dxa"/>
            <w:vAlign w:val="bottom"/>
          </w:tcPr>
          <w:p>
            <w:pPr>
              <w:spacing w:after="0"/>
              <w:rPr>
                <w:sz w:val="1"/>
                <w:szCs w:val="1"/>
                <w:color w:val="auto"/>
              </w:rPr>
            </w:pPr>
          </w:p>
        </w:tc>
      </w:tr>
      <w:tr>
        <w:trPr>
          <w:trHeight w:val="229"/>
        </w:trPr>
        <w:tc>
          <w:tcPr>
            <w:tcW w:w="688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177,152</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162,840</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166,207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209,202</w:t>
            </w:r>
          </w:p>
        </w:tc>
        <w:tc>
          <w:tcPr>
            <w:tcW w:w="0" w:type="dxa"/>
            <w:vAlign w:val="bottom"/>
          </w:tcPr>
          <w:p>
            <w:pPr>
              <w:spacing w:after="0"/>
              <w:rPr>
                <w:sz w:val="1"/>
                <w:szCs w:val="1"/>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16,704</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22,913</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18,481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16,159</w:t>
            </w:r>
          </w:p>
        </w:tc>
        <w:tc>
          <w:tcPr>
            <w:tcW w:w="0" w:type="dxa"/>
            <w:vAlign w:val="bottom"/>
          </w:tcPr>
          <w:p>
            <w:pPr>
              <w:spacing w:after="0"/>
              <w:rPr>
                <w:sz w:val="1"/>
                <w:szCs w:val="1"/>
                <w:color w:val="auto"/>
              </w:rPr>
            </w:pPr>
          </w:p>
        </w:tc>
      </w:tr>
      <w:tr>
        <w:trPr>
          <w:trHeight w:val="229"/>
        </w:trPr>
        <w:tc>
          <w:tcPr>
            <w:tcW w:w="68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14,165</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14,327</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14,150</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14,138</w:t>
            </w:r>
          </w:p>
        </w:tc>
        <w:tc>
          <w:tcPr>
            <w:tcW w:w="0" w:type="dxa"/>
            <w:vAlign w:val="bottom"/>
          </w:tcPr>
          <w:p>
            <w:pPr>
              <w:spacing w:after="0"/>
              <w:rPr>
                <w:sz w:val="1"/>
                <w:szCs w:val="1"/>
                <w:color w:val="auto"/>
              </w:rPr>
            </w:pPr>
          </w:p>
        </w:tc>
      </w:tr>
      <w:tr>
        <w:trPr>
          <w:trHeight w:val="239"/>
        </w:trPr>
        <w:tc>
          <w:tcPr>
            <w:tcW w:w="688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16,401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11,511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1,916</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724,172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646,994</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676,738</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740,810</w:t>
            </w:r>
          </w:p>
        </w:tc>
        <w:tc>
          <w:tcPr>
            <w:tcW w:w="0" w:type="dxa"/>
            <w:vAlign w:val="bottom"/>
          </w:tcPr>
          <w:p>
            <w:pPr>
              <w:spacing w:after="0"/>
              <w:rPr>
                <w:sz w:val="1"/>
                <w:szCs w:val="1"/>
                <w:color w:val="auto"/>
              </w:rPr>
            </w:pPr>
          </w:p>
        </w:tc>
      </w:tr>
      <w:tr>
        <w:trPr>
          <w:trHeight w:val="222"/>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8,085</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5,877</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40,244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46,201</w:t>
            </w:r>
          </w:p>
        </w:tc>
        <w:tc>
          <w:tcPr>
            <w:tcW w:w="0" w:type="dxa"/>
            <w:vAlign w:val="bottom"/>
          </w:tcPr>
          <w:p>
            <w:pPr>
              <w:spacing w:after="0"/>
              <w:rPr>
                <w:sz w:val="1"/>
                <w:szCs w:val="1"/>
                <w:color w:val="auto"/>
              </w:rPr>
            </w:pPr>
          </w:p>
        </w:tc>
      </w:tr>
      <w:tr>
        <w:trPr>
          <w:trHeight w:val="221"/>
        </w:trPr>
        <w:tc>
          <w:tcPr>
            <w:tcW w:w="6880" w:type="dxa"/>
            <w:vAlign w:val="bottom"/>
          </w:tcPr>
          <w:p>
            <w:pPr>
              <w:ind w:left="220"/>
              <w:spacing w:after="0"/>
              <w:rPr>
                <w:sz w:val="20"/>
                <w:szCs w:val="20"/>
                <w:color w:val="auto"/>
              </w:rPr>
            </w:pPr>
            <w:r>
              <w:rPr>
                <w:rFonts w:ascii="Arial" w:cs="Arial" w:eastAsia="Arial" w:hAnsi="Arial"/>
                <w:sz w:val="16"/>
                <w:szCs w:val="16"/>
                <w:color w:val="auto"/>
              </w:rPr>
              <w:t>Equity in (losses) earnings of affiliates, net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(1,547)</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1,182</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4,092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1,151</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954</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890</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(7,678)</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(7,377)</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(7,247)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(16,008)</w:t>
            </w:r>
          </w:p>
        </w:tc>
        <w:tc>
          <w:tcPr>
            <w:tcW w:w="0" w:type="dxa"/>
            <w:vAlign w:val="bottom"/>
          </w:tcPr>
          <w:p>
            <w:pPr>
              <w:spacing w:after="0"/>
              <w:rPr>
                <w:sz w:val="1"/>
                <w:szCs w:val="1"/>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18,403</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12,136</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10,489</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18,287</w:t>
            </w:r>
          </w:p>
        </w:tc>
        <w:tc>
          <w:tcPr>
            <w:tcW w:w="0" w:type="dxa"/>
            <w:vAlign w:val="bottom"/>
          </w:tcPr>
          <w:p>
            <w:pPr>
              <w:spacing w:after="0"/>
              <w:rPr>
                <w:sz w:val="1"/>
                <w:szCs w:val="1"/>
                <w:color w:val="auto"/>
              </w:rPr>
            </w:pPr>
          </w:p>
        </w:tc>
      </w:tr>
      <w:tr>
        <w:trPr>
          <w:trHeight w:val="229"/>
        </w:trPr>
        <w:tc>
          <w:tcPr>
            <w:tcW w:w="688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net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(100,393)</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39,890</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59,364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61,926</w:t>
            </w:r>
          </w:p>
        </w:tc>
        <w:tc>
          <w:tcPr>
            <w:tcW w:w="0" w:type="dxa"/>
            <w:vAlign w:val="bottom"/>
          </w:tcPr>
          <w:p>
            <w:pPr>
              <w:spacing w:after="0"/>
              <w:rPr>
                <w:sz w:val="1"/>
                <w:szCs w:val="1"/>
                <w:color w:val="auto"/>
              </w:rPr>
            </w:pPr>
          </w:p>
        </w:tc>
      </w:tr>
      <w:tr>
        <w:trPr>
          <w:trHeight w:val="238"/>
        </w:trPr>
        <w:tc>
          <w:tcPr>
            <w:tcW w:w="688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2,688</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8,100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222</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203,524</w:t>
            </w:r>
          </w:p>
        </w:tc>
        <w:tc>
          <w:tcPr>
            <w:tcW w:w="0" w:type="dxa"/>
            <w:vAlign w:val="bottom"/>
          </w:tcPr>
          <w:p>
            <w:pPr>
              <w:spacing w:after="0"/>
              <w:rPr>
                <w:sz w:val="1"/>
                <w:szCs w:val="1"/>
                <w:color w:val="auto"/>
              </w:rPr>
            </w:pPr>
          </w:p>
        </w:tc>
      </w:tr>
      <w:tr>
        <w:trPr>
          <w:trHeight w:val="222"/>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(79,291)</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60,762</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108,054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317,743</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(Benefit from) Provision for Income Taxes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(45,400)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41,900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30,000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80,800</w:t>
            </w:r>
          </w:p>
        </w:tc>
        <w:tc>
          <w:tcPr>
            <w:tcW w:w="0" w:type="dxa"/>
            <w:vAlign w:val="bottom"/>
          </w:tcPr>
          <w:p>
            <w:pPr>
              <w:spacing w:after="0"/>
              <w:rPr>
                <w:sz w:val="1"/>
                <w:szCs w:val="1"/>
                <w:color w:val="auto"/>
              </w:rPr>
            </w:pPr>
          </w:p>
        </w:tc>
      </w:tr>
      <w:tr>
        <w:trPr>
          <w:trHeight w:val="222"/>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(33,891)</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18,862</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78,054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236,943</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646</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3"/>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18,854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77,615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237,141</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Quarterly Comprehensive (Loss) Income</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6"/>
        </w:trPr>
        <w:tc>
          <w:tcPr>
            <w:tcW w:w="688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(71,188)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35,922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98,878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536,772</w:t>
            </w:r>
          </w:p>
        </w:tc>
        <w:tc>
          <w:tcPr>
            <w:tcW w:w="0" w:type="dxa"/>
            <w:vAlign w:val="bottom"/>
          </w:tcPr>
          <w:p>
            <w:pPr>
              <w:spacing w:after="0"/>
              <w:rPr>
                <w:sz w:val="1"/>
                <w:szCs w:val="1"/>
                <w:color w:val="auto"/>
              </w:rPr>
            </w:pPr>
          </w:p>
        </w:tc>
      </w:tr>
      <w:tr>
        <w:trPr>
          <w:trHeight w:val="473"/>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60"/>
              <w:spacing w:after="0"/>
              <w:rPr>
                <w:sz w:val="20"/>
                <w:szCs w:val="20"/>
                <w:color w:val="auto"/>
              </w:rPr>
            </w:pPr>
            <w:r>
              <w:rPr>
                <w:rFonts w:ascii="Arial" w:cs="Arial" w:eastAsia="Arial" w:hAnsi="Arial"/>
                <w:sz w:val="16"/>
                <w:szCs w:val="16"/>
                <w:b w:val="1"/>
                <w:bCs w:val="1"/>
                <w:color w:val="auto"/>
              </w:rPr>
              <w:t>Stockholders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80" w:type="dxa"/>
            <w:vAlign w:val="bottom"/>
          </w:tcPr>
          <w:p>
            <w:pPr>
              <w:ind w:left="20"/>
              <w:spacing w:after="0"/>
              <w:rPr>
                <w:sz w:val="20"/>
                <w:szCs w:val="20"/>
                <w:color w:val="auto"/>
              </w:rPr>
            </w:pPr>
            <w:r>
              <w:rPr>
                <w:rFonts w:ascii="Arial" w:cs="Arial" w:eastAsia="Arial" w:hAnsi="Arial"/>
                <w:sz w:val="16"/>
                <w:szCs w:val="16"/>
                <w:color w:val="auto"/>
              </w:rPr>
              <w:t>Basic net (loss)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47.45</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5,274</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5,196</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5,060</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4,970</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Arial" w:cs="Arial" w:eastAsia="Arial" w:hAnsi="Arial"/>
                <w:sz w:val="16"/>
                <w:szCs w:val="16"/>
                <w:color w:val="auto"/>
              </w:rPr>
              <w:t>Diluted net (loss)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47.34</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5,274</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5,201</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5,072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4,982</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2019, is as follows: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Pr>
          <w:p>
            <w:pPr>
              <w:spacing w:after="0"/>
              <w:rPr>
                <w:sz w:val="14"/>
                <w:szCs w:val="14"/>
                <w:color w:val="auto"/>
              </w:rPr>
            </w:pPr>
          </w:p>
        </w:tc>
        <w:tc>
          <w:tcPr>
            <w:tcW w:w="860" w:type="dxa"/>
            <w:vAlign w:val="bottom"/>
          </w:tcPr>
          <w:p>
            <w:pPr>
              <w:jc w:val="right"/>
              <w:ind w:right="30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88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4"/>
                <w:szCs w:val="14"/>
                <w:color w:val="auto"/>
              </w:rPr>
            </w:pPr>
          </w:p>
        </w:tc>
        <w:tc>
          <w:tcPr>
            <w:tcW w:w="82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02"/>
        </w:trPr>
        <w:tc>
          <w:tcPr>
            <w:tcW w:w="68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9"/>
        </w:trPr>
        <w:tc>
          <w:tcPr>
            <w:tcW w:w="686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60" w:type="dxa"/>
            <w:vAlign w:val="bottom"/>
          </w:tcPr>
          <w:p>
            <w:pPr>
              <w:ind w:left="200"/>
              <w:spacing w:after="0"/>
              <w:rPr>
                <w:sz w:val="20"/>
                <w:szCs w:val="20"/>
                <w:color w:val="auto"/>
              </w:rPr>
            </w:pPr>
            <w:r>
              <w:rPr>
                <w:rFonts w:ascii="Arial" w:cs="Arial" w:eastAsia="Arial" w:hAnsi="Arial"/>
                <w:sz w:val="16"/>
                <w:szCs w:val="16"/>
                <w:color w:val="auto"/>
              </w:rPr>
              <w:t>Sales of services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516,744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539,644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522,195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532,452</w:t>
            </w:r>
          </w:p>
        </w:tc>
        <w:tc>
          <w:tcPr>
            <w:tcW w:w="0" w:type="dxa"/>
            <w:vAlign w:val="bottom"/>
          </w:tcPr>
          <w:p>
            <w:pPr>
              <w:spacing w:after="0"/>
              <w:rPr>
                <w:sz w:val="1"/>
                <w:szCs w:val="1"/>
                <w:color w:val="auto"/>
              </w:rPr>
            </w:pPr>
          </w:p>
        </w:tc>
      </w:tr>
      <w:tr>
        <w:trPr>
          <w:trHeight w:val="239"/>
        </w:trPr>
        <w:tc>
          <w:tcPr>
            <w:tcW w:w="6860" w:type="dxa"/>
            <w:vAlign w:val="bottom"/>
          </w:tcPr>
          <w:p>
            <w:pPr>
              <w:ind w:left="200"/>
              <w:spacing w:after="0"/>
              <w:rPr>
                <w:sz w:val="20"/>
                <w:szCs w:val="20"/>
                <w:color w:val="auto"/>
              </w:rPr>
            </w:pPr>
            <w:r>
              <w:rPr>
                <w:rFonts w:ascii="Arial" w:cs="Arial" w:eastAsia="Arial" w:hAnsi="Arial"/>
                <w:sz w:val="16"/>
                <w:szCs w:val="16"/>
                <w:color w:val="auto"/>
              </w:rPr>
              <w:t>Sales of goods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175,455</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197,958</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216,625</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231,026</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692,199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737,602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738,820</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763,478</w:t>
            </w:r>
          </w:p>
        </w:tc>
        <w:tc>
          <w:tcPr>
            <w:tcW w:w="0" w:type="dxa"/>
            <w:vAlign w:val="bottom"/>
          </w:tcPr>
          <w:p>
            <w:pPr>
              <w:spacing w:after="0"/>
              <w:rPr>
                <w:sz w:val="1"/>
                <w:szCs w:val="1"/>
                <w:color w:val="auto"/>
              </w:rPr>
            </w:pPr>
          </w:p>
        </w:tc>
      </w:tr>
      <w:tr>
        <w:trPr>
          <w:trHeight w:val="208"/>
        </w:trPr>
        <w:tc>
          <w:tcPr>
            <w:tcW w:w="686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60" w:type="dxa"/>
            <w:vAlign w:val="bottom"/>
          </w:tcPr>
          <w:p>
            <w:pPr>
              <w:ind w:left="200"/>
              <w:spacing w:after="0"/>
              <w:rPr>
                <w:sz w:val="20"/>
                <w:szCs w:val="20"/>
                <w:color w:val="auto"/>
              </w:rPr>
            </w:pPr>
            <w:r>
              <w:rPr>
                <w:rFonts w:ascii="Arial" w:cs="Arial" w:eastAsia="Arial" w:hAnsi="Arial"/>
                <w:sz w:val="16"/>
                <w:szCs w:val="16"/>
                <w:color w:val="auto"/>
              </w:rPr>
              <w:t>Cost of services sold</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318,474</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326,756</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345,476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325,222</w:t>
            </w:r>
          </w:p>
        </w:tc>
        <w:tc>
          <w:tcPr>
            <w:tcW w:w="0" w:type="dxa"/>
            <w:vAlign w:val="bottom"/>
          </w:tcPr>
          <w:p>
            <w:pPr>
              <w:spacing w:after="0"/>
              <w:rPr>
                <w:sz w:val="1"/>
                <w:szCs w:val="1"/>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132,453</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153,129</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169,599</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177,137</w:t>
            </w:r>
          </w:p>
        </w:tc>
        <w:tc>
          <w:tcPr>
            <w:tcW w:w="0" w:type="dxa"/>
            <w:vAlign w:val="bottom"/>
          </w:tcPr>
          <w:p>
            <w:pPr>
              <w:spacing w:after="0"/>
              <w:rPr>
                <w:sz w:val="1"/>
                <w:szCs w:val="1"/>
                <w:color w:val="auto"/>
              </w:rPr>
            </w:pPr>
          </w:p>
        </w:tc>
      </w:tr>
      <w:tr>
        <w:trPr>
          <w:trHeight w:val="229"/>
        </w:trPr>
        <w:tc>
          <w:tcPr>
            <w:tcW w:w="686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174,686</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172,297</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178,182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192,494</w:t>
            </w:r>
          </w:p>
        </w:tc>
        <w:tc>
          <w:tcPr>
            <w:tcW w:w="0" w:type="dxa"/>
            <w:vAlign w:val="bottom"/>
          </w:tcPr>
          <w:p>
            <w:pPr>
              <w:spacing w:after="0"/>
              <w:rPr>
                <w:sz w:val="1"/>
                <w:szCs w:val="1"/>
                <w:color w:val="auto"/>
              </w:rPr>
            </w:pPr>
          </w:p>
        </w:tc>
      </w:tr>
      <w:tr>
        <w:trPr>
          <w:trHeight w:val="229"/>
        </w:trPr>
        <w:tc>
          <w:tcPr>
            <w:tcW w:w="686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13,523</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13,884</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15,351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16,495</w:t>
            </w:r>
          </w:p>
        </w:tc>
        <w:tc>
          <w:tcPr>
            <w:tcW w:w="0" w:type="dxa"/>
            <w:vAlign w:val="bottom"/>
          </w:tcPr>
          <w:p>
            <w:pPr>
              <w:spacing w:after="0"/>
              <w:rPr>
                <w:sz w:val="1"/>
                <w:szCs w:val="1"/>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13,060</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12,880</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13,572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13,731</w:t>
            </w:r>
          </w:p>
        </w:tc>
        <w:tc>
          <w:tcPr>
            <w:tcW w:w="0" w:type="dxa"/>
            <w:vAlign w:val="bottom"/>
          </w:tcPr>
          <w:p>
            <w:pPr>
              <w:spacing w:after="0"/>
              <w:rPr>
                <w:sz w:val="1"/>
                <w:szCs w:val="1"/>
                <w:color w:val="auto"/>
              </w:rPr>
            </w:pPr>
          </w:p>
        </w:tc>
      </w:tr>
      <w:tr>
        <w:trPr>
          <w:trHeight w:val="238"/>
        </w:trPr>
        <w:tc>
          <w:tcPr>
            <w:tcW w:w="686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693</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372</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8,087</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652,196</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679,639</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722,552</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733,166</w:t>
            </w:r>
          </w:p>
        </w:tc>
        <w:tc>
          <w:tcPr>
            <w:tcW w:w="0" w:type="dxa"/>
            <w:vAlign w:val="bottom"/>
          </w:tcPr>
          <w:p>
            <w:pPr>
              <w:spacing w:after="0"/>
              <w:rPr>
                <w:sz w:val="1"/>
                <w:szCs w:val="1"/>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40,003</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57,963</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16,268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30,312</w:t>
            </w:r>
          </w:p>
        </w:tc>
        <w:tc>
          <w:tcPr>
            <w:tcW w:w="0" w:type="dxa"/>
            <w:vAlign w:val="bottom"/>
          </w:tcPr>
          <w:p>
            <w:pPr>
              <w:spacing w:after="0"/>
              <w:rPr>
                <w:sz w:val="1"/>
                <w:szCs w:val="1"/>
                <w:color w:val="auto"/>
              </w:rPr>
            </w:pPr>
          </w:p>
        </w:tc>
      </w:tr>
      <w:tr>
        <w:trPr>
          <w:trHeight w:val="222"/>
        </w:trPr>
        <w:tc>
          <w:tcPr>
            <w:tcW w:w="6860" w:type="dxa"/>
            <w:vAlign w:val="bottom"/>
          </w:tcPr>
          <w:p>
            <w:pPr>
              <w:ind w:left="200"/>
              <w:spacing w:after="0"/>
              <w:rPr>
                <w:sz w:val="20"/>
                <w:szCs w:val="20"/>
                <w:color w:val="auto"/>
              </w:rPr>
            </w:pPr>
            <w:r>
              <w:rPr>
                <w:rFonts w:ascii="Arial" w:cs="Arial" w:eastAsia="Arial" w:hAnsi="Arial"/>
                <w:sz w:val="16"/>
                <w:szCs w:val="16"/>
                <w:color w:val="auto"/>
              </w:rPr>
              <w:t>Equity in earnings of affiliates, net</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1,679</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1,467</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4,683</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3,835</w:t>
            </w:r>
          </w:p>
        </w:tc>
        <w:tc>
          <w:tcPr>
            <w:tcW w:w="0" w:type="dxa"/>
            <w:vAlign w:val="bottom"/>
          </w:tcPr>
          <w:p>
            <w:pPr>
              <w:spacing w:after="0"/>
              <w:rPr>
                <w:sz w:val="1"/>
                <w:szCs w:val="1"/>
                <w:color w:val="auto"/>
              </w:rPr>
            </w:pPr>
          </w:p>
        </w:tc>
      </w:tr>
      <w:tr>
        <w:trPr>
          <w:trHeight w:val="229"/>
        </w:trPr>
        <w:tc>
          <w:tcPr>
            <w:tcW w:w="686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1,700</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1,579</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1,474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29"/>
        </w:trPr>
        <w:tc>
          <w:tcPr>
            <w:tcW w:w="6860" w:type="dxa"/>
            <w:vAlign w:val="bottom"/>
          </w:tcPr>
          <w:p>
            <w:pPr>
              <w:ind w:left="20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(7,425)</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(8,386)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(6,776)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(7,192)</w:t>
            </w:r>
          </w:p>
        </w:tc>
        <w:tc>
          <w:tcPr>
            <w:tcW w:w="0" w:type="dxa"/>
            <w:vAlign w:val="bottom"/>
          </w:tcPr>
          <w:p>
            <w:pPr>
              <w:spacing w:after="0"/>
              <w:rPr>
                <w:sz w:val="1"/>
                <w:szCs w:val="1"/>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19,928</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12,253</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19,556</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111,061</w:t>
            </w:r>
          </w:p>
        </w:tc>
        <w:tc>
          <w:tcPr>
            <w:tcW w:w="0" w:type="dxa"/>
            <w:vAlign w:val="bottom"/>
          </w:tcPr>
          <w:p>
            <w:pPr>
              <w:spacing w:after="0"/>
              <w:rPr>
                <w:sz w:val="1"/>
                <w:szCs w:val="1"/>
                <w:color w:val="auto"/>
              </w:rPr>
            </w:pPr>
          </w:p>
        </w:tc>
      </w:tr>
      <w:tr>
        <w:trPr>
          <w:trHeight w:val="229"/>
        </w:trPr>
        <w:tc>
          <w:tcPr>
            <w:tcW w:w="6860" w:type="dxa"/>
            <w:vAlign w:val="bottom"/>
          </w:tcPr>
          <w:p>
            <w:pPr>
              <w:ind w:left="200"/>
              <w:spacing w:after="0"/>
              <w:rPr>
                <w:sz w:val="20"/>
                <w:szCs w:val="20"/>
                <w:color w:val="auto"/>
              </w:rPr>
            </w:pPr>
            <w:r>
              <w:rPr>
                <w:rFonts w:ascii="Arial" w:cs="Arial" w:eastAsia="Arial" w:hAnsi="Arial"/>
                <w:sz w:val="16"/>
                <w:szCs w:val="16"/>
                <w:color w:val="auto"/>
              </w:rPr>
              <w:t>Gain on marketable equity securities, net</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24,066</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7,791</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17,404</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49,407</w:t>
            </w:r>
          </w:p>
        </w:tc>
        <w:tc>
          <w:tcPr>
            <w:tcW w:w="0" w:type="dxa"/>
            <w:vAlign w:val="bottom"/>
          </w:tcPr>
          <w:p>
            <w:pPr>
              <w:spacing w:after="0"/>
              <w:rPr>
                <w:sz w:val="1"/>
                <w:szCs w:val="1"/>
                <w:color w:val="auto"/>
              </w:rPr>
            </w:pPr>
          </w:p>
        </w:tc>
      </w:tr>
      <w:tr>
        <w:trPr>
          <w:trHeight w:val="239"/>
        </w:trPr>
        <w:tc>
          <w:tcPr>
            <w:tcW w:w="6860" w:type="dxa"/>
            <w:vAlign w:val="bottom"/>
          </w:tcPr>
          <w:p>
            <w:pPr>
              <w:ind w:left="20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29,351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1,228</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5,556</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w:t>
            </w:r>
          </w:p>
        </w:tc>
        <w:tc>
          <w:tcPr>
            <w:tcW w:w="0" w:type="dxa"/>
            <w:vAlign w:val="bottom"/>
          </w:tcPr>
          <w:p>
            <w:pPr>
              <w:spacing w:after="0"/>
              <w:rPr>
                <w:sz w:val="1"/>
                <w:szCs w:val="1"/>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109,302</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73,895</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58,165</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185,117</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27,600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16,700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15,200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39,100</w:t>
            </w:r>
          </w:p>
        </w:tc>
        <w:tc>
          <w:tcPr>
            <w:tcW w:w="0" w:type="dxa"/>
            <w:vAlign w:val="bottom"/>
          </w:tcPr>
          <w:p>
            <w:pPr>
              <w:spacing w:after="0"/>
              <w:rPr>
                <w:sz w:val="1"/>
                <w:szCs w:val="1"/>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81,702</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57,195</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42,965</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146,017</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6"/>
                <w:szCs w:val="16"/>
                <w:b w:val="1"/>
                <w:bCs w:val="1"/>
                <w:color w:val="auto"/>
              </w:rPr>
              <w:t>Net Loss (Income) Attributable to Noncontrolling Interests</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180</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81,748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57,081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43,145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145,881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b w:val="1"/>
                <w:bCs w:val="1"/>
                <w:color w:val="auto"/>
              </w:rPr>
              <w:t>Quarterly Comprehensive Income</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686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90,038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44,986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25,059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267,238</w:t>
            </w:r>
          </w:p>
        </w:tc>
        <w:tc>
          <w:tcPr>
            <w:tcW w:w="0" w:type="dxa"/>
            <w:vAlign w:val="bottom"/>
          </w:tcPr>
          <w:p>
            <w:pPr>
              <w:spacing w:after="0"/>
              <w:rPr>
                <w:sz w:val="1"/>
                <w:szCs w:val="1"/>
                <w:color w:val="auto"/>
              </w:rPr>
            </w:pPr>
          </w:p>
        </w:tc>
      </w:tr>
      <w:tr>
        <w:trPr>
          <w:trHeight w:val="473"/>
        </w:trPr>
        <w:tc>
          <w:tcPr>
            <w:tcW w:w="6860" w:type="dxa"/>
            <w:vAlign w:val="bottom"/>
          </w:tcPr>
          <w:p>
            <w:pPr>
              <w:spacing w:after="0"/>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40"/>
              <w:spacing w:after="0"/>
              <w:rPr>
                <w:sz w:val="20"/>
                <w:szCs w:val="20"/>
                <w:color w:val="auto"/>
              </w:rPr>
            </w:pPr>
            <w:r>
              <w:rPr>
                <w:rFonts w:ascii="Arial" w:cs="Arial" w:eastAsia="Arial" w:hAnsi="Arial"/>
                <w:sz w:val="16"/>
                <w:szCs w:val="16"/>
                <w:b w:val="1"/>
                <w:bCs w:val="1"/>
                <w:color w:val="auto"/>
              </w:rPr>
              <w:t>Stockholders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15.38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5,284</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5,285</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5,285</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5,284</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15.26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10.65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27.25</w:t>
            </w: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5,326</w:t>
            </w:r>
          </w:p>
        </w:tc>
        <w:tc>
          <w:tcPr>
            <w:tcW w:w="24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5,329</w:t>
            </w:r>
          </w:p>
        </w:tc>
        <w:tc>
          <w:tcPr>
            <w:tcW w:w="22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5,329</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5,324</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035"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vMerge w:val="restart"/>
          </w:tcPr>
          <w:p>
            <w:pPr>
              <w:spacing w:after="0"/>
              <w:rPr>
                <w:sz w:val="20"/>
                <w:szCs w:val="20"/>
                <w:color w:val="auto"/>
              </w:rPr>
            </w:pPr>
            <w:r>
              <w:rPr>
                <w:rFonts w:ascii="Arial" w:cs="Arial" w:eastAsia="Arial" w:hAnsi="Arial"/>
                <w:sz w:val="14"/>
                <w:szCs w:val="14"/>
                <w:color w:val="auto"/>
              </w:rPr>
              <w:t>Name of Subsidiary</w:t>
            </w:r>
          </w:p>
        </w:tc>
        <w:tc>
          <w:tcPr>
            <w:tcW w:w="3000" w:type="dxa"/>
            <w:vAlign w:val="bottom"/>
          </w:tcPr>
          <w:p>
            <w:pPr>
              <w:ind w:left="1100"/>
              <w:spacing w:after="0"/>
              <w:rPr>
                <w:sz w:val="20"/>
                <w:szCs w:val="20"/>
                <w:color w:val="auto"/>
              </w:rPr>
            </w:pPr>
            <w:r>
              <w:rPr>
                <w:rFonts w:ascii="Arial" w:cs="Arial" w:eastAsia="Arial" w:hAnsi="Arial"/>
                <w:sz w:val="14"/>
                <w:szCs w:val="14"/>
                <w:color w:val="auto"/>
              </w:rPr>
              <w:t>Jurisdiction of Incorporation</w:t>
            </w:r>
          </w:p>
        </w:tc>
        <w:tc>
          <w:tcPr>
            <w:tcW w:w="2100" w:type="dxa"/>
            <w:vAlign w:val="bottom"/>
          </w:tcPr>
          <w:p>
            <w:pPr>
              <w:jc w:val="right"/>
              <w:ind w:right="219"/>
              <w:spacing w:after="0"/>
              <w:rPr>
                <w:sz w:val="20"/>
                <w:szCs w:val="20"/>
                <w:color w:val="auto"/>
              </w:rPr>
            </w:pPr>
            <w:r>
              <w:rPr>
                <w:rFonts w:ascii="Arial" w:cs="Arial" w:eastAsia="Arial" w:hAnsi="Arial"/>
                <w:sz w:val="14"/>
                <w:szCs w:val="14"/>
                <w:color w:val="auto"/>
              </w:rPr>
              <w:t>% of Voting Equity Owned</w:t>
            </w:r>
          </w:p>
        </w:tc>
        <w:tc>
          <w:tcPr>
            <w:tcW w:w="0" w:type="dxa"/>
            <w:vAlign w:val="bottom"/>
          </w:tcPr>
          <w:p>
            <w:pPr>
              <w:spacing w:after="0"/>
              <w:rPr>
                <w:sz w:val="1"/>
                <w:szCs w:val="1"/>
                <w:color w:val="auto"/>
              </w:rPr>
            </w:pPr>
          </w:p>
        </w:tc>
      </w:tr>
      <w:tr>
        <w:trPr>
          <w:trHeight w:val="113"/>
        </w:trPr>
        <w:tc>
          <w:tcPr>
            <w:tcW w:w="5560" w:type="dxa"/>
            <w:vAlign w:val="bottom"/>
            <w:vMerge w:val="continue"/>
          </w:tcPr>
          <w:p>
            <w:pPr>
              <w:spacing w:after="0"/>
              <w:rPr>
                <w:sz w:val="9"/>
                <w:szCs w:val="9"/>
                <w:color w:val="auto"/>
              </w:rPr>
            </w:pPr>
          </w:p>
        </w:tc>
        <w:tc>
          <w:tcPr>
            <w:tcW w:w="3000" w:type="dxa"/>
            <w:vAlign w:val="bottom"/>
            <w:vMerge w:val="restart"/>
          </w:tcPr>
          <w:p>
            <w:pPr>
              <w:ind w:left="1500"/>
              <w:spacing w:after="0"/>
              <w:rPr>
                <w:sz w:val="20"/>
                <w:szCs w:val="20"/>
                <w:color w:val="auto"/>
              </w:rPr>
            </w:pPr>
            <w:r>
              <w:rPr>
                <w:rFonts w:ascii="Arial" w:cs="Arial" w:eastAsia="Arial" w:hAnsi="Arial"/>
                <w:sz w:val="14"/>
                <w:szCs w:val="14"/>
                <w:color w:val="auto"/>
              </w:rPr>
              <w:t>or Organization</w:t>
            </w:r>
          </w:p>
        </w:tc>
        <w:tc>
          <w:tcPr>
            <w:tcW w:w="2100" w:type="dxa"/>
            <w:vAlign w:val="bottom"/>
            <w:vMerge w:val="restart"/>
          </w:tcPr>
          <w:p>
            <w:pPr>
              <w:jc w:val="right"/>
              <w:ind w:right="739"/>
              <w:spacing w:after="0"/>
              <w:rPr>
                <w:sz w:val="20"/>
                <w:szCs w:val="20"/>
                <w:color w:val="auto"/>
              </w:rPr>
            </w:pPr>
            <w:r>
              <w:rPr>
                <w:rFonts w:ascii="Arial" w:cs="Arial" w:eastAsia="Arial" w:hAnsi="Arial"/>
                <w:sz w:val="14"/>
                <w:szCs w:val="14"/>
                <w:color w:val="auto"/>
              </w:rPr>
              <w:t>by Parent</w:t>
            </w:r>
          </w:p>
        </w:tc>
        <w:tc>
          <w:tcPr>
            <w:tcW w:w="0" w:type="dxa"/>
            <w:vAlign w:val="bottom"/>
          </w:tcPr>
          <w:p>
            <w:pPr>
              <w:spacing w:after="0"/>
              <w:rPr>
                <w:sz w:val="1"/>
                <w:szCs w:val="1"/>
                <w:color w:val="auto"/>
              </w:rPr>
            </w:pPr>
          </w:p>
        </w:tc>
      </w:tr>
      <w:tr>
        <w:trPr>
          <w:trHeight w:val="57"/>
        </w:trPr>
        <w:tc>
          <w:tcPr>
            <w:tcW w:w="5560" w:type="dxa"/>
            <w:vAlign w:val="bottom"/>
          </w:tcPr>
          <w:p>
            <w:pPr>
              <w:spacing w:after="0"/>
              <w:rPr>
                <w:sz w:val="4"/>
                <w:szCs w:val="4"/>
                <w:color w:val="auto"/>
              </w:rPr>
            </w:pPr>
          </w:p>
        </w:tc>
        <w:tc>
          <w:tcPr>
            <w:tcW w:w="3000" w:type="dxa"/>
            <w:vAlign w:val="bottom"/>
            <w:vMerge w:val="continue"/>
          </w:tcPr>
          <w:p>
            <w:pPr>
              <w:spacing w:after="0"/>
              <w:rPr>
                <w:sz w:val="4"/>
                <w:szCs w:val="4"/>
                <w:color w:val="auto"/>
              </w:rPr>
            </w:pPr>
          </w:p>
        </w:tc>
        <w:tc>
          <w:tcPr>
            <w:tcW w:w="2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199 Sunbeam Realty,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CGRH,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Clyde's of Broadland, LLC</w:t>
            </w:r>
          </w:p>
        </w:tc>
        <w:tc>
          <w:tcPr>
            <w:tcW w:w="3000" w:type="dxa"/>
            <w:vAlign w:val="bottom"/>
          </w:tcPr>
          <w:p>
            <w:pPr>
              <w:ind w:left="104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Clyde's of Chevy Chase,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Clyde's Tower Oaks Lodge,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Clyde's of Columbia,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Clyde's of Gallery Place,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Clyde's of Georgetown,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Clyde's at Mark Center, LLC</w:t>
            </w:r>
          </w:p>
        </w:tc>
        <w:tc>
          <w:tcPr>
            <w:tcW w:w="3000" w:type="dxa"/>
            <w:vAlign w:val="bottom"/>
          </w:tcPr>
          <w:p>
            <w:pPr>
              <w:ind w:left="104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Clyde's of Reston, LLC</w:t>
            </w:r>
          </w:p>
        </w:tc>
        <w:tc>
          <w:tcPr>
            <w:tcW w:w="3000" w:type="dxa"/>
            <w:vAlign w:val="bottom"/>
          </w:tcPr>
          <w:p>
            <w:pPr>
              <w:ind w:left="104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Clyde's Management,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The City Limit,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The Walrus Company,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District of Columbia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Cybervista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Decile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Forney Corporation</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Forney Shanghai Trading Company</w:t>
            </w:r>
          </w:p>
        </w:tc>
        <w:tc>
          <w:tcPr>
            <w:tcW w:w="3000" w:type="dxa"/>
            <w:vAlign w:val="bottom"/>
          </w:tcPr>
          <w:p>
            <w:pPr>
              <w:ind w:left="1040"/>
              <w:spacing w:after="0"/>
              <w:rPr>
                <w:sz w:val="20"/>
                <w:szCs w:val="20"/>
                <w:color w:val="auto"/>
              </w:rPr>
            </w:pPr>
            <w:r>
              <w:rPr>
                <w:rFonts w:ascii="Arial" w:cs="Arial" w:eastAsia="Arial" w:hAnsi="Arial"/>
                <w:sz w:val="16"/>
                <w:szCs w:val="16"/>
                <w:color w:val="auto"/>
              </w:rPr>
              <w:t>China (PR)</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Forney Maquila,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FMMX S. de R.L. de C.V.</w:t>
            </w:r>
          </w:p>
        </w:tc>
        <w:tc>
          <w:tcPr>
            <w:tcW w:w="3000" w:type="dxa"/>
            <w:vAlign w:val="bottom"/>
          </w:tcPr>
          <w:p>
            <w:pPr>
              <w:ind w:left="104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(a)</w:t>
            </w:r>
          </w:p>
        </w:tc>
        <w:tc>
          <w:tcPr>
            <w:tcW w:w="0" w:type="dxa"/>
            <w:vAlign w:val="bottom"/>
          </w:tcPr>
          <w:p>
            <w:pPr>
              <w:spacing w:after="0"/>
              <w:rPr>
                <w:sz w:val="1"/>
                <w:szCs w:val="1"/>
                <w:color w:val="auto"/>
              </w:rPr>
            </w:pPr>
          </w:p>
        </w:tc>
      </w:tr>
      <w:tr>
        <w:trPr>
          <w:trHeight w:val="216"/>
        </w:trPr>
        <w:tc>
          <w:tcPr>
            <w:tcW w:w="5560" w:type="dxa"/>
            <w:vAlign w:val="bottom"/>
          </w:tcPr>
          <w:p>
            <w:pPr>
              <w:ind w:left="700"/>
              <w:spacing w:after="0"/>
              <w:rPr>
                <w:sz w:val="20"/>
                <w:szCs w:val="20"/>
                <w:color w:val="auto"/>
              </w:rPr>
            </w:pPr>
            <w:r>
              <w:rPr>
                <w:rFonts w:ascii="Arial" w:cs="Arial" w:eastAsia="Arial" w:hAnsi="Arial"/>
                <w:sz w:val="16"/>
                <w:szCs w:val="16"/>
                <w:color w:val="auto"/>
              </w:rPr>
              <w:t>FSM S. de R.L. de C.V.</w:t>
            </w:r>
          </w:p>
        </w:tc>
        <w:tc>
          <w:tcPr>
            <w:tcW w:w="3000" w:type="dxa"/>
            <w:vAlign w:val="bottom"/>
          </w:tcPr>
          <w:p>
            <w:pPr>
              <w:ind w:left="1040"/>
              <w:spacing w:after="0"/>
              <w:rPr>
                <w:sz w:val="20"/>
                <w:szCs w:val="20"/>
                <w:color w:val="auto"/>
              </w:rPr>
            </w:pPr>
            <w:r>
              <w:rPr>
                <w:rFonts w:ascii="Arial" w:cs="Arial" w:eastAsia="Arial" w:hAnsi="Arial"/>
                <w:sz w:val="16"/>
                <w:szCs w:val="16"/>
                <w:color w:val="auto"/>
              </w:rPr>
              <w:t>Mexico</w:t>
            </w:r>
          </w:p>
        </w:tc>
        <w:tc>
          <w:tcPr>
            <w:tcW w:w="2100" w:type="dxa"/>
            <w:vAlign w:val="bottom"/>
          </w:tcPr>
          <w:p>
            <w:pPr>
              <w:jc w:val="right"/>
              <w:spacing w:after="0"/>
              <w:rPr>
                <w:sz w:val="20"/>
                <w:szCs w:val="20"/>
                <w:color w:val="auto"/>
              </w:rPr>
            </w:pPr>
            <w:r>
              <w:rPr>
                <w:rFonts w:ascii="Arial" w:cs="Arial" w:eastAsia="Arial" w:hAnsi="Arial"/>
                <w:sz w:val="16"/>
                <w:szCs w:val="16"/>
                <w:color w:val="auto"/>
              </w:rPr>
              <w:t>100 % (b)</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FRTW Holdings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Hoover Wood Products Holdings, Inc.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Hoover Treated Wood Products, Inc.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FBHCO, Inc.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Framebridge, Inc.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Framebridge Retail Stores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93.4 %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Graham Automotive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Graham-Ourisman Automotive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EDR Protected Cell of medTRANS</w:t>
            </w:r>
          </w:p>
        </w:tc>
        <w:tc>
          <w:tcPr>
            <w:tcW w:w="3000" w:type="dxa"/>
            <w:vAlign w:val="bottom"/>
          </w:tcPr>
          <w:p>
            <w:pPr>
              <w:ind w:left="1040"/>
              <w:spacing w:after="0"/>
              <w:rPr>
                <w:sz w:val="20"/>
                <w:szCs w:val="20"/>
                <w:color w:val="auto"/>
              </w:rPr>
            </w:pPr>
            <w:r>
              <w:rPr>
                <w:rFonts w:ascii="Arial" w:cs="Arial" w:eastAsia="Arial" w:hAnsi="Arial"/>
                <w:sz w:val="16"/>
                <w:szCs w:val="16"/>
                <w:color w:val="auto"/>
              </w:rPr>
              <w:t>Nevada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Endor,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Lando, LLC</w:t>
            </w:r>
          </w:p>
        </w:tc>
        <w:tc>
          <w:tcPr>
            <w:tcW w:w="3000" w:type="dxa"/>
            <w:vAlign w:val="bottom"/>
          </w:tcPr>
          <w:p>
            <w:pPr>
              <w:ind w:left="1040"/>
              <w:spacing w:after="0"/>
              <w:rPr>
                <w:sz w:val="20"/>
                <w:szCs w:val="20"/>
                <w:color w:val="auto"/>
              </w:rPr>
            </w:pPr>
            <w:r>
              <w:rPr>
                <w:rFonts w:ascii="Arial" w:cs="Arial" w:eastAsia="Arial" w:hAnsi="Arial"/>
                <w:sz w:val="16"/>
                <w:szCs w:val="16"/>
                <w:color w:val="auto"/>
              </w:rPr>
              <w:t>Virginia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C3PO,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700"/>
              <w:spacing w:after="0"/>
              <w:rPr>
                <w:sz w:val="20"/>
                <w:szCs w:val="20"/>
                <w:color w:val="auto"/>
              </w:rPr>
            </w:pPr>
            <w:r>
              <w:rPr>
                <w:rFonts w:ascii="Arial" w:cs="Arial" w:eastAsia="Arial" w:hAnsi="Arial"/>
                <w:sz w:val="16"/>
                <w:szCs w:val="16"/>
                <w:color w:val="auto"/>
              </w:rPr>
              <w:t>Boba Fett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700"/>
              <w:spacing w:after="0"/>
              <w:rPr>
                <w:sz w:val="20"/>
                <w:szCs w:val="20"/>
                <w:color w:val="auto"/>
              </w:rPr>
            </w:pPr>
            <w:r>
              <w:rPr>
                <w:rFonts w:ascii="Arial" w:cs="Arial" w:eastAsia="Arial" w:hAnsi="Arial"/>
                <w:sz w:val="16"/>
                <w:szCs w:val="16"/>
                <w:color w:val="auto"/>
              </w:rPr>
              <w:t>Hoth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Palpatine,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Corellia, LLC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Graham Digital Holding Company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City Cast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Graham Healthcare Group, Inc.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Celtic Healthcare, Inc.</w:t>
            </w:r>
          </w:p>
        </w:tc>
        <w:tc>
          <w:tcPr>
            <w:tcW w:w="3000" w:type="dxa"/>
            <w:vAlign w:val="bottom"/>
          </w:tcPr>
          <w:p>
            <w:pPr>
              <w:ind w:left="1040"/>
              <w:spacing w:after="0"/>
              <w:rPr>
                <w:sz w:val="20"/>
                <w:szCs w:val="20"/>
                <w:color w:val="auto"/>
              </w:rPr>
            </w:pPr>
            <w:r>
              <w:rPr>
                <w:rFonts w:ascii="Arial" w:cs="Arial" w:eastAsia="Arial" w:hAnsi="Arial"/>
                <w:sz w:val="16"/>
                <w:szCs w:val="16"/>
                <w:color w:val="auto"/>
              </w:rPr>
              <w:t>Nevada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Residential Home Health of Carlisle,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Celtic Living Assistance Services,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Celtic Homecare, Inc.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Graham Health Services,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Celtic Rehabilitation Services, Inc.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Residential Home Health of NC PA,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Residential Healthcare of NE PA,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Residential Hospice of Carlisle,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NC PA,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Residential Hospice of Southern Illinois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Celtic Healthcare of Maryland, Inc.</w:t>
            </w:r>
          </w:p>
        </w:tc>
        <w:tc>
          <w:tcPr>
            <w:tcW w:w="3000" w:type="dxa"/>
            <w:vAlign w:val="bottom"/>
          </w:tcPr>
          <w:p>
            <w:pPr>
              <w:ind w:left="1040"/>
              <w:spacing w:after="0"/>
              <w:rPr>
                <w:sz w:val="20"/>
                <w:szCs w:val="20"/>
                <w:color w:val="auto"/>
              </w:rPr>
            </w:pPr>
            <w:r>
              <w:rPr>
                <w:rFonts w:ascii="Arial" w:cs="Arial" w:eastAsia="Arial" w:hAnsi="Arial"/>
                <w:sz w:val="16"/>
                <w:szCs w:val="16"/>
                <w:color w:val="auto"/>
              </w:rPr>
              <w:t>Maryland</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Home Health Utilization Management,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Residential Home Health of Southern Illinois,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480"/>
              <w:spacing w:after="0"/>
              <w:rPr>
                <w:sz w:val="20"/>
                <w:szCs w:val="20"/>
                <w:color w:val="auto"/>
              </w:rPr>
            </w:pPr>
            <w:r>
              <w:rPr>
                <w:rFonts w:ascii="Arial" w:cs="Arial" w:eastAsia="Arial" w:hAnsi="Arial"/>
                <w:sz w:val="16"/>
                <w:szCs w:val="16"/>
                <w:color w:val="auto"/>
              </w:rPr>
              <w:t>Celtic Healthcare Technology Solutions, LLC</w:t>
            </w:r>
          </w:p>
        </w:tc>
        <w:tc>
          <w:tcPr>
            <w:tcW w:w="3000" w:type="dxa"/>
            <w:vAlign w:val="bottom"/>
          </w:tcPr>
          <w:p>
            <w:pPr>
              <w:ind w:left="1040"/>
              <w:spacing w:after="0"/>
              <w:rPr>
                <w:sz w:val="20"/>
                <w:szCs w:val="20"/>
                <w:color w:val="auto"/>
              </w:rPr>
            </w:pPr>
            <w:r>
              <w:rPr>
                <w:rFonts w:ascii="Arial" w:cs="Arial" w:eastAsia="Arial" w:hAnsi="Arial"/>
                <w:sz w:val="16"/>
                <w:szCs w:val="16"/>
                <w:color w:val="auto"/>
              </w:rPr>
              <w:t>Pennsylvania</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6"/>
        </w:trPr>
        <w:tc>
          <w:tcPr>
            <w:tcW w:w="5560" w:type="dxa"/>
            <w:vAlign w:val="bottom"/>
          </w:tcPr>
          <w:p>
            <w:pPr>
              <w:ind w:left="240"/>
              <w:spacing w:after="0"/>
              <w:rPr>
                <w:sz w:val="20"/>
                <w:szCs w:val="20"/>
                <w:color w:val="auto"/>
              </w:rPr>
            </w:pPr>
            <w:r>
              <w:rPr>
                <w:rFonts w:ascii="Arial" w:cs="Arial" w:eastAsia="Arial" w:hAnsi="Arial"/>
                <w:sz w:val="16"/>
                <w:szCs w:val="16"/>
                <w:color w:val="auto"/>
              </w:rPr>
              <w:t>Graham Healthcare Capital,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9"/>
        </w:trPr>
        <w:tc>
          <w:tcPr>
            <w:tcW w:w="5560" w:type="dxa"/>
            <w:vAlign w:val="bottom"/>
          </w:tcPr>
          <w:p>
            <w:pPr>
              <w:ind w:left="480"/>
              <w:spacing w:after="0"/>
              <w:rPr>
                <w:sz w:val="20"/>
                <w:szCs w:val="20"/>
                <w:color w:val="auto"/>
              </w:rPr>
            </w:pPr>
            <w:r>
              <w:rPr>
                <w:rFonts w:ascii="Arial" w:cs="Arial" w:eastAsia="Arial" w:hAnsi="Arial"/>
                <w:sz w:val="16"/>
                <w:szCs w:val="16"/>
                <w:color w:val="auto"/>
              </w:rPr>
              <w:t>GHC One, LLC</w:t>
            </w:r>
          </w:p>
        </w:tc>
        <w:tc>
          <w:tcPr>
            <w:tcW w:w="3000" w:type="dxa"/>
            <w:vAlign w:val="bottom"/>
          </w:tcPr>
          <w:p>
            <w:pPr>
              <w:ind w:left="1040"/>
              <w:spacing w:after="0"/>
              <w:rPr>
                <w:sz w:val="20"/>
                <w:szCs w:val="20"/>
                <w:color w:val="auto"/>
              </w:rPr>
            </w:pPr>
            <w:r>
              <w:rPr>
                <w:rFonts w:ascii="Arial" w:cs="Arial" w:eastAsia="Arial" w:hAnsi="Arial"/>
                <w:sz w:val="16"/>
                <w:szCs w:val="16"/>
                <w:color w:val="auto"/>
              </w:rPr>
              <w:t>Delaware</w:t>
            </w:r>
          </w:p>
        </w:tc>
        <w:tc>
          <w:tcPr>
            <w:tcW w:w="2100" w:type="dxa"/>
            <w:vAlign w:val="bottom"/>
          </w:tcPr>
          <w:p>
            <w:pPr>
              <w:jc w:val="right"/>
              <w:ind w:right="15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ectPr>
          <w:pgSz w:w="11900" w:h="16838" w:orient="portrait"/>
          <w:cols w:equalWidth="0" w:num="1">
            <w:col w:w="11180"/>
          </w:cols>
          <w:pgMar w:left="380" w:top="101"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GHC One Clarus,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95 %</w:t>
            </w:r>
          </w:p>
        </w:tc>
      </w:tr>
      <w:tr>
        <w:trPr>
          <w:trHeight w:val="216"/>
        </w:trPr>
        <w:tc>
          <w:tcPr>
            <w:tcW w:w="6120" w:type="dxa"/>
            <w:vAlign w:val="bottom"/>
          </w:tcPr>
          <w:p>
            <w:pPr>
              <w:ind w:left="940"/>
              <w:spacing w:after="0"/>
              <w:rPr>
                <w:sz w:val="20"/>
                <w:szCs w:val="20"/>
                <w:color w:val="auto"/>
              </w:rPr>
            </w:pPr>
            <w:r>
              <w:rPr>
                <w:rFonts w:ascii="Arial" w:cs="Arial" w:eastAsia="Arial" w:hAnsi="Arial"/>
                <w:sz w:val="16"/>
                <w:szCs w:val="16"/>
                <w:color w:val="auto"/>
              </w:rPr>
              <w:t>Clarus Care,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GHC One CSI,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95 %</w:t>
            </w:r>
          </w:p>
        </w:tc>
      </w:tr>
      <w:tr>
        <w:trPr>
          <w:trHeight w:val="216"/>
        </w:trPr>
        <w:tc>
          <w:tcPr>
            <w:tcW w:w="6120" w:type="dxa"/>
            <w:vAlign w:val="bottom"/>
          </w:tcPr>
          <w:p>
            <w:pPr>
              <w:ind w:left="940"/>
              <w:spacing w:after="0"/>
              <w:rPr>
                <w:sz w:val="20"/>
                <w:szCs w:val="20"/>
                <w:color w:val="auto"/>
              </w:rPr>
            </w:pPr>
            <w:r>
              <w:rPr>
                <w:rFonts w:ascii="Arial" w:cs="Arial" w:eastAsia="Arial" w:hAnsi="Arial"/>
                <w:sz w:val="16"/>
                <w:szCs w:val="16"/>
                <w:color w:val="auto"/>
              </w:rPr>
              <w:t>CSI Pharmacy Holding,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75 %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Residential Healthcare Group,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Hometown Home Health Care Inc.</w:t>
            </w:r>
          </w:p>
        </w:tc>
        <w:tc>
          <w:tcPr>
            <w:tcW w:w="2720" w:type="dxa"/>
            <w:vAlign w:val="bottom"/>
          </w:tcPr>
          <w:p>
            <w:pPr>
              <w:ind w:left="48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RHH Holdings Co</w:t>
            </w:r>
          </w:p>
        </w:tc>
        <w:tc>
          <w:tcPr>
            <w:tcW w:w="2720" w:type="dxa"/>
            <w:vAlign w:val="bottom"/>
          </w:tcPr>
          <w:p>
            <w:pPr>
              <w:ind w:left="48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Residential Home Health, LLC</w:t>
            </w:r>
          </w:p>
        </w:tc>
        <w:tc>
          <w:tcPr>
            <w:tcW w:w="2720" w:type="dxa"/>
            <w:vAlign w:val="bottom"/>
          </w:tcPr>
          <w:p>
            <w:pPr>
              <w:ind w:left="48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Residential Hospice, LLC</w:t>
            </w:r>
          </w:p>
        </w:tc>
        <w:tc>
          <w:tcPr>
            <w:tcW w:w="2720" w:type="dxa"/>
            <w:vAlign w:val="bottom"/>
          </w:tcPr>
          <w:p>
            <w:pPr>
              <w:ind w:left="48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RHM-KCINO, LLC</w:t>
            </w:r>
          </w:p>
        </w:tc>
        <w:tc>
          <w:tcPr>
            <w:tcW w:w="2720" w:type="dxa"/>
            <w:vAlign w:val="bottom"/>
          </w:tcPr>
          <w:p>
            <w:pPr>
              <w:ind w:left="480"/>
              <w:spacing w:after="0"/>
              <w:rPr>
                <w:sz w:val="20"/>
                <w:szCs w:val="20"/>
                <w:color w:val="auto"/>
              </w:rPr>
            </w:pPr>
            <w:r>
              <w:rPr>
                <w:rFonts w:ascii="Arial" w:cs="Arial" w:eastAsia="Arial" w:hAnsi="Arial"/>
                <w:sz w:val="16"/>
                <w:szCs w:val="16"/>
                <w:color w:val="auto"/>
              </w:rPr>
              <w:t>Michigan</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RHH Ventures Illinois, LLC</w:t>
            </w:r>
          </w:p>
        </w:tc>
        <w:tc>
          <w:tcPr>
            <w:tcW w:w="2720" w:type="dxa"/>
            <w:vAlign w:val="bottom"/>
          </w:tcPr>
          <w:p>
            <w:pPr>
              <w:ind w:left="480"/>
              <w:spacing w:after="0"/>
              <w:rPr>
                <w:sz w:val="20"/>
                <w:szCs w:val="20"/>
                <w:color w:val="auto"/>
              </w:rPr>
            </w:pPr>
            <w:r>
              <w:rPr>
                <w:rFonts w:ascii="Arial" w:cs="Arial" w:eastAsia="Arial" w:hAnsi="Arial"/>
                <w:sz w:val="16"/>
                <w:szCs w:val="16"/>
                <w:color w:val="auto"/>
              </w:rPr>
              <w:t>Illinois</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spacing w:after="0"/>
              <w:rPr>
                <w:sz w:val="20"/>
                <w:szCs w:val="20"/>
                <w:color w:val="auto"/>
              </w:rPr>
            </w:pPr>
            <w:r>
              <w:rPr>
                <w:rFonts w:ascii="Arial" w:cs="Arial" w:eastAsia="Arial" w:hAnsi="Arial"/>
                <w:sz w:val="16"/>
                <w:szCs w:val="16"/>
                <w:color w:val="auto"/>
              </w:rPr>
              <w:t>Graham Media Group,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Graham Media Group, Florida, Inc.</w:t>
            </w:r>
          </w:p>
        </w:tc>
        <w:tc>
          <w:tcPr>
            <w:tcW w:w="2720" w:type="dxa"/>
            <w:vAlign w:val="bottom"/>
          </w:tcPr>
          <w:p>
            <w:pPr>
              <w:ind w:left="480"/>
              <w:spacing w:after="0"/>
              <w:rPr>
                <w:sz w:val="20"/>
                <w:szCs w:val="20"/>
                <w:color w:val="auto"/>
              </w:rPr>
            </w:pPr>
            <w:r>
              <w:rPr>
                <w:rFonts w:ascii="Arial" w:cs="Arial" w:eastAsia="Arial" w:hAnsi="Arial"/>
                <w:sz w:val="16"/>
                <w:szCs w:val="16"/>
                <w:color w:val="auto"/>
              </w:rPr>
              <w:t>Florida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Graham Media Group, Houston,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Graham Media Group, Michigan,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Graham Media Group, Orlando,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Graham Media Group, San Antonio,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Graham Media Group, Virginia, LLC</w:t>
            </w:r>
          </w:p>
        </w:tc>
        <w:tc>
          <w:tcPr>
            <w:tcW w:w="2720" w:type="dxa"/>
            <w:vAlign w:val="bottom"/>
          </w:tcPr>
          <w:p>
            <w:pPr>
              <w:ind w:left="480"/>
              <w:spacing w:after="0"/>
              <w:rPr>
                <w:sz w:val="20"/>
                <w:szCs w:val="20"/>
                <w:color w:val="auto"/>
              </w:rPr>
            </w:pPr>
            <w:r>
              <w:rPr>
                <w:rFonts w:ascii="Arial" w:cs="Arial" w:eastAsia="Arial" w:hAnsi="Arial"/>
                <w:sz w:val="16"/>
                <w:szCs w:val="16"/>
                <w:color w:val="auto"/>
              </w:rPr>
              <w:t>Virginia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Social News Desk, Inc.</w:t>
            </w:r>
          </w:p>
        </w:tc>
        <w:tc>
          <w:tcPr>
            <w:tcW w:w="2720" w:type="dxa"/>
            <w:vAlign w:val="bottom"/>
          </w:tcPr>
          <w:p>
            <w:pPr>
              <w:ind w:left="480"/>
              <w:spacing w:after="0"/>
              <w:rPr>
                <w:sz w:val="20"/>
                <w:szCs w:val="20"/>
                <w:color w:val="auto"/>
              </w:rPr>
            </w:pPr>
            <w:r>
              <w:rPr>
                <w:rFonts w:ascii="Arial" w:cs="Arial" w:eastAsia="Arial" w:hAnsi="Arial"/>
                <w:sz w:val="16"/>
                <w:szCs w:val="16"/>
                <w:color w:val="auto"/>
              </w:rPr>
              <w:t>Florida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spacing w:after="0"/>
              <w:rPr>
                <w:sz w:val="20"/>
                <w:szCs w:val="20"/>
                <w:color w:val="auto"/>
              </w:rPr>
            </w:pPr>
            <w:r>
              <w:rPr>
                <w:rFonts w:ascii="Arial" w:cs="Arial" w:eastAsia="Arial" w:hAnsi="Arial"/>
                <w:sz w:val="16"/>
                <w:szCs w:val="16"/>
                <w:color w:val="auto"/>
              </w:rPr>
              <w:t>Group Dekko Holdings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Group Dekko Inc.</w:t>
            </w:r>
          </w:p>
        </w:tc>
        <w:tc>
          <w:tcPr>
            <w:tcW w:w="2720" w:type="dxa"/>
            <w:vAlign w:val="bottom"/>
          </w:tcPr>
          <w:p>
            <w:pPr>
              <w:ind w:left="480"/>
              <w:spacing w:after="0"/>
              <w:rPr>
                <w:sz w:val="20"/>
                <w:szCs w:val="20"/>
                <w:color w:val="auto"/>
              </w:rPr>
            </w:pPr>
            <w:r>
              <w:rPr>
                <w:rFonts w:ascii="Arial" w:cs="Arial" w:eastAsia="Arial" w:hAnsi="Arial"/>
                <w:sz w:val="16"/>
                <w:szCs w:val="16"/>
                <w:color w:val="auto"/>
              </w:rPr>
              <w:t>Indiana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Premier Manufacturing Group, Inc. (d/b/a Electric-Cable Assemblies)</w:t>
            </w:r>
          </w:p>
        </w:tc>
        <w:tc>
          <w:tcPr>
            <w:tcW w:w="2720" w:type="dxa"/>
            <w:vAlign w:val="bottom"/>
          </w:tcPr>
          <w:p>
            <w:pPr>
              <w:ind w:left="480"/>
              <w:spacing w:after="0"/>
              <w:rPr>
                <w:sz w:val="20"/>
                <w:szCs w:val="20"/>
                <w:color w:val="auto"/>
              </w:rPr>
            </w:pPr>
            <w:r>
              <w:rPr>
                <w:rFonts w:ascii="Arial" w:cs="Arial" w:eastAsia="Arial" w:hAnsi="Arial"/>
                <w:sz w:val="16"/>
                <w:szCs w:val="16"/>
                <w:color w:val="auto"/>
              </w:rPr>
              <w:t>Connecticut</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Dekko Global Enterprise LLC</w:t>
            </w:r>
          </w:p>
        </w:tc>
        <w:tc>
          <w:tcPr>
            <w:tcW w:w="2720" w:type="dxa"/>
            <w:vAlign w:val="bottom"/>
          </w:tcPr>
          <w:p>
            <w:pPr>
              <w:ind w:left="480"/>
              <w:spacing w:after="0"/>
              <w:rPr>
                <w:sz w:val="20"/>
                <w:szCs w:val="20"/>
                <w:color w:val="auto"/>
              </w:rPr>
            </w:pPr>
            <w:r>
              <w:rPr>
                <w:rFonts w:ascii="Arial" w:cs="Arial" w:eastAsia="Arial" w:hAnsi="Arial"/>
                <w:sz w:val="16"/>
                <w:szCs w:val="16"/>
                <w:color w:val="auto"/>
              </w:rPr>
              <w:t>Indiana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940"/>
              <w:spacing w:after="0"/>
              <w:rPr>
                <w:sz w:val="20"/>
                <w:szCs w:val="20"/>
                <w:color w:val="auto"/>
              </w:rPr>
            </w:pPr>
            <w:r>
              <w:rPr>
                <w:rFonts w:ascii="Arial" w:cs="Arial" w:eastAsia="Arial" w:hAnsi="Arial"/>
                <w:sz w:val="16"/>
                <w:szCs w:val="16"/>
                <w:color w:val="auto"/>
              </w:rPr>
              <w:t>Grupo Dekko Mexico S.A, de C.V.</w:t>
            </w:r>
          </w:p>
        </w:tc>
        <w:tc>
          <w:tcPr>
            <w:tcW w:w="2720" w:type="dxa"/>
            <w:vAlign w:val="bottom"/>
          </w:tcPr>
          <w:p>
            <w:pPr>
              <w:ind w:left="480"/>
              <w:spacing w:after="0"/>
              <w:rPr>
                <w:sz w:val="20"/>
                <w:szCs w:val="20"/>
                <w:color w:val="auto"/>
              </w:rPr>
            </w:pPr>
            <w:r>
              <w:rPr>
                <w:rFonts w:ascii="Arial" w:cs="Arial" w:eastAsia="Arial" w:hAnsi="Arial"/>
                <w:sz w:val="16"/>
                <w:szCs w:val="16"/>
                <w:color w:val="auto"/>
              </w:rPr>
              <w:t>Mexico</w:t>
            </w:r>
          </w:p>
        </w:tc>
        <w:tc>
          <w:tcPr>
            <w:tcW w:w="1820" w:type="dxa"/>
            <w:vAlign w:val="bottom"/>
          </w:tcPr>
          <w:p>
            <w:pPr>
              <w:ind w:left="1120"/>
              <w:spacing w:after="0"/>
              <w:rPr>
                <w:sz w:val="20"/>
                <w:szCs w:val="20"/>
                <w:color w:val="auto"/>
              </w:rPr>
            </w:pPr>
            <w:r>
              <w:rPr>
                <w:rFonts w:ascii="Arial" w:cs="Arial" w:eastAsia="Arial" w:hAnsi="Arial"/>
                <w:sz w:val="16"/>
                <w:szCs w:val="16"/>
                <w:color w:val="auto"/>
                <w:w w:val="99"/>
              </w:rPr>
              <w:t>100 % (c)</w:t>
            </w:r>
          </w:p>
        </w:tc>
      </w:t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Furnlite Inc.</w:t>
            </w:r>
          </w:p>
        </w:tc>
        <w:tc>
          <w:tcPr>
            <w:tcW w:w="2720" w:type="dxa"/>
            <w:vAlign w:val="bottom"/>
          </w:tcPr>
          <w:p>
            <w:pPr>
              <w:ind w:left="480"/>
              <w:spacing w:after="0"/>
              <w:rPr>
                <w:sz w:val="20"/>
                <w:szCs w:val="20"/>
                <w:color w:val="auto"/>
              </w:rPr>
            </w:pPr>
            <w:r>
              <w:rPr>
                <w:rFonts w:ascii="Arial" w:cs="Arial" w:eastAsia="Arial" w:hAnsi="Arial"/>
                <w:sz w:val="16"/>
                <w:szCs w:val="16"/>
                <w:color w:val="auto"/>
              </w:rPr>
              <w:t>North Carolina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spacing w:after="0"/>
              <w:rPr>
                <w:sz w:val="20"/>
                <w:szCs w:val="20"/>
                <w:color w:val="auto"/>
              </w:rPr>
            </w:pPr>
            <w:r>
              <w:rPr>
                <w:rFonts w:ascii="Arial" w:cs="Arial" w:eastAsia="Arial" w:hAnsi="Arial"/>
                <w:sz w:val="16"/>
                <w:szCs w:val="16"/>
                <w:color w:val="auto"/>
              </w:rPr>
              <w:t>Joyce/Dayton Corporation</w:t>
            </w:r>
          </w:p>
        </w:tc>
        <w:tc>
          <w:tcPr>
            <w:tcW w:w="2720" w:type="dxa"/>
            <w:vAlign w:val="bottom"/>
          </w:tcPr>
          <w:p>
            <w:pPr>
              <w:ind w:left="480"/>
              <w:spacing w:after="0"/>
              <w:rPr>
                <w:sz w:val="20"/>
                <w:szCs w:val="20"/>
                <w:color w:val="auto"/>
              </w:rPr>
            </w:pPr>
            <w:r>
              <w:rPr>
                <w:rFonts w:ascii="Arial" w:cs="Arial" w:eastAsia="Arial" w:hAnsi="Arial"/>
                <w:sz w:val="16"/>
                <w:szCs w:val="16"/>
                <w:color w:val="auto"/>
              </w:rPr>
              <w:t>Ohio</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EDrive Actuators, Inc.</w:t>
            </w:r>
          </w:p>
        </w:tc>
        <w:tc>
          <w:tcPr>
            <w:tcW w:w="2720" w:type="dxa"/>
            <w:vAlign w:val="bottom"/>
          </w:tcPr>
          <w:p>
            <w:pPr>
              <w:ind w:left="480"/>
              <w:spacing w:after="0"/>
              <w:rPr>
                <w:sz w:val="20"/>
                <w:szCs w:val="20"/>
                <w:color w:val="auto"/>
              </w:rPr>
            </w:pPr>
            <w:r>
              <w:rPr>
                <w:rFonts w:ascii="Arial" w:cs="Arial" w:eastAsia="Arial" w:hAnsi="Arial"/>
                <w:sz w:val="16"/>
                <w:szCs w:val="16"/>
                <w:color w:val="auto"/>
              </w:rPr>
              <w:t>Connecticut</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Lowly Worm Holdings,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UNI-LIFT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spacing w:after="0"/>
              <w:rPr>
                <w:sz w:val="20"/>
                <w:szCs w:val="20"/>
                <w:color w:val="auto"/>
              </w:rPr>
            </w:pPr>
            <w:r>
              <w:rPr>
                <w:rFonts w:ascii="Arial" w:cs="Arial" w:eastAsia="Arial" w:hAnsi="Arial"/>
                <w:sz w:val="16"/>
                <w:szCs w:val="16"/>
                <w:color w:val="auto"/>
              </w:rPr>
              <w:t>Kaplan, Inc.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99.44 %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Dev Bootcamp, Inc.</w:t>
            </w:r>
          </w:p>
        </w:tc>
        <w:tc>
          <w:tcPr>
            <w:tcW w:w="2720" w:type="dxa"/>
            <w:vAlign w:val="bottom"/>
          </w:tcPr>
          <w:p>
            <w:pPr>
              <w:ind w:left="480"/>
              <w:spacing w:after="0"/>
              <w:rPr>
                <w:sz w:val="20"/>
                <w:szCs w:val="20"/>
                <w:color w:val="auto"/>
              </w:rPr>
            </w:pPr>
            <w:r>
              <w:rPr>
                <w:rFonts w:ascii="Arial" w:cs="Arial" w:eastAsia="Arial" w:hAnsi="Arial"/>
                <w:sz w:val="16"/>
                <w:szCs w:val="16"/>
                <w:color w:val="auto"/>
              </w:rPr>
              <w:t>California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Graham Holdings Retired Employee Payroll Master,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International,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(Canada) Ltd.</w:t>
            </w:r>
          </w:p>
        </w:tc>
        <w:tc>
          <w:tcPr>
            <w:tcW w:w="2720" w:type="dxa"/>
            <w:vAlign w:val="bottom"/>
          </w:tcPr>
          <w:p>
            <w:pPr>
              <w:ind w:left="480"/>
              <w:spacing w:after="0"/>
              <w:rPr>
                <w:sz w:val="20"/>
                <w:szCs w:val="20"/>
                <w:color w:val="auto"/>
              </w:rPr>
            </w:pPr>
            <w:r>
              <w:rPr>
                <w:rFonts w:ascii="Arial" w:cs="Arial" w:eastAsia="Arial" w:hAnsi="Arial"/>
                <w:sz w:val="16"/>
                <w:szCs w:val="16"/>
                <w:color w:val="auto"/>
              </w:rPr>
              <w:t>Ontario</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U.S. CPA ExamPrep, Inc.</w:t>
            </w:r>
          </w:p>
        </w:tc>
        <w:tc>
          <w:tcPr>
            <w:tcW w:w="2720" w:type="dxa"/>
            <w:vAlign w:val="bottom"/>
          </w:tcPr>
          <w:p>
            <w:pPr>
              <w:ind w:left="480"/>
              <w:spacing w:after="0"/>
              <w:rPr>
                <w:sz w:val="20"/>
                <w:szCs w:val="20"/>
                <w:color w:val="auto"/>
              </w:rPr>
            </w:pPr>
            <w:r>
              <w:rPr>
                <w:rFonts w:ascii="Arial" w:cs="Arial" w:eastAsia="Arial" w:hAnsi="Arial"/>
                <w:sz w:val="16"/>
                <w:szCs w:val="16"/>
                <w:color w:val="auto"/>
              </w:rPr>
              <w:t>Ontario</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Educational Services de Mexico, S. de R.L. de C.V.</w:t>
            </w:r>
          </w:p>
        </w:tc>
        <w:tc>
          <w:tcPr>
            <w:tcW w:w="2720" w:type="dxa"/>
            <w:vAlign w:val="bottom"/>
          </w:tcPr>
          <w:p>
            <w:pPr>
              <w:ind w:left="480"/>
              <w:spacing w:after="0"/>
              <w:rPr>
                <w:sz w:val="20"/>
                <w:szCs w:val="20"/>
                <w:color w:val="auto"/>
              </w:rPr>
            </w:pPr>
            <w:r>
              <w:rPr>
                <w:rFonts w:ascii="Arial" w:cs="Arial" w:eastAsia="Arial" w:hAnsi="Arial"/>
                <w:sz w:val="16"/>
                <w:szCs w:val="16"/>
                <w:color w:val="auto"/>
              </w:rPr>
              <w:t>Mexico</w:t>
            </w:r>
          </w:p>
        </w:tc>
        <w:tc>
          <w:tcPr>
            <w:tcW w:w="1820" w:type="dxa"/>
            <w:vAlign w:val="bottom"/>
          </w:tcPr>
          <w:p>
            <w:pPr>
              <w:ind w:left="1120"/>
              <w:spacing w:after="0"/>
              <w:rPr>
                <w:sz w:val="20"/>
                <w:szCs w:val="20"/>
                <w:color w:val="auto"/>
              </w:rPr>
            </w:pPr>
            <w:r>
              <w:rPr>
                <w:rFonts w:ascii="Arial" w:cs="Arial" w:eastAsia="Arial" w:hAnsi="Arial"/>
                <w:sz w:val="16"/>
                <w:szCs w:val="16"/>
                <w:color w:val="auto"/>
                <w:w w:val="97"/>
              </w:rPr>
              <w:t>100 % (d)</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Education HR Services Mexico, S. de R.L. de C.V.</w:t>
            </w:r>
          </w:p>
        </w:tc>
        <w:tc>
          <w:tcPr>
            <w:tcW w:w="2720" w:type="dxa"/>
            <w:vAlign w:val="bottom"/>
          </w:tcPr>
          <w:p>
            <w:pPr>
              <w:ind w:left="480"/>
              <w:spacing w:after="0"/>
              <w:rPr>
                <w:sz w:val="20"/>
                <w:szCs w:val="20"/>
                <w:color w:val="auto"/>
              </w:rPr>
            </w:pPr>
            <w:r>
              <w:rPr>
                <w:rFonts w:ascii="Arial" w:cs="Arial" w:eastAsia="Arial" w:hAnsi="Arial"/>
                <w:sz w:val="16"/>
                <w:szCs w:val="16"/>
                <w:color w:val="auto"/>
              </w:rPr>
              <w:t>Mexico</w:t>
            </w:r>
          </w:p>
        </w:tc>
        <w:tc>
          <w:tcPr>
            <w:tcW w:w="1820" w:type="dxa"/>
            <w:vAlign w:val="bottom"/>
          </w:tcPr>
          <w:p>
            <w:pPr>
              <w:ind w:left="1120"/>
              <w:spacing w:after="0"/>
              <w:rPr>
                <w:sz w:val="20"/>
                <w:szCs w:val="20"/>
                <w:color w:val="auto"/>
              </w:rPr>
            </w:pPr>
            <w:r>
              <w:rPr>
                <w:rFonts w:ascii="Arial" w:cs="Arial" w:eastAsia="Arial" w:hAnsi="Arial"/>
                <w:sz w:val="16"/>
                <w:szCs w:val="16"/>
                <w:color w:val="auto"/>
                <w:w w:val="97"/>
              </w:rPr>
              <w:t>100 % (d)</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Higher Education,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Texas Educational Ventures, LP</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Iowa College Acquisition,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DF Institute, LLC</w:t>
            </w:r>
          </w:p>
        </w:tc>
        <w:tc>
          <w:tcPr>
            <w:tcW w:w="2720" w:type="dxa"/>
            <w:vAlign w:val="bottom"/>
          </w:tcPr>
          <w:p>
            <w:pPr>
              <w:ind w:left="480"/>
              <w:spacing w:after="0"/>
              <w:rPr>
                <w:sz w:val="20"/>
                <w:szCs w:val="20"/>
                <w:color w:val="auto"/>
              </w:rPr>
            </w:pPr>
            <w:r>
              <w:rPr>
                <w:rFonts w:ascii="Arial" w:cs="Arial" w:eastAsia="Arial" w:hAnsi="Arial"/>
                <w:sz w:val="16"/>
                <w:szCs w:val="16"/>
                <w:color w:val="auto"/>
              </w:rPr>
              <w:t>Illinois</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940"/>
              <w:spacing w:after="0"/>
              <w:rPr>
                <w:sz w:val="20"/>
                <w:szCs w:val="20"/>
                <w:color w:val="auto"/>
              </w:rPr>
            </w:pPr>
            <w:r>
              <w:rPr>
                <w:rFonts w:ascii="Arial" w:cs="Arial" w:eastAsia="Arial" w:hAnsi="Arial"/>
                <w:sz w:val="16"/>
                <w:szCs w:val="16"/>
                <w:color w:val="auto"/>
              </w:rPr>
              <w:t>SmartPros,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1160"/>
              <w:spacing w:after="0"/>
              <w:rPr>
                <w:sz w:val="20"/>
                <w:szCs w:val="20"/>
                <w:color w:val="auto"/>
              </w:rPr>
            </w:pPr>
            <w:r>
              <w:rPr>
                <w:rFonts w:ascii="Arial" w:cs="Arial" w:eastAsia="Arial" w:hAnsi="Arial"/>
                <w:sz w:val="16"/>
                <w:szCs w:val="16"/>
                <w:color w:val="auto"/>
              </w:rPr>
              <w:t>Loscalzo Institute, LLC</w:t>
            </w:r>
          </w:p>
        </w:tc>
        <w:tc>
          <w:tcPr>
            <w:tcW w:w="2720" w:type="dxa"/>
            <w:vAlign w:val="bottom"/>
          </w:tcPr>
          <w:p>
            <w:pPr>
              <w:ind w:left="480"/>
              <w:spacing w:after="0"/>
              <w:rPr>
                <w:sz w:val="20"/>
                <w:szCs w:val="20"/>
                <w:color w:val="auto"/>
              </w:rPr>
            </w:pPr>
            <w:r>
              <w:rPr>
                <w:rFonts w:ascii="Arial" w:cs="Arial" w:eastAsia="Arial" w:hAnsi="Arial"/>
                <w:sz w:val="16"/>
                <w:szCs w:val="16"/>
                <w:color w:val="auto"/>
              </w:rPr>
              <w:t>New Jersey</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940"/>
              <w:spacing w:after="0"/>
              <w:rPr>
                <w:sz w:val="20"/>
                <w:szCs w:val="20"/>
                <w:color w:val="auto"/>
              </w:rPr>
            </w:pPr>
            <w:r>
              <w:rPr>
                <w:rFonts w:ascii="Arial" w:cs="Arial" w:eastAsia="Arial" w:hAnsi="Arial"/>
                <w:sz w:val="16"/>
                <w:szCs w:val="16"/>
                <w:color w:val="auto"/>
              </w:rPr>
              <w:t>The College for Financial Planning Institutes Corp.</w:t>
            </w:r>
          </w:p>
        </w:tc>
        <w:tc>
          <w:tcPr>
            <w:tcW w:w="2720" w:type="dxa"/>
            <w:vAlign w:val="bottom"/>
          </w:tcPr>
          <w:p>
            <w:pPr>
              <w:ind w:left="480"/>
              <w:spacing w:after="0"/>
              <w:rPr>
                <w:sz w:val="20"/>
                <w:szCs w:val="20"/>
                <w:color w:val="auto"/>
              </w:rPr>
            </w:pPr>
            <w:r>
              <w:rPr>
                <w:rFonts w:ascii="Arial" w:cs="Arial" w:eastAsia="Arial" w:hAnsi="Arial"/>
                <w:sz w:val="16"/>
                <w:szCs w:val="16"/>
                <w:color w:val="auto"/>
              </w:rPr>
              <w:t>Arizona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1160"/>
              <w:spacing w:after="0"/>
              <w:rPr>
                <w:sz w:val="20"/>
                <w:szCs w:val="20"/>
                <w:color w:val="auto"/>
              </w:rPr>
            </w:pPr>
            <w:r>
              <w:rPr>
                <w:rFonts w:ascii="Arial" w:cs="Arial" w:eastAsia="Arial" w:hAnsi="Arial"/>
                <w:sz w:val="16"/>
                <w:szCs w:val="16"/>
                <w:color w:val="auto"/>
              </w:rPr>
              <w:t>The College for Financial Planning, Inc.</w:t>
            </w:r>
          </w:p>
        </w:tc>
        <w:tc>
          <w:tcPr>
            <w:tcW w:w="2720" w:type="dxa"/>
            <w:vAlign w:val="bottom"/>
          </w:tcPr>
          <w:p>
            <w:pPr>
              <w:ind w:left="480"/>
              <w:spacing w:after="0"/>
              <w:rPr>
                <w:sz w:val="20"/>
                <w:szCs w:val="20"/>
                <w:color w:val="auto"/>
              </w:rPr>
            </w:pPr>
            <w:r>
              <w:rPr>
                <w:rFonts w:ascii="Arial" w:cs="Arial" w:eastAsia="Arial" w:hAnsi="Arial"/>
                <w:sz w:val="16"/>
                <w:szCs w:val="16"/>
                <w:color w:val="auto"/>
              </w:rPr>
              <w:t>Arizona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KV EdTech Partners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Mexico Holdings,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Kaplan (India) Private Limited</w:t>
            </w:r>
          </w:p>
        </w:tc>
        <w:tc>
          <w:tcPr>
            <w:tcW w:w="2720" w:type="dxa"/>
            <w:vAlign w:val="bottom"/>
          </w:tcPr>
          <w:p>
            <w:pPr>
              <w:ind w:left="480"/>
              <w:spacing w:after="0"/>
              <w:rPr>
                <w:sz w:val="20"/>
                <w:szCs w:val="20"/>
                <w:color w:val="auto"/>
              </w:rPr>
            </w:pPr>
            <w:r>
              <w:rPr>
                <w:rFonts w:ascii="Arial" w:cs="Arial" w:eastAsia="Arial" w:hAnsi="Arial"/>
                <w:sz w:val="16"/>
                <w:szCs w:val="16"/>
                <w:color w:val="auto"/>
              </w:rPr>
              <w:t>India</w:t>
            </w:r>
          </w:p>
        </w:tc>
        <w:tc>
          <w:tcPr>
            <w:tcW w:w="1820" w:type="dxa"/>
            <w:vAlign w:val="bottom"/>
          </w:tcPr>
          <w:p>
            <w:pPr>
              <w:ind w:left="1120"/>
              <w:spacing w:after="0"/>
              <w:rPr>
                <w:sz w:val="20"/>
                <w:szCs w:val="20"/>
                <w:color w:val="auto"/>
              </w:rPr>
            </w:pPr>
            <w:r>
              <w:rPr>
                <w:rFonts w:ascii="Arial" w:cs="Arial" w:eastAsia="Arial" w:hAnsi="Arial"/>
                <w:sz w:val="16"/>
                <w:szCs w:val="16"/>
                <w:color w:val="auto"/>
                <w:w w:val="97"/>
              </w:rPr>
              <w:t>100 % (e)</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(PR) Inc.</w:t>
            </w:r>
          </w:p>
        </w:tc>
        <w:tc>
          <w:tcPr>
            <w:tcW w:w="2720" w:type="dxa"/>
            <w:vAlign w:val="bottom"/>
          </w:tcPr>
          <w:p>
            <w:pPr>
              <w:ind w:left="480"/>
              <w:spacing w:after="0"/>
              <w:rPr>
                <w:sz w:val="20"/>
                <w:szCs w:val="20"/>
                <w:color w:val="auto"/>
              </w:rPr>
            </w:pPr>
            <w:r>
              <w:rPr>
                <w:rFonts w:ascii="Arial" w:cs="Arial" w:eastAsia="Arial" w:hAnsi="Arial"/>
                <w:sz w:val="16"/>
                <w:szCs w:val="16"/>
                <w:color w:val="auto"/>
              </w:rPr>
              <w:t>Puerto Rico</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MG Prep, LLC</w:t>
            </w:r>
          </w:p>
        </w:tc>
        <w:tc>
          <w:tcPr>
            <w:tcW w:w="2720" w:type="dxa"/>
            <w:vAlign w:val="bottom"/>
          </w:tcPr>
          <w:p>
            <w:pPr>
              <w:ind w:left="480"/>
              <w:spacing w:after="0"/>
              <w:rPr>
                <w:sz w:val="20"/>
                <w:szCs w:val="20"/>
                <w:color w:val="auto"/>
              </w:rPr>
            </w:pPr>
            <w:r>
              <w:rPr>
                <w:rFonts w:ascii="Arial" w:cs="Arial" w:eastAsia="Arial" w:hAnsi="Arial"/>
                <w:sz w:val="16"/>
                <w:szCs w:val="16"/>
                <w:color w:val="auto"/>
              </w:rPr>
              <w:t>New York</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K12 Learning Services,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Test Prep International, LLC</w:t>
            </w:r>
          </w:p>
        </w:tc>
        <w:tc>
          <w:tcPr>
            <w:tcW w:w="2720" w:type="dxa"/>
            <w:vAlign w:val="bottom"/>
          </w:tcPr>
          <w:p>
            <w:pPr>
              <w:ind w:left="480"/>
              <w:spacing w:after="0"/>
              <w:rPr>
                <w:sz w:val="20"/>
                <w:szCs w:val="20"/>
                <w:color w:val="auto"/>
              </w:rPr>
            </w:pPr>
            <w:r>
              <w:rPr>
                <w:rFonts w:ascii="Arial" w:cs="Arial" w:eastAsia="Arial" w:hAnsi="Arial"/>
                <w:sz w:val="16"/>
                <w:szCs w:val="16"/>
                <w:color w:val="auto"/>
              </w:rPr>
              <w:t>California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International North America, LLC</w:t>
            </w:r>
          </w:p>
        </w:tc>
        <w:tc>
          <w:tcPr>
            <w:tcW w:w="2720" w:type="dxa"/>
            <w:vAlign w:val="bottom"/>
          </w:tcPr>
          <w:p>
            <w:pPr>
              <w:ind w:left="480"/>
              <w:spacing w:after="0"/>
              <w:rPr>
                <w:sz w:val="20"/>
                <w:szCs w:val="20"/>
                <w:color w:val="auto"/>
              </w:rPr>
            </w:pPr>
            <w:r>
              <w:rPr>
                <w:rFonts w:ascii="Arial" w:cs="Arial" w:eastAsia="Arial" w:hAnsi="Arial"/>
                <w:sz w:val="16"/>
                <w:szCs w:val="16"/>
                <w:color w:val="auto"/>
              </w:rPr>
              <w:t>California</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International Pathways North America, LLC</w:t>
            </w:r>
          </w:p>
        </w:tc>
        <w:tc>
          <w:tcPr>
            <w:tcW w:w="2720" w:type="dxa"/>
            <w:vAlign w:val="bottom"/>
          </w:tcPr>
          <w:p>
            <w:pPr>
              <w:ind w:left="480"/>
              <w:spacing w:after="0"/>
              <w:rPr>
                <w:sz w:val="20"/>
                <w:szCs w:val="20"/>
                <w:color w:val="auto"/>
              </w:rPr>
            </w:pPr>
            <w:r>
              <w:rPr>
                <w:rFonts w:ascii="Arial" w:cs="Arial" w:eastAsia="Arial" w:hAnsi="Arial"/>
                <w:sz w:val="16"/>
                <w:szCs w:val="16"/>
                <w:color w:val="auto"/>
              </w:rPr>
              <w:t>Delaware</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International English (Thailand), Co. Ltd.</w:t>
            </w:r>
          </w:p>
        </w:tc>
        <w:tc>
          <w:tcPr>
            <w:tcW w:w="2720" w:type="dxa"/>
            <w:vAlign w:val="bottom"/>
          </w:tcPr>
          <w:p>
            <w:pPr>
              <w:ind w:left="480"/>
              <w:spacing w:after="0"/>
              <w:rPr>
                <w:sz w:val="20"/>
                <w:szCs w:val="20"/>
                <w:color w:val="auto"/>
              </w:rPr>
            </w:pPr>
            <w:r>
              <w:rPr>
                <w:rFonts w:ascii="Arial" w:cs="Arial" w:eastAsia="Arial" w:hAnsi="Arial"/>
                <w:sz w:val="16"/>
                <w:szCs w:val="16"/>
                <w:color w:val="auto"/>
              </w:rPr>
              <w:t>Thailand</w:t>
            </w:r>
          </w:p>
        </w:tc>
        <w:tc>
          <w:tcPr>
            <w:tcW w:w="1820" w:type="dxa"/>
            <w:vAlign w:val="bottom"/>
          </w:tcPr>
          <w:p>
            <w:pPr>
              <w:jc w:val="right"/>
              <w:spacing w:after="0"/>
              <w:rPr>
                <w:sz w:val="20"/>
                <w:szCs w:val="20"/>
                <w:color w:val="auto"/>
              </w:rPr>
            </w:pPr>
            <w:r>
              <w:rPr>
                <w:rFonts w:ascii="Arial" w:cs="Arial" w:eastAsia="Arial" w:hAnsi="Arial"/>
                <w:sz w:val="16"/>
                <w:szCs w:val="16"/>
                <w:color w:val="auto"/>
              </w:rPr>
              <w:t>99.99 % (f)</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Hands On Consulting Limited</w:t>
            </w:r>
          </w:p>
        </w:tc>
        <w:tc>
          <w:tcPr>
            <w:tcW w:w="2720" w:type="dxa"/>
            <w:vAlign w:val="bottom"/>
          </w:tcPr>
          <w:p>
            <w:pPr>
              <w:ind w:left="48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Hands On Education Consultants Co., Ltd.</w:t>
            </w:r>
          </w:p>
        </w:tc>
        <w:tc>
          <w:tcPr>
            <w:tcW w:w="2720" w:type="dxa"/>
            <w:vAlign w:val="bottom"/>
          </w:tcPr>
          <w:p>
            <w:pPr>
              <w:ind w:left="480"/>
              <w:spacing w:after="0"/>
              <w:rPr>
                <w:sz w:val="20"/>
                <w:szCs w:val="20"/>
                <w:color w:val="auto"/>
              </w:rPr>
            </w:pPr>
            <w:r>
              <w:rPr>
                <w:rFonts w:ascii="Arial" w:cs="Arial" w:eastAsia="Arial" w:hAnsi="Arial"/>
                <w:sz w:val="16"/>
                <w:szCs w:val="16"/>
                <w:color w:val="auto"/>
              </w:rPr>
              <w:t>Thailand</w:t>
            </w:r>
          </w:p>
        </w:tc>
        <w:tc>
          <w:tcPr>
            <w:tcW w:w="1820" w:type="dxa"/>
            <w:vAlign w:val="bottom"/>
          </w:tcPr>
          <w:p>
            <w:pPr>
              <w:ind w:left="1120"/>
              <w:spacing w:after="0"/>
              <w:rPr>
                <w:sz w:val="20"/>
                <w:szCs w:val="20"/>
                <w:color w:val="auto"/>
              </w:rPr>
            </w:pPr>
            <w:r>
              <w:rPr>
                <w:rFonts w:ascii="Arial" w:cs="Arial" w:eastAsia="Arial" w:hAnsi="Arial"/>
                <w:sz w:val="16"/>
                <w:szCs w:val="16"/>
                <w:color w:val="auto"/>
                <w:w w:val="97"/>
              </w:rPr>
              <w:t>100 % (g)</w:t>
            </w:r>
          </w:p>
        </w:tc>
      </w:tr>
      <w:tr>
        <w:trPr>
          <w:trHeight w:val="216"/>
        </w:trPr>
        <w:tc>
          <w:tcPr>
            <w:tcW w:w="6120" w:type="dxa"/>
            <w:vAlign w:val="bottom"/>
          </w:tcPr>
          <w:p>
            <w:pPr>
              <w:ind w:left="240"/>
              <w:spacing w:after="0"/>
              <w:rPr>
                <w:sz w:val="20"/>
                <w:szCs w:val="20"/>
                <w:color w:val="auto"/>
              </w:rPr>
            </w:pPr>
            <w:r>
              <w:rPr>
                <w:rFonts w:ascii="Arial" w:cs="Arial" w:eastAsia="Arial" w:hAnsi="Arial"/>
                <w:sz w:val="16"/>
                <w:szCs w:val="16"/>
                <w:color w:val="auto"/>
              </w:rPr>
              <w:t>Kaplan U.K. Limited</w:t>
            </w:r>
          </w:p>
        </w:tc>
        <w:tc>
          <w:tcPr>
            <w:tcW w:w="2720" w:type="dxa"/>
            <w:vAlign w:val="bottom"/>
          </w:tcPr>
          <w:p>
            <w:pPr>
              <w:ind w:left="480"/>
              <w:spacing w:after="0"/>
              <w:rPr>
                <w:sz w:val="20"/>
                <w:szCs w:val="20"/>
                <w:color w:val="auto"/>
              </w:rPr>
            </w:pPr>
            <w:r>
              <w:rPr>
                <w:rFonts w:ascii="Arial" w:cs="Arial" w:eastAsia="Arial" w:hAnsi="Arial"/>
                <w:sz w:val="16"/>
                <w:szCs w:val="16"/>
                <w:color w:val="auto"/>
              </w:rPr>
              <w:t>England &amp; Wales</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480"/>
              <w:spacing w:after="0"/>
              <w:rPr>
                <w:sz w:val="20"/>
                <w:szCs w:val="20"/>
                <w:color w:val="auto"/>
              </w:rPr>
            </w:pPr>
            <w:r>
              <w:rPr>
                <w:rFonts w:ascii="Arial" w:cs="Arial" w:eastAsia="Arial" w:hAnsi="Arial"/>
                <w:sz w:val="16"/>
                <w:szCs w:val="16"/>
                <w:color w:val="auto"/>
              </w:rPr>
              <w:t>Aspect Education Limited</w:t>
            </w:r>
          </w:p>
        </w:tc>
        <w:tc>
          <w:tcPr>
            <w:tcW w:w="2720" w:type="dxa"/>
            <w:vAlign w:val="bottom"/>
          </w:tcPr>
          <w:p>
            <w:pPr>
              <w:ind w:left="480"/>
              <w:spacing w:after="0"/>
              <w:rPr>
                <w:sz w:val="20"/>
                <w:szCs w:val="20"/>
                <w:color w:val="auto"/>
              </w:rPr>
            </w:pPr>
            <w:r>
              <w:rPr>
                <w:rFonts w:ascii="Arial" w:cs="Arial" w:eastAsia="Arial" w:hAnsi="Arial"/>
                <w:sz w:val="16"/>
                <w:szCs w:val="16"/>
                <w:color w:val="auto"/>
              </w:rPr>
              <w:t>England &amp; Wales</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6120" w:type="dxa"/>
            <w:vAlign w:val="bottom"/>
          </w:tcPr>
          <w:p>
            <w:pPr>
              <w:ind w:left="700"/>
              <w:spacing w:after="0"/>
              <w:rPr>
                <w:sz w:val="20"/>
                <w:szCs w:val="20"/>
                <w:color w:val="auto"/>
              </w:rPr>
            </w:pPr>
            <w:r>
              <w:rPr>
                <w:rFonts w:ascii="Arial" w:cs="Arial" w:eastAsia="Arial" w:hAnsi="Arial"/>
                <w:sz w:val="16"/>
                <w:szCs w:val="16"/>
                <w:color w:val="auto"/>
              </w:rPr>
              <w:t>Kaplan Japan K.K.</w:t>
            </w:r>
          </w:p>
        </w:tc>
        <w:tc>
          <w:tcPr>
            <w:tcW w:w="2720" w:type="dxa"/>
            <w:vAlign w:val="bottom"/>
          </w:tcPr>
          <w:p>
            <w:pPr>
              <w:ind w:left="480"/>
              <w:spacing w:after="0"/>
              <w:rPr>
                <w:sz w:val="20"/>
                <w:szCs w:val="20"/>
                <w:color w:val="auto"/>
              </w:rPr>
            </w:pPr>
            <w:r>
              <w:rPr>
                <w:rFonts w:ascii="Arial" w:cs="Arial" w:eastAsia="Arial" w:hAnsi="Arial"/>
                <w:sz w:val="16"/>
                <w:szCs w:val="16"/>
                <w:color w:val="auto"/>
              </w:rPr>
              <w:t>Japan</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9"/>
        </w:trPr>
        <w:tc>
          <w:tcPr>
            <w:tcW w:w="6120" w:type="dxa"/>
            <w:vAlign w:val="bottom"/>
          </w:tcPr>
          <w:p>
            <w:pPr>
              <w:ind w:left="700"/>
              <w:spacing w:after="0"/>
              <w:rPr>
                <w:sz w:val="20"/>
                <w:szCs w:val="20"/>
                <w:color w:val="auto"/>
              </w:rPr>
            </w:pPr>
            <w:r>
              <w:rPr>
                <w:rFonts w:ascii="Arial" w:cs="Arial" w:eastAsia="Arial" w:hAnsi="Arial"/>
                <w:sz w:val="16"/>
                <w:szCs w:val="16"/>
                <w:color w:val="auto"/>
              </w:rPr>
              <w:t>Education Tower Ltd.</w:t>
            </w:r>
          </w:p>
        </w:tc>
        <w:tc>
          <w:tcPr>
            <w:tcW w:w="2720" w:type="dxa"/>
            <w:vAlign w:val="bottom"/>
          </w:tcPr>
          <w:p>
            <w:pPr>
              <w:ind w:left="48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ind w:right="159"/>
              <w:spacing w:after="0"/>
              <w:rPr>
                <w:sz w:val="20"/>
                <w:szCs w:val="20"/>
                <w:color w:val="auto"/>
              </w:rPr>
            </w:pPr>
            <w:r>
              <w:rPr>
                <w:rFonts w:ascii="Arial" w:cs="Arial" w:eastAsia="Arial" w:hAnsi="Arial"/>
                <w:sz w:val="16"/>
                <w:szCs w:val="16"/>
                <w:color w:val="auto"/>
              </w:rPr>
              <w:t>100 %</w:t>
            </w:r>
          </w:p>
        </w:tc>
      </w:tr>
    </w:tbl>
    <w:p>
      <w:pPr>
        <w:sectPr>
          <w:pgSz w:w="11900" w:h="16838" w:orient="portrait"/>
          <w:cols w:equalWidth="0" w:num="1">
            <w:col w:w="10660"/>
          </w:cols>
          <w:pgMar w:left="380" w:top="1093" w:right="85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ind w:left="460"/>
              <w:spacing w:after="0"/>
              <w:rPr>
                <w:sz w:val="20"/>
                <w:szCs w:val="20"/>
                <w:color w:val="auto"/>
              </w:rPr>
            </w:pPr>
            <w:r>
              <w:rPr>
                <w:rFonts w:ascii="Arial" w:cs="Arial" w:eastAsia="Arial" w:hAnsi="Arial"/>
                <w:sz w:val="16"/>
                <w:szCs w:val="16"/>
                <w:color w:val="auto"/>
              </w:rPr>
              <w:t>BEO KK</w:t>
            </w:r>
          </w:p>
        </w:tc>
        <w:tc>
          <w:tcPr>
            <w:tcW w:w="3000" w:type="dxa"/>
            <w:vAlign w:val="bottom"/>
          </w:tcPr>
          <w:p>
            <w:pPr>
              <w:ind w:left="700"/>
              <w:spacing w:after="0"/>
              <w:rPr>
                <w:sz w:val="20"/>
                <w:szCs w:val="20"/>
                <w:color w:val="auto"/>
              </w:rPr>
            </w:pPr>
            <w:r>
              <w:rPr>
                <w:rFonts w:ascii="Arial" w:cs="Arial" w:eastAsia="Arial" w:hAnsi="Arial"/>
                <w:sz w:val="16"/>
                <w:szCs w:val="16"/>
                <w:color w:val="auto"/>
              </w:rPr>
              <w:t>Japan</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(Beijing) Education Information Consulting Co. Ltd.</w:t>
            </w:r>
          </w:p>
        </w:tc>
        <w:tc>
          <w:tcPr>
            <w:tcW w:w="3000" w:type="dxa"/>
            <w:vAlign w:val="bottom"/>
          </w:tcPr>
          <w:p>
            <w:pPr>
              <w:ind w:left="700"/>
              <w:spacing w:after="0"/>
              <w:rPr>
                <w:sz w:val="20"/>
                <w:szCs w:val="20"/>
                <w:color w:val="auto"/>
              </w:rPr>
            </w:pPr>
            <w:r>
              <w:rPr>
                <w:rFonts w:ascii="Arial" w:cs="Arial" w:eastAsia="Arial" w:hAnsi="Arial"/>
                <w:sz w:val="16"/>
                <w:szCs w:val="16"/>
                <w:color w:val="auto"/>
              </w:rPr>
              <w:t>China (PR)</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Pacific Language Institute, Inc.</w:t>
            </w:r>
          </w:p>
        </w:tc>
        <w:tc>
          <w:tcPr>
            <w:tcW w:w="3000" w:type="dxa"/>
            <w:vAlign w:val="bottom"/>
          </w:tcPr>
          <w:p>
            <w:pPr>
              <w:ind w:left="700"/>
              <w:spacing w:after="0"/>
              <w:rPr>
                <w:sz w:val="20"/>
                <w:szCs w:val="20"/>
                <w:color w:val="auto"/>
              </w:rPr>
            </w:pPr>
            <w:r>
              <w:rPr>
                <w:rFonts w:ascii="Arial" w:cs="Arial" w:eastAsia="Arial" w:hAnsi="Arial"/>
                <w:sz w:val="16"/>
                <w:szCs w:val="16"/>
                <w:color w:val="auto"/>
              </w:rPr>
              <w:t>British Columbia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Education UK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Educational Services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International Language Academies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460"/>
              <w:spacing w:after="0"/>
              <w:rPr>
                <w:sz w:val="20"/>
                <w:szCs w:val="20"/>
                <w:color w:val="auto"/>
              </w:rPr>
            </w:pPr>
            <w:r>
              <w:rPr>
                <w:rFonts w:ascii="Arial" w:cs="Arial" w:eastAsia="Arial" w:hAnsi="Arial"/>
                <w:sz w:val="16"/>
                <w:szCs w:val="16"/>
                <w:color w:val="auto"/>
              </w:rPr>
              <w:t>Anglo World Travel SA</w:t>
            </w:r>
          </w:p>
        </w:tc>
        <w:tc>
          <w:tcPr>
            <w:tcW w:w="3000" w:type="dxa"/>
            <w:vAlign w:val="bottom"/>
          </w:tcPr>
          <w:p>
            <w:pPr>
              <w:ind w:left="700"/>
              <w:spacing w:after="0"/>
              <w:rPr>
                <w:sz w:val="20"/>
                <w:szCs w:val="20"/>
                <w:color w:val="auto"/>
              </w:rPr>
            </w:pPr>
            <w:r>
              <w:rPr>
                <w:rFonts w:ascii="Arial" w:cs="Arial" w:eastAsia="Arial" w:hAnsi="Arial"/>
                <w:sz w:val="16"/>
                <w:szCs w:val="16"/>
                <w:color w:val="auto"/>
              </w:rPr>
              <w:t>Switzerland</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680"/>
              <w:spacing w:after="0"/>
              <w:rPr>
                <w:sz w:val="20"/>
                <w:szCs w:val="20"/>
                <w:color w:val="auto"/>
              </w:rPr>
            </w:pPr>
            <w:r>
              <w:rPr>
                <w:rFonts w:ascii="Arial" w:cs="Arial" w:eastAsia="Arial" w:hAnsi="Arial"/>
                <w:sz w:val="16"/>
                <w:szCs w:val="16"/>
                <w:color w:val="auto"/>
              </w:rPr>
              <w:t>Anglo-World Group Ltd.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920"/>
              <w:spacing w:after="0"/>
              <w:rPr>
                <w:sz w:val="20"/>
                <w:szCs w:val="20"/>
                <w:color w:val="auto"/>
              </w:rPr>
            </w:pPr>
            <w:r>
              <w:rPr>
                <w:rFonts w:ascii="Arial" w:cs="Arial" w:eastAsia="Arial" w:hAnsi="Arial"/>
                <w:sz w:val="16"/>
                <w:szCs w:val="16"/>
                <w:color w:val="auto"/>
              </w:rPr>
              <w:t>Anglo-World Education Ltd.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International Language Schools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Ireland</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Language Schools Limitada</w:t>
            </w:r>
          </w:p>
        </w:tc>
        <w:tc>
          <w:tcPr>
            <w:tcW w:w="3000" w:type="dxa"/>
            <w:vAlign w:val="bottom"/>
          </w:tcPr>
          <w:p>
            <w:pPr>
              <w:ind w:left="700"/>
              <w:spacing w:after="0"/>
              <w:rPr>
                <w:sz w:val="20"/>
                <w:szCs w:val="20"/>
                <w:color w:val="auto"/>
              </w:rPr>
            </w:pPr>
            <w:r>
              <w:rPr>
                <w:rFonts w:ascii="Arial" w:cs="Arial" w:eastAsia="Arial" w:hAnsi="Arial"/>
                <w:sz w:val="16"/>
                <w:szCs w:val="16"/>
                <w:color w:val="auto"/>
              </w:rPr>
              <w:t>Colombia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Language Schools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Switzerland</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S.A.R.L. France</w:t>
            </w:r>
          </w:p>
        </w:tc>
        <w:tc>
          <w:tcPr>
            <w:tcW w:w="3000" w:type="dxa"/>
            <w:vAlign w:val="bottom"/>
          </w:tcPr>
          <w:p>
            <w:pPr>
              <w:ind w:left="700"/>
              <w:spacing w:after="0"/>
              <w:rPr>
                <w:sz w:val="20"/>
                <w:szCs w:val="20"/>
                <w:color w:val="auto"/>
              </w:rPr>
            </w:pPr>
            <w:r>
              <w:rPr>
                <w:rFonts w:ascii="Arial" w:cs="Arial" w:eastAsia="Arial" w:hAnsi="Arial"/>
                <w:sz w:val="16"/>
                <w:szCs w:val="16"/>
                <w:color w:val="auto"/>
              </w:rPr>
              <w:t>France</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Aspect Education (Hong Kong)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Hong Kong</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Kaplan International Colleges, C.A.</w:t>
            </w:r>
          </w:p>
        </w:tc>
        <w:tc>
          <w:tcPr>
            <w:tcW w:w="3000" w:type="dxa"/>
            <w:vAlign w:val="bottom"/>
          </w:tcPr>
          <w:p>
            <w:pPr>
              <w:ind w:left="700"/>
              <w:spacing w:after="0"/>
              <w:rPr>
                <w:sz w:val="20"/>
                <w:szCs w:val="20"/>
                <w:color w:val="auto"/>
              </w:rPr>
            </w:pPr>
            <w:r>
              <w:rPr>
                <w:rFonts w:ascii="Arial" w:cs="Arial" w:eastAsia="Arial" w:hAnsi="Arial"/>
                <w:sz w:val="16"/>
                <w:szCs w:val="16"/>
                <w:color w:val="auto"/>
              </w:rPr>
              <w:t>Venezuela</w:t>
            </w:r>
          </w:p>
        </w:tc>
        <w:tc>
          <w:tcPr>
            <w:tcW w:w="1760" w:type="dxa"/>
            <w:vAlign w:val="bottom"/>
          </w:tcPr>
          <w:p>
            <w:pPr>
              <w:ind w:left="1060"/>
              <w:spacing w:after="0"/>
              <w:rPr>
                <w:sz w:val="20"/>
                <w:szCs w:val="20"/>
                <w:color w:val="auto"/>
              </w:rPr>
            </w:pPr>
            <w:r>
              <w:rPr>
                <w:rFonts w:ascii="Arial" w:cs="Arial" w:eastAsia="Arial" w:hAnsi="Arial"/>
                <w:sz w:val="16"/>
                <w:szCs w:val="16"/>
                <w:color w:val="auto"/>
                <w:w w:val="97"/>
              </w:rPr>
              <w:t>100 % (h)</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Kaplan International Operations Mexico, S.A. de C.V.</w:t>
            </w:r>
          </w:p>
        </w:tc>
        <w:tc>
          <w:tcPr>
            <w:tcW w:w="3000" w:type="dxa"/>
            <w:vAlign w:val="bottom"/>
          </w:tcPr>
          <w:p>
            <w:pPr>
              <w:ind w:left="700"/>
              <w:spacing w:after="0"/>
              <w:rPr>
                <w:sz w:val="20"/>
                <w:szCs w:val="20"/>
                <w:color w:val="auto"/>
              </w:rPr>
            </w:pPr>
            <w:r>
              <w:rPr>
                <w:rFonts w:ascii="Arial" w:cs="Arial" w:eastAsia="Arial" w:hAnsi="Arial"/>
                <w:sz w:val="16"/>
                <w:szCs w:val="16"/>
                <w:color w:val="auto"/>
              </w:rPr>
              <w:t>Mexico</w:t>
            </w:r>
          </w:p>
        </w:tc>
        <w:tc>
          <w:tcPr>
            <w:tcW w:w="1760" w:type="dxa"/>
            <w:vAlign w:val="bottom"/>
          </w:tcPr>
          <w:p>
            <w:pPr>
              <w:ind w:left="1060"/>
              <w:spacing w:after="0"/>
              <w:rPr>
                <w:sz w:val="20"/>
                <w:szCs w:val="20"/>
                <w:color w:val="auto"/>
              </w:rPr>
            </w:pPr>
            <w:r>
              <w:rPr>
                <w:rFonts w:ascii="Arial" w:cs="Arial" w:eastAsia="Arial" w:hAnsi="Arial"/>
                <w:sz w:val="16"/>
                <w:szCs w:val="16"/>
                <w:color w:val="auto"/>
              </w:rPr>
              <w:t>100 % (i)</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KI HR Services Mexico, S.A. de C.V.</w:t>
            </w:r>
          </w:p>
        </w:tc>
        <w:tc>
          <w:tcPr>
            <w:tcW w:w="3000" w:type="dxa"/>
            <w:vAlign w:val="bottom"/>
          </w:tcPr>
          <w:p>
            <w:pPr>
              <w:ind w:left="700"/>
              <w:spacing w:after="0"/>
              <w:rPr>
                <w:sz w:val="20"/>
                <w:szCs w:val="20"/>
                <w:color w:val="auto"/>
              </w:rPr>
            </w:pPr>
            <w:r>
              <w:rPr>
                <w:rFonts w:ascii="Arial" w:cs="Arial" w:eastAsia="Arial" w:hAnsi="Arial"/>
                <w:sz w:val="16"/>
                <w:szCs w:val="16"/>
                <w:color w:val="auto"/>
              </w:rPr>
              <w:t>Mexico</w:t>
            </w:r>
          </w:p>
        </w:tc>
        <w:tc>
          <w:tcPr>
            <w:tcW w:w="1760" w:type="dxa"/>
            <w:vAlign w:val="bottom"/>
          </w:tcPr>
          <w:p>
            <w:pPr>
              <w:ind w:left="1060"/>
              <w:spacing w:after="0"/>
              <w:rPr>
                <w:sz w:val="20"/>
                <w:szCs w:val="20"/>
                <w:color w:val="auto"/>
              </w:rPr>
            </w:pPr>
            <w:r>
              <w:rPr>
                <w:rFonts w:ascii="Arial" w:cs="Arial" w:eastAsia="Arial" w:hAnsi="Arial"/>
                <w:sz w:val="16"/>
                <w:szCs w:val="16"/>
                <w:color w:val="auto"/>
              </w:rPr>
              <w:t>100 % (j)</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West of England Language Services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460"/>
              <w:spacing w:after="0"/>
              <w:rPr>
                <w:sz w:val="20"/>
                <w:szCs w:val="20"/>
                <w:color w:val="auto"/>
              </w:rPr>
            </w:pPr>
            <w:r>
              <w:rPr>
                <w:rFonts w:ascii="Arial" w:cs="Arial" w:eastAsia="Arial" w:hAnsi="Arial"/>
                <w:sz w:val="16"/>
                <w:szCs w:val="16"/>
                <w:color w:val="auto"/>
              </w:rPr>
              <w:t>The Salisbury School of English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spacing w:after="0"/>
              <w:rPr>
                <w:sz w:val="20"/>
                <w:szCs w:val="20"/>
                <w:color w:val="auto"/>
              </w:rPr>
            </w:pPr>
            <w:r>
              <w:rPr>
                <w:rFonts w:ascii="Arial" w:cs="Arial" w:eastAsia="Arial" w:hAnsi="Arial"/>
                <w:sz w:val="16"/>
                <w:szCs w:val="16"/>
                <w:color w:val="auto"/>
              </w:rPr>
              <w:t>Kaplan International Investments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spacing w:after="0"/>
              <w:rPr>
                <w:sz w:val="20"/>
                <w:szCs w:val="20"/>
                <w:color w:val="auto"/>
              </w:rPr>
            </w:pPr>
            <w:r>
              <w:rPr>
                <w:rFonts w:ascii="Arial" w:cs="Arial" w:eastAsia="Arial" w:hAnsi="Arial"/>
                <w:sz w:val="16"/>
                <w:szCs w:val="16"/>
                <w:color w:val="auto"/>
              </w:rPr>
              <w:t>BridgeU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Bridge-U Hong Kong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Hong Kong</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w:t>
            </w:r>
          </w:p>
        </w:tc>
      </w:tr>
      <w:tr>
        <w:trPr>
          <w:trHeight w:val="216"/>
        </w:trPr>
        <w:tc>
          <w:tcPr>
            <w:tcW w:w="5420" w:type="dxa"/>
            <w:vAlign w:val="bottom"/>
          </w:tcPr>
          <w:p>
            <w:pPr>
              <w:spacing w:after="0"/>
              <w:rPr>
                <w:sz w:val="20"/>
                <w:szCs w:val="20"/>
                <w:color w:val="auto"/>
              </w:rPr>
            </w:pPr>
            <w:r>
              <w:rPr>
                <w:rFonts w:ascii="Arial" w:cs="Arial" w:eastAsia="Arial" w:hAnsi="Arial"/>
                <w:sz w:val="16"/>
                <w:szCs w:val="16"/>
                <w:color w:val="auto"/>
              </w:rPr>
              <w:t>Kaplan Test Prep and Admissions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spacing w:after="0"/>
              <w:rPr>
                <w:sz w:val="20"/>
                <w:szCs w:val="20"/>
                <w:color w:val="auto"/>
              </w:rPr>
            </w:pPr>
            <w:r>
              <w:rPr>
                <w:rFonts w:ascii="Arial" w:cs="Arial" w:eastAsia="Arial" w:hAnsi="Arial"/>
                <w:sz w:val="16"/>
                <w:szCs w:val="16"/>
                <w:color w:val="auto"/>
              </w:rPr>
              <w:t>Manhattan GMAT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spacing w:after="0"/>
              <w:rPr>
                <w:sz w:val="20"/>
                <w:szCs w:val="20"/>
                <w:color w:val="auto"/>
              </w:rPr>
            </w:pPr>
            <w:r>
              <w:rPr>
                <w:rFonts w:ascii="Arial" w:cs="Arial" w:eastAsia="Arial" w:hAnsi="Arial"/>
                <w:sz w:val="16"/>
                <w:szCs w:val="16"/>
                <w:color w:val="auto"/>
              </w:rPr>
              <w:t>Heverald Groupe S.A.</w:t>
            </w:r>
          </w:p>
        </w:tc>
        <w:tc>
          <w:tcPr>
            <w:tcW w:w="3000" w:type="dxa"/>
            <w:vAlign w:val="bottom"/>
          </w:tcPr>
          <w:p>
            <w:pPr>
              <w:ind w:left="700"/>
              <w:spacing w:after="0"/>
              <w:rPr>
                <w:sz w:val="20"/>
                <w:szCs w:val="20"/>
                <w:color w:val="auto"/>
              </w:rPr>
            </w:pPr>
            <w:r>
              <w:rPr>
                <w:rFonts w:ascii="Arial" w:cs="Arial" w:eastAsia="Arial" w:hAnsi="Arial"/>
                <w:sz w:val="16"/>
                <w:szCs w:val="16"/>
                <w:color w:val="auto"/>
              </w:rPr>
              <w:t>Switzerland</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Alpadia Freiburg</w:t>
            </w:r>
          </w:p>
        </w:tc>
        <w:tc>
          <w:tcPr>
            <w:tcW w:w="3000" w:type="dxa"/>
            <w:vAlign w:val="bottom"/>
          </w:tcPr>
          <w:p>
            <w:pPr>
              <w:ind w:left="700"/>
              <w:spacing w:after="0"/>
              <w:rPr>
                <w:sz w:val="20"/>
                <w:szCs w:val="20"/>
                <w:color w:val="auto"/>
              </w:rPr>
            </w:pPr>
            <w:r>
              <w:rPr>
                <w:rFonts w:ascii="Arial" w:cs="Arial" w:eastAsia="Arial" w:hAnsi="Arial"/>
                <w:sz w:val="16"/>
                <w:szCs w:val="16"/>
                <w:color w:val="auto"/>
              </w:rPr>
              <w:t>Germany</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Agencia Suiza para la Educación Internacional Corp.</w:t>
            </w:r>
          </w:p>
        </w:tc>
        <w:tc>
          <w:tcPr>
            <w:tcW w:w="3000" w:type="dxa"/>
            <w:vAlign w:val="bottom"/>
          </w:tcPr>
          <w:p>
            <w:pPr>
              <w:ind w:left="700"/>
              <w:spacing w:after="0"/>
              <w:rPr>
                <w:sz w:val="20"/>
                <w:szCs w:val="20"/>
                <w:color w:val="auto"/>
              </w:rPr>
            </w:pPr>
            <w:r>
              <w:rPr>
                <w:rFonts w:ascii="Arial" w:cs="Arial" w:eastAsia="Arial" w:hAnsi="Arial"/>
                <w:sz w:val="16"/>
                <w:szCs w:val="16"/>
                <w:color w:val="auto"/>
              </w:rPr>
              <w:t>Panama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Taalreisen BV</w:t>
            </w:r>
          </w:p>
        </w:tc>
        <w:tc>
          <w:tcPr>
            <w:tcW w:w="3000" w:type="dxa"/>
            <w:vAlign w:val="bottom"/>
          </w:tcPr>
          <w:p>
            <w:pPr>
              <w:ind w:left="700"/>
              <w:spacing w:after="0"/>
              <w:rPr>
                <w:sz w:val="20"/>
                <w:szCs w:val="20"/>
                <w:color w:val="auto"/>
              </w:rPr>
            </w:pPr>
            <w:r>
              <w:rPr>
                <w:rFonts w:ascii="Arial" w:cs="Arial" w:eastAsia="Arial" w:hAnsi="Arial"/>
                <w:sz w:val="16"/>
                <w:szCs w:val="16"/>
                <w:color w:val="auto"/>
              </w:rPr>
              <w:t>Netherlands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Estudios Internacionales S.A.S</w:t>
            </w:r>
          </w:p>
        </w:tc>
        <w:tc>
          <w:tcPr>
            <w:tcW w:w="3000" w:type="dxa"/>
            <w:vAlign w:val="bottom"/>
          </w:tcPr>
          <w:p>
            <w:pPr>
              <w:ind w:left="700"/>
              <w:spacing w:after="0"/>
              <w:rPr>
                <w:sz w:val="20"/>
                <w:szCs w:val="20"/>
                <w:color w:val="auto"/>
              </w:rPr>
            </w:pPr>
            <w:r>
              <w:rPr>
                <w:rFonts w:ascii="Arial" w:cs="Arial" w:eastAsia="Arial" w:hAnsi="Arial"/>
                <w:sz w:val="16"/>
                <w:szCs w:val="16"/>
                <w:color w:val="auto"/>
              </w:rPr>
              <w:t>Colombia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Alpdia S.A.</w:t>
            </w:r>
          </w:p>
        </w:tc>
        <w:tc>
          <w:tcPr>
            <w:tcW w:w="3000" w:type="dxa"/>
            <w:vAlign w:val="bottom"/>
          </w:tcPr>
          <w:p>
            <w:pPr>
              <w:ind w:left="700"/>
              <w:spacing w:after="0"/>
              <w:rPr>
                <w:sz w:val="20"/>
                <w:szCs w:val="20"/>
                <w:color w:val="auto"/>
              </w:rPr>
            </w:pPr>
            <w:r>
              <w:rPr>
                <w:rFonts w:ascii="Arial" w:cs="Arial" w:eastAsia="Arial" w:hAnsi="Arial"/>
                <w:sz w:val="16"/>
                <w:szCs w:val="16"/>
                <w:color w:val="auto"/>
              </w:rPr>
              <w:t>France</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Alpadia Sarl</w:t>
            </w:r>
          </w:p>
        </w:tc>
        <w:tc>
          <w:tcPr>
            <w:tcW w:w="3000" w:type="dxa"/>
            <w:vAlign w:val="bottom"/>
          </w:tcPr>
          <w:p>
            <w:pPr>
              <w:ind w:left="700"/>
              <w:spacing w:after="0"/>
              <w:rPr>
                <w:sz w:val="20"/>
                <w:szCs w:val="20"/>
                <w:color w:val="auto"/>
              </w:rPr>
            </w:pPr>
            <w:r>
              <w:rPr>
                <w:rFonts w:ascii="Arial" w:cs="Arial" w:eastAsia="Arial" w:hAnsi="Arial"/>
                <w:sz w:val="16"/>
                <w:szCs w:val="16"/>
                <w:color w:val="auto"/>
              </w:rPr>
              <w:t>France</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Alpadia Berlin GmbH</w:t>
            </w:r>
          </w:p>
        </w:tc>
        <w:tc>
          <w:tcPr>
            <w:tcW w:w="3000" w:type="dxa"/>
            <w:vAlign w:val="bottom"/>
          </w:tcPr>
          <w:p>
            <w:pPr>
              <w:ind w:left="700"/>
              <w:spacing w:after="0"/>
              <w:rPr>
                <w:sz w:val="20"/>
                <w:szCs w:val="20"/>
                <w:color w:val="auto"/>
              </w:rPr>
            </w:pPr>
            <w:r>
              <w:rPr>
                <w:rFonts w:ascii="Arial" w:cs="Arial" w:eastAsia="Arial" w:hAnsi="Arial"/>
                <w:sz w:val="16"/>
                <w:szCs w:val="16"/>
                <w:color w:val="auto"/>
              </w:rPr>
              <w:t>Germany</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Nordic AB</w:t>
            </w:r>
          </w:p>
        </w:tc>
        <w:tc>
          <w:tcPr>
            <w:tcW w:w="3000" w:type="dxa"/>
            <w:vAlign w:val="bottom"/>
          </w:tcPr>
          <w:p>
            <w:pPr>
              <w:ind w:left="700"/>
              <w:spacing w:after="0"/>
              <w:rPr>
                <w:sz w:val="20"/>
                <w:szCs w:val="20"/>
                <w:color w:val="auto"/>
              </w:rPr>
            </w:pPr>
            <w:r>
              <w:rPr>
                <w:rFonts w:ascii="Arial" w:cs="Arial" w:eastAsia="Arial" w:hAnsi="Arial"/>
                <w:sz w:val="16"/>
                <w:szCs w:val="16"/>
                <w:color w:val="auto"/>
              </w:rPr>
              <w:t>Sweden</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Education S.A.S.</w:t>
            </w:r>
          </w:p>
        </w:tc>
        <w:tc>
          <w:tcPr>
            <w:tcW w:w="3000" w:type="dxa"/>
            <w:vAlign w:val="bottom"/>
          </w:tcPr>
          <w:p>
            <w:pPr>
              <w:ind w:left="700"/>
              <w:spacing w:after="0"/>
              <w:rPr>
                <w:sz w:val="20"/>
                <w:szCs w:val="20"/>
                <w:color w:val="auto"/>
              </w:rPr>
            </w:pPr>
            <w:r>
              <w:rPr>
                <w:rFonts w:ascii="Arial" w:cs="Arial" w:eastAsia="Arial" w:hAnsi="Arial"/>
                <w:sz w:val="16"/>
                <w:szCs w:val="16"/>
                <w:color w:val="auto"/>
              </w:rPr>
              <w:t>France</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Education Belgique sprl</w:t>
            </w:r>
          </w:p>
        </w:tc>
        <w:tc>
          <w:tcPr>
            <w:tcW w:w="3000" w:type="dxa"/>
            <w:vAlign w:val="bottom"/>
          </w:tcPr>
          <w:p>
            <w:pPr>
              <w:ind w:left="700"/>
              <w:spacing w:after="0"/>
              <w:rPr>
                <w:sz w:val="20"/>
                <w:szCs w:val="20"/>
                <w:color w:val="auto"/>
              </w:rPr>
            </w:pPr>
            <w:r>
              <w:rPr>
                <w:rFonts w:ascii="Arial" w:cs="Arial" w:eastAsia="Arial" w:hAnsi="Arial"/>
                <w:sz w:val="16"/>
                <w:szCs w:val="16"/>
                <w:color w:val="auto"/>
              </w:rPr>
              <w:t>Belgium</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Education Italia S.R.L.</w:t>
            </w:r>
          </w:p>
        </w:tc>
        <w:tc>
          <w:tcPr>
            <w:tcW w:w="3000" w:type="dxa"/>
            <w:vAlign w:val="bottom"/>
          </w:tcPr>
          <w:p>
            <w:pPr>
              <w:ind w:left="700"/>
              <w:spacing w:after="0"/>
              <w:rPr>
                <w:sz w:val="20"/>
                <w:szCs w:val="20"/>
                <w:color w:val="auto"/>
              </w:rPr>
            </w:pPr>
            <w:r>
              <w:rPr>
                <w:rFonts w:ascii="Arial" w:cs="Arial" w:eastAsia="Arial" w:hAnsi="Arial"/>
                <w:sz w:val="16"/>
                <w:szCs w:val="16"/>
                <w:color w:val="auto"/>
              </w:rPr>
              <w:t>Italy</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Alpadia UK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Education GmbH ÖSTERREICH</w:t>
            </w:r>
          </w:p>
        </w:tc>
        <w:tc>
          <w:tcPr>
            <w:tcW w:w="3000" w:type="dxa"/>
            <w:vAlign w:val="bottom"/>
          </w:tcPr>
          <w:p>
            <w:pPr>
              <w:ind w:left="700"/>
              <w:spacing w:after="0"/>
              <w:rPr>
                <w:sz w:val="20"/>
                <w:szCs w:val="20"/>
                <w:color w:val="auto"/>
              </w:rPr>
            </w:pPr>
            <w:r>
              <w:rPr>
                <w:rFonts w:ascii="Arial" w:cs="Arial" w:eastAsia="Arial" w:hAnsi="Arial"/>
                <w:sz w:val="16"/>
                <w:szCs w:val="16"/>
                <w:color w:val="auto"/>
              </w:rPr>
              <w:t>Austria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Education S.A.</w:t>
            </w:r>
          </w:p>
        </w:tc>
        <w:tc>
          <w:tcPr>
            <w:tcW w:w="3000" w:type="dxa"/>
            <w:vAlign w:val="bottom"/>
          </w:tcPr>
          <w:p>
            <w:pPr>
              <w:ind w:left="700"/>
              <w:spacing w:after="0"/>
              <w:rPr>
                <w:sz w:val="20"/>
                <w:szCs w:val="20"/>
                <w:color w:val="auto"/>
              </w:rPr>
            </w:pPr>
            <w:r>
              <w:rPr>
                <w:rFonts w:ascii="Arial" w:cs="Arial" w:eastAsia="Arial" w:hAnsi="Arial"/>
                <w:sz w:val="16"/>
                <w:szCs w:val="16"/>
                <w:color w:val="auto"/>
              </w:rPr>
              <w:t>Switzerland</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Alpadia Education SL</w:t>
            </w:r>
          </w:p>
        </w:tc>
        <w:tc>
          <w:tcPr>
            <w:tcW w:w="3000" w:type="dxa"/>
            <w:vAlign w:val="bottom"/>
          </w:tcPr>
          <w:p>
            <w:pPr>
              <w:ind w:left="700"/>
              <w:spacing w:after="0"/>
              <w:rPr>
                <w:sz w:val="20"/>
                <w:szCs w:val="20"/>
                <w:color w:val="auto"/>
              </w:rPr>
            </w:pPr>
            <w:r>
              <w:rPr>
                <w:rFonts w:ascii="Arial" w:cs="Arial" w:eastAsia="Arial" w:hAnsi="Arial"/>
                <w:sz w:val="16"/>
                <w:szCs w:val="16"/>
                <w:color w:val="auto"/>
              </w:rPr>
              <w:t>Spain</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Educación España S.L</w:t>
            </w:r>
          </w:p>
        </w:tc>
        <w:tc>
          <w:tcPr>
            <w:tcW w:w="3000" w:type="dxa"/>
            <w:vAlign w:val="bottom"/>
          </w:tcPr>
          <w:p>
            <w:pPr>
              <w:ind w:left="700"/>
              <w:spacing w:after="0"/>
              <w:rPr>
                <w:sz w:val="20"/>
                <w:szCs w:val="20"/>
                <w:color w:val="auto"/>
              </w:rPr>
            </w:pPr>
            <w:r>
              <w:rPr>
                <w:rFonts w:ascii="Arial" w:cs="Arial" w:eastAsia="Arial" w:hAnsi="Arial"/>
                <w:sz w:val="16"/>
                <w:szCs w:val="16"/>
                <w:color w:val="auto"/>
              </w:rPr>
              <w:t>Spain</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Education GmbH Deutschland</w:t>
            </w:r>
          </w:p>
        </w:tc>
        <w:tc>
          <w:tcPr>
            <w:tcW w:w="3000" w:type="dxa"/>
            <w:vAlign w:val="bottom"/>
          </w:tcPr>
          <w:p>
            <w:pPr>
              <w:ind w:left="700"/>
              <w:spacing w:after="0"/>
              <w:rPr>
                <w:sz w:val="20"/>
                <w:szCs w:val="20"/>
                <w:color w:val="auto"/>
              </w:rPr>
            </w:pPr>
            <w:r>
              <w:rPr>
                <w:rFonts w:ascii="Arial" w:cs="Arial" w:eastAsia="Arial" w:hAnsi="Arial"/>
                <w:sz w:val="16"/>
                <w:szCs w:val="16"/>
                <w:color w:val="auto"/>
              </w:rPr>
              <w:t>Germany</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Services IT S.R.L</w:t>
            </w:r>
          </w:p>
        </w:tc>
        <w:tc>
          <w:tcPr>
            <w:tcW w:w="3000" w:type="dxa"/>
            <w:vAlign w:val="bottom"/>
          </w:tcPr>
          <w:p>
            <w:pPr>
              <w:ind w:left="700"/>
              <w:spacing w:after="0"/>
              <w:rPr>
                <w:sz w:val="20"/>
                <w:szCs w:val="20"/>
                <w:color w:val="auto"/>
              </w:rPr>
            </w:pPr>
            <w:r>
              <w:rPr>
                <w:rFonts w:ascii="Arial" w:cs="Arial" w:eastAsia="Arial" w:hAnsi="Arial"/>
                <w:sz w:val="16"/>
                <w:szCs w:val="16"/>
                <w:color w:val="auto"/>
              </w:rPr>
              <w:t>Italy</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ESL Services SP S.L</w:t>
            </w:r>
          </w:p>
        </w:tc>
        <w:tc>
          <w:tcPr>
            <w:tcW w:w="3000" w:type="dxa"/>
            <w:vAlign w:val="bottom"/>
          </w:tcPr>
          <w:p>
            <w:pPr>
              <w:ind w:left="700"/>
              <w:spacing w:after="0"/>
              <w:rPr>
                <w:sz w:val="20"/>
                <w:szCs w:val="20"/>
                <w:color w:val="auto"/>
              </w:rPr>
            </w:pPr>
            <w:r>
              <w:rPr>
                <w:rFonts w:ascii="Arial" w:cs="Arial" w:eastAsia="Arial" w:hAnsi="Arial"/>
                <w:sz w:val="16"/>
                <w:szCs w:val="16"/>
                <w:color w:val="auto"/>
              </w:rPr>
              <w:t>Spain</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spacing w:after="0"/>
              <w:rPr>
                <w:sz w:val="20"/>
                <w:szCs w:val="20"/>
                <w:color w:val="auto"/>
              </w:rPr>
            </w:pPr>
            <w:r>
              <w:rPr>
                <w:rFonts w:ascii="Arial" w:cs="Arial" w:eastAsia="Arial" w:hAnsi="Arial"/>
                <w:sz w:val="16"/>
                <w:szCs w:val="16"/>
                <w:color w:val="auto"/>
              </w:rPr>
              <w:t>Kaplan International UK Holdings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England &amp; Wales</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Kaplan International English (Australia)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460"/>
              <w:spacing w:after="0"/>
              <w:rPr>
                <w:sz w:val="20"/>
                <w:szCs w:val="20"/>
                <w:color w:val="auto"/>
              </w:rPr>
            </w:pPr>
            <w:r>
              <w:rPr>
                <w:rFonts w:ascii="Arial" w:cs="Arial" w:eastAsia="Arial" w:hAnsi="Arial"/>
                <w:sz w:val="16"/>
                <w:szCs w:val="16"/>
                <w:color w:val="auto"/>
              </w:rPr>
              <w:t>Kaplan International (Brisbane)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460"/>
              <w:spacing w:after="0"/>
              <w:rPr>
                <w:sz w:val="20"/>
                <w:szCs w:val="20"/>
                <w:color w:val="auto"/>
              </w:rPr>
            </w:pPr>
            <w:r>
              <w:rPr>
                <w:rFonts w:ascii="Arial" w:cs="Arial" w:eastAsia="Arial" w:hAnsi="Arial"/>
                <w:sz w:val="16"/>
                <w:szCs w:val="16"/>
                <w:color w:val="auto"/>
              </w:rPr>
              <w:t>Kaplan International NZ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New Zealand</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460"/>
              <w:spacing w:after="0"/>
              <w:rPr>
                <w:sz w:val="20"/>
                <w:szCs w:val="20"/>
                <w:color w:val="auto"/>
              </w:rPr>
            </w:pPr>
            <w:r>
              <w:rPr>
                <w:rFonts w:ascii="Arial" w:cs="Arial" w:eastAsia="Arial" w:hAnsi="Arial"/>
                <w:sz w:val="16"/>
                <w:szCs w:val="16"/>
                <w:color w:val="auto"/>
              </w:rPr>
              <w:t>Kaplan International (Perth)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460"/>
              <w:spacing w:after="0"/>
              <w:rPr>
                <w:sz w:val="20"/>
                <w:szCs w:val="20"/>
                <w:color w:val="auto"/>
              </w:rPr>
            </w:pPr>
            <w:r>
              <w:rPr>
                <w:rFonts w:ascii="Arial" w:cs="Arial" w:eastAsia="Arial" w:hAnsi="Arial"/>
                <w:sz w:val="16"/>
                <w:szCs w:val="16"/>
                <w:color w:val="auto"/>
              </w:rPr>
              <w:t>Aspect ILA Sydney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Kaplan Australia Holdings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460"/>
              <w:spacing w:after="0"/>
              <w:rPr>
                <w:sz w:val="20"/>
                <w:szCs w:val="20"/>
                <w:color w:val="auto"/>
              </w:rPr>
            </w:pPr>
            <w:r>
              <w:rPr>
                <w:rFonts w:ascii="Arial" w:cs="Arial" w:eastAsia="Arial" w:hAnsi="Arial"/>
                <w:sz w:val="16"/>
                <w:szCs w:val="16"/>
                <w:color w:val="auto"/>
              </w:rPr>
              <w:t>Kaplan Australia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680"/>
              <w:spacing w:after="0"/>
              <w:rPr>
                <w:sz w:val="20"/>
                <w:szCs w:val="20"/>
                <w:color w:val="auto"/>
              </w:rPr>
            </w:pPr>
            <w:r>
              <w:rPr>
                <w:rFonts w:ascii="Arial" w:cs="Arial" w:eastAsia="Arial" w:hAnsi="Arial"/>
                <w:sz w:val="16"/>
                <w:szCs w:val="16"/>
                <w:color w:val="auto"/>
              </w:rPr>
              <w:t>Red Marker Pty Ltd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680"/>
              <w:spacing w:after="0"/>
              <w:rPr>
                <w:sz w:val="20"/>
                <w:szCs w:val="20"/>
                <w:color w:val="auto"/>
              </w:rPr>
            </w:pPr>
            <w:r>
              <w:rPr>
                <w:rFonts w:ascii="Arial" w:cs="Arial" w:eastAsia="Arial" w:hAnsi="Arial"/>
                <w:sz w:val="16"/>
                <w:szCs w:val="16"/>
                <w:color w:val="auto"/>
              </w:rPr>
              <w:t>Kaplan International (Melbourne &amp; Adelaide)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680"/>
              <w:spacing w:after="0"/>
              <w:rPr>
                <w:sz w:val="20"/>
                <w:szCs w:val="20"/>
                <w:color w:val="auto"/>
              </w:rPr>
            </w:pPr>
            <w:r>
              <w:rPr>
                <w:rFonts w:ascii="Arial" w:cs="Arial" w:eastAsia="Arial" w:hAnsi="Arial"/>
                <w:sz w:val="16"/>
                <w:szCs w:val="16"/>
                <w:color w:val="auto"/>
              </w:rPr>
              <w:t>Kaplan Higher Education Party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920"/>
              <w:spacing w:after="0"/>
              <w:rPr>
                <w:sz w:val="20"/>
                <w:szCs w:val="20"/>
                <w:color w:val="auto"/>
              </w:rPr>
            </w:pPr>
            <w:r>
              <w:rPr>
                <w:rFonts w:ascii="Arial" w:cs="Arial" w:eastAsia="Arial" w:hAnsi="Arial"/>
                <w:sz w:val="16"/>
                <w:szCs w:val="16"/>
                <w:color w:val="auto"/>
              </w:rPr>
              <w:t>Kaplan Business School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680"/>
              <w:spacing w:after="0"/>
              <w:rPr>
                <w:sz w:val="20"/>
                <w:szCs w:val="20"/>
                <w:color w:val="auto"/>
              </w:rPr>
            </w:pPr>
            <w:r>
              <w:rPr>
                <w:rFonts w:ascii="Arial" w:cs="Arial" w:eastAsia="Arial" w:hAnsi="Arial"/>
                <w:sz w:val="16"/>
                <w:szCs w:val="16"/>
                <w:color w:val="auto"/>
              </w:rPr>
              <w:t>Tribeca Learning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920"/>
              <w:spacing w:after="0"/>
              <w:rPr>
                <w:sz w:val="20"/>
                <w:szCs w:val="20"/>
                <w:color w:val="auto"/>
              </w:rPr>
            </w:pPr>
            <w:r>
              <w:rPr>
                <w:rFonts w:ascii="Arial" w:cs="Arial" w:eastAsia="Arial" w:hAnsi="Arial"/>
                <w:sz w:val="16"/>
                <w:szCs w:val="16"/>
                <w:color w:val="auto"/>
              </w:rPr>
              <w:t>Kaplan Education Pty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Australia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6"/>
        </w:trPr>
        <w:tc>
          <w:tcPr>
            <w:tcW w:w="5420" w:type="dxa"/>
            <w:vAlign w:val="bottom"/>
          </w:tcPr>
          <w:p>
            <w:pPr>
              <w:ind w:left="220"/>
              <w:spacing w:after="0"/>
              <w:rPr>
                <w:sz w:val="20"/>
                <w:szCs w:val="20"/>
                <w:color w:val="auto"/>
              </w:rPr>
            </w:pPr>
            <w:r>
              <w:rPr>
                <w:rFonts w:ascii="Arial" w:cs="Arial" w:eastAsia="Arial" w:hAnsi="Arial"/>
                <w:sz w:val="16"/>
                <w:szCs w:val="16"/>
                <w:color w:val="auto"/>
              </w:rPr>
              <w:t>Kaplan Holdings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Hong Kong</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r>
        <w:trPr>
          <w:trHeight w:val="219"/>
        </w:trPr>
        <w:tc>
          <w:tcPr>
            <w:tcW w:w="5420" w:type="dxa"/>
            <w:vAlign w:val="bottom"/>
          </w:tcPr>
          <w:p>
            <w:pPr>
              <w:ind w:left="460"/>
              <w:spacing w:after="0"/>
              <w:rPr>
                <w:sz w:val="20"/>
                <w:szCs w:val="20"/>
                <w:color w:val="auto"/>
              </w:rPr>
            </w:pPr>
            <w:r>
              <w:rPr>
                <w:rFonts w:ascii="Arial" w:cs="Arial" w:eastAsia="Arial" w:hAnsi="Arial"/>
                <w:sz w:val="16"/>
                <w:szCs w:val="16"/>
                <w:color w:val="auto"/>
              </w:rPr>
              <w:t>Kaplan Higher Education (HK) Limited</w:t>
            </w:r>
          </w:p>
        </w:tc>
        <w:tc>
          <w:tcPr>
            <w:tcW w:w="3000" w:type="dxa"/>
            <w:vAlign w:val="bottom"/>
          </w:tcPr>
          <w:p>
            <w:pPr>
              <w:ind w:left="700"/>
              <w:spacing w:after="0"/>
              <w:rPr>
                <w:sz w:val="20"/>
                <w:szCs w:val="20"/>
                <w:color w:val="auto"/>
              </w:rPr>
            </w:pPr>
            <w:r>
              <w:rPr>
                <w:rFonts w:ascii="Arial" w:cs="Arial" w:eastAsia="Arial" w:hAnsi="Arial"/>
                <w:sz w:val="16"/>
                <w:szCs w:val="16"/>
                <w:color w:val="auto"/>
              </w:rPr>
              <w:t>Hong Kong</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100 %</w:t>
            </w:r>
          </w:p>
        </w:tc>
      </w:tr>
    </w:tbl>
    <w:p>
      <w:pPr>
        <w:sectPr>
          <w:pgSz w:w="11900" w:h="16838" w:orient="portrait"/>
          <w:cols w:equalWidth="0" w:num="1">
            <w:col w:w="10180"/>
          </w:cols>
          <w:pgMar w:left="860" w:top="1093" w:right="85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Citic Education Co.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China (PR)</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49 %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Financial (HK)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Language Training (HK)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Institute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Shanghai Kaplan Education Investment Consulting Co. Ltd.</w:t>
            </w:r>
          </w:p>
        </w:tc>
        <w:tc>
          <w:tcPr>
            <w:tcW w:w="2680" w:type="dxa"/>
            <w:vAlign w:val="bottom"/>
          </w:tcPr>
          <w:p>
            <w:pPr>
              <w:ind w:left="380"/>
              <w:spacing w:after="0"/>
              <w:rPr>
                <w:sz w:val="20"/>
                <w:szCs w:val="20"/>
                <w:color w:val="auto"/>
              </w:rPr>
            </w:pPr>
            <w:r>
              <w:rPr>
                <w:rFonts w:ascii="Arial" w:cs="Arial" w:eastAsia="Arial" w:hAnsi="Arial"/>
                <w:sz w:val="16"/>
                <w:szCs w:val="16"/>
                <w:color w:val="auto"/>
              </w:rPr>
              <w:t>China (PR)</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Shanghai Kaibo Management Consultation Co., Ltd</w:t>
            </w:r>
          </w:p>
        </w:tc>
        <w:tc>
          <w:tcPr>
            <w:tcW w:w="2680" w:type="dxa"/>
            <w:vAlign w:val="bottom"/>
          </w:tcPr>
          <w:p>
            <w:pPr>
              <w:ind w:left="380"/>
              <w:spacing w:after="0"/>
              <w:rPr>
                <w:sz w:val="20"/>
                <w:szCs w:val="20"/>
                <w:color w:val="auto"/>
              </w:rPr>
            </w:pPr>
            <w:r>
              <w:rPr>
                <w:rFonts w:ascii="Arial" w:cs="Arial" w:eastAsia="Arial" w:hAnsi="Arial"/>
                <w:sz w:val="16"/>
                <w:szCs w:val="16"/>
                <w:color w:val="auto"/>
              </w:rPr>
              <w:t>China (PR)</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The Financial Training (Shanghai) Co., Ltd</w:t>
            </w:r>
          </w:p>
        </w:tc>
        <w:tc>
          <w:tcPr>
            <w:tcW w:w="2680" w:type="dxa"/>
            <w:vAlign w:val="bottom"/>
          </w:tcPr>
          <w:p>
            <w:pPr>
              <w:ind w:left="380"/>
              <w:spacing w:after="0"/>
              <w:rPr>
                <w:sz w:val="20"/>
                <w:szCs w:val="20"/>
                <w:color w:val="auto"/>
              </w:rPr>
            </w:pPr>
            <w:r>
              <w:rPr>
                <w:rFonts w:ascii="Arial" w:cs="Arial" w:eastAsia="Arial" w:hAnsi="Arial"/>
                <w:sz w:val="16"/>
                <w:szCs w:val="16"/>
                <w:color w:val="auto"/>
              </w:rPr>
              <w:t>China (PR)</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Shanghai Kai Bo Education Investment Management Co.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China (PR)</w:t>
            </w:r>
          </w:p>
        </w:tc>
        <w:tc>
          <w:tcPr>
            <w:tcW w:w="1800" w:type="dxa"/>
            <w:vAlign w:val="bottom"/>
          </w:tcPr>
          <w:p>
            <w:pPr>
              <w:ind w:left="1060"/>
              <w:spacing w:after="0"/>
              <w:rPr>
                <w:sz w:val="20"/>
                <w:szCs w:val="20"/>
                <w:color w:val="auto"/>
              </w:rPr>
            </w:pPr>
            <w:r>
              <w:rPr>
                <w:rFonts w:ascii="Arial" w:cs="Arial" w:eastAsia="Arial" w:hAnsi="Arial"/>
                <w:sz w:val="16"/>
                <w:szCs w:val="16"/>
                <w:color w:val="auto"/>
              </w:rPr>
              <w:t>100 % (k)</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Singapore Pte. Ltd.</w:t>
            </w:r>
          </w:p>
        </w:tc>
        <w:tc>
          <w:tcPr>
            <w:tcW w:w="2680" w:type="dxa"/>
            <w:vAlign w:val="bottom"/>
          </w:tcPr>
          <w:p>
            <w:pPr>
              <w:ind w:left="380"/>
              <w:spacing w:after="0"/>
              <w:rPr>
                <w:sz w:val="20"/>
                <w:szCs w:val="20"/>
                <w:color w:val="auto"/>
              </w:rPr>
            </w:pPr>
            <w:r>
              <w:rPr>
                <w:rFonts w:ascii="Arial" w:cs="Arial" w:eastAsia="Arial" w:hAnsi="Arial"/>
                <w:sz w:val="16"/>
                <w:szCs w:val="16"/>
                <w:color w:val="auto"/>
              </w:rPr>
              <w:t>Singapore</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Learning Institute Pte. Ltd</w:t>
            </w:r>
          </w:p>
        </w:tc>
        <w:tc>
          <w:tcPr>
            <w:tcW w:w="2680" w:type="dxa"/>
            <w:vAlign w:val="bottom"/>
          </w:tcPr>
          <w:p>
            <w:pPr>
              <w:ind w:left="380"/>
              <w:spacing w:after="0"/>
              <w:rPr>
                <w:sz w:val="20"/>
                <w:szCs w:val="20"/>
                <w:color w:val="auto"/>
              </w:rPr>
            </w:pPr>
            <w:r>
              <w:rPr>
                <w:rFonts w:ascii="Arial" w:cs="Arial" w:eastAsia="Arial" w:hAnsi="Arial"/>
                <w:sz w:val="16"/>
                <w:szCs w:val="16"/>
                <w:color w:val="auto"/>
              </w:rPr>
              <w:t>Singapore</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Higher Education Institute Pte. Ltd</w:t>
            </w:r>
          </w:p>
        </w:tc>
        <w:tc>
          <w:tcPr>
            <w:tcW w:w="2680" w:type="dxa"/>
            <w:vAlign w:val="bottom"/>
          </w:tcPr>
          <w:p>
            <w:pPr>
              <w:ind w:left="380"/>
              <w:spacing w:after="0"/>
              <w:rPr>
                <w:sz w:val="20"/>
                <w:szCs w:val="20"/>
                <w:color w:val="auto"/>
              </w:rPr>
            </w:pPr>
            <w:r>
              <w:rPr>
                <w:rFonts w:ascii="Arial" w:cs="Arial" w:eastAsia="Arial" w:hAnsi="Arial"/>
                <w:sz w:val="16"/>
                <w:szCs w:val="16"/>
                <w:color w:val="auto"/>
              </w:rPr>
              <w:t>Singapore</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Lotus Advertising Pte. Ltd</w:t>
            </w:r>
          </w:p>
        </w:tc>
        <w:tc>
          <w:tcPr>
            <w:tcW w:w="2680" w:type="dxa"/>
            <w:vAlign w:val="bottom"/>
          </w:tcPr>
          <w:p>
            <w:pPr>
              <w:ind w:left="380"/>
              <w:spacing w:after="0"/>
              <w:rPr>
                <w:sz w:val="20"/>
                <w:szCs w:val="20"/>
                <w:color w:val="auto"/>
              </w:rPr>
            </w:pPr>
            <w:r>
              <w:rPr>
                <w:rFonts w:ascii="Arial" w:cs="Arial" w:eastAsia="Arial" w:hAnsi="Arial"/>
                <w:sz w:val="16"/>
                <w:szCs w:val="16"/>
                <w:color w:val="auto"/>
              </w:rPr>
              <w:t>Singapore</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Myanmar Company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Myanmar</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99 %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Accountancy &amp; Business College (Ireland)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Ireland</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DBS Services SDN.BHD</w:t>
            </w:r>
          </w:p>
        </w:tc>
        <w:tc>
          <w:tcPr>
            <w:tcW w:w="2680" w:type="dxa"/>
            <w:vAlign w:val="bottom"/>
          </w:tcPr>
          <w:p>
            <w:pPr>
              <w:ind w:left="380"/>
              <w:spacing w:after="0"/>
              <w:rPr>
                <w:sz w:val="20"/>
                <w:szCs w:val="20"/>
                <w:color w:val="auto"/>
              </w:rPr>
            </w:pPr>
            <w:r>
              <w:rPr>
                <w:rFonts w:ascii="Arial" w:cs="Arial" w:eastAsia="Arial" w:hAnsi="Arial"/>
                <w:sz w:val="16"/>
                <w:szCs w:val="16"/>
                <w:color w:val="auto"/>
              </w:rPr>
              <w:t>Malaysia</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Coxcourt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Ireland</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Accountancy &amp; Business College Holdings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Ireland</w:t>
            </w:r>
          </w:p>
        </w:tc>
        <w:tc>
          <w:tcPr>
            <w:tcW w:w="1800" w:type="dxa"/>
            <w:vAlign w:val="bottom"/>
          </w:tcPr>
          <w:p>
            <w:pPr>
              <w:ind w:left="1060"/>
              <w:spacing w:after="0"/>
              <w:rPr>
                <w:sz w:val="20"/>
                <w:szCs w:val="20"/>
                <w:color w:val="auto"/>
              </w:rPr>
            </w:pPr>
            <w:r>
              <w:rPr>
                <w:rFonts w:ascii="Arial" w:cs="Arial" w:eastAsia="Arial" w:hAnsi="Arial"/>
                <w:sz w:val="16"/>
                <w:szCs w:val="16"/>
                <w:color w:val="auto"/>
              </w:rPr>
              <w:t>100 % (l)</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Ireland Education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Ireland</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480"/>
              <w:spacing w:after="0"/>
              <w:rPr>
                <w:sz w:val="20"/>
                <w:szCs w:val="20"/>
                <w:color w:val="auto"/>
              </w:rPr>
            </w:pPr>
            <w:r>
              <w:rPr>
                <w:rFonts w:ascii="Arial" w:cs="Arial" w:eastAsia="Arial" w:hAnsi="Arial"/>
                <w:sz w:val="16"/>
                <w:szCs w:val="16"/>
                <w:color w:val="auto"/>
              </w:rPr>
              <w:t>Kaplan International Holdings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Eagle Education and Training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Dubai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Professional ME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Osborne Books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Financial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SQE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Training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Consulting &amp; Training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Hawksmere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Holborn College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International Colleges U.K.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Essex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Qatar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Colleges Private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India</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International Colleges (Private)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Pakistan</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Glasgow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International Colleges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Nigeria</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Liverpool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Nottingham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NT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US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International College London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Brighton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UWE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Bournemouth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Saudi Arabia Holding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1160"/>
              <w:spacing w:after="0"/>
              <w:rPr>
                <w:sz w:val="20"/>
                <w:szCs w:val="20"/>
                <w:color w:val="auto"/>
              </w:rPr>
            </w:pPr>
            <w:r>
              <w:rPr>
                <w:rFonts w:ascii="Arial" w:cs="Arial" w:eastAsia="Arial" w:hAnsi="Arial"/>
                <w:sz w:val="16"/>
                <w:szCs w:val="16"/>
                <w:color w:val="auto"/>
              </w:rPr>
              <w:t>Kaplan Saudi Arabia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Saudi Arabia</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Estates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York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Partner Services HK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1800" w:type="dxa"/>
            <w:vAlign w:val="bottom"/>
          </w:tcPr>
          <w:p>
            <w:pPr>
              <w:ind w:left="1060"/>
              <w:spacing w:after="0"/>
              <w:rPr>
                <w:sz w:val="20"/>
                <w:szCs w:val="20"/>
                <w:color w:val="auto"/>
              </w:rPr>
            </w:pPr>
            <w:r>
              <w:rPr>
                <w:rFonts w:ascii="Arial" w:cs="Arial" w:eastAsia="Arial" w:hAnsi="Arial"/>
                <w:sz w:val="16"/>
                <w:szCs w:val="16"/>
                <w:color w:val="auto"/>
                <w:w w:val="97"/>
              </w:rPr>
              <w:t>100 % (m)</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Law School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Open Learning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Open Learning (Essex)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Kaplan Open Learning (Liverpool)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Publishing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Kaplan Professional Awards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700"/>
              <w:spacing w:after="0"/>
              <w:rPr>
                <w:sz w:val="20"/>
                <w:szCs w:val="20"/>
                <w:color w:val="auto"/>
              </w:rPr>
            </w:pPr>
            <w:r>
              <w:rPr>
                <w:rFonts w:ascii="Arial" w:cs="Arial" w:eastAsia="Arial" w:hAnsi="Arial"/>
                <w:sz w:val="16"/>
                <w:szCs w:val="16"/>
                <w:color w:val="auto"/>
              </w:rPr>
              <w:t>Mander Portman Woodward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Kensington Student Services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6"/>
        </w:trPr>
        <w:tc>
          <w:tcPr>
            <w:tcW w:w="6220" w:type="dxa"/>
            <w:vAlign w:val="bottom"/>
          </w:tcPr>
          <w:p>
            <w:pPr>
              <w:ind w:left="940"/>
              <w:spacing w:after="0"/>
              <w:rPr>
                <w:sz w:val="20"/>
                <w:szCs w:val="20"/>
                <w:color w:val="auto"/>
              </w:rPr>
            </w:pPr>
            <w:r>
              <w:rPr>
                <w:rFonts w:ascii="Arial" w:cs="Arial" w:eastAsia="Arial" w:hAnsi="Arial"/>
                <w:sz w:val="16"/>
                <w:szCs w:val="16"/>
                <w:color w:val="auto"/>
              </w:rPr>
              <w:t>Justin Craig Education Limited</w:t>
            </w:r>
          </w:p>
        </w:tc>
        <w:tc>
          <w:tcPr>
            <w:tcW w:w="2680" w:type="dxa"/>
            <w:vAlign w:val="bottom"/>
          </w:tcPr>
          <w:p>
            <w:pPr>
              <w:ind w:left="380"/>
              <w:spacing w:after="0"/>
              <w:rPr>
                <w:sz w:val="20"/>
                <w:szCs w:val="20"/>
                <w:color w:val="auto"/>
              </w:rPr>
            </w:pPr>
            <w:r>
              <w:rPr>
                <w:rFonts w:ascii="Arial" w:cs="Arial" w:eastAsia="Arial" w:hAnsi="Arial"/>
                <w:sz w:val="16"/>
                <w:szCs w:val="16"/>
                <w:color w:val="auto"/>
              </w:rPr>
              <w:t>England &amp; Wales</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r>
        <w:trPr>
          <w:trHeight w:val="219"/>
        </w:trPr>
        <w:tc>
          <w:tcPr>
            <w:tcW w:w="6220" w:type="dxa"/>
            <w:vAlign w:val="bottom"/>
          </w:tcPr>
          <w:p>
            <w:pPr>
              <w:spacing w:after="0"/>
              <w:rPr>
                <w:sz w:val="20"/>
                <w:szCs w:val="20"/>
                <w:color w:val="auto"/>
              </w:rPr>
            </w:pPr>
            <w:r>
              <w:rPr>
                <w:rFonts w:ascii="Arial" w:cs="Arial" w:eastAsia="Arial" w:hAnsi="Arial"/>
                <w:sz w:val="16"/>
                <w:szCs w:val="16"/>
                <w:color w:val="auto"/>
              </w:rPr>
              <w:t>Post NW, LLC</w:t>
            </w:r>
          </w:p>
        </w:tc>
        <w:tc>
          <w:tcPr>
            <w:tcW w:w="2680" w:type="dxa"/>
            <w:vAlign w:val="bottom"/>
          </w:tcPr>
          <w:p>
            <w:pPr>
              <w:ind w:left="380"/>
              <w:spacing w:after="0"/>
              <w:rPr>
                <w:sz w:val="20"/>
                <w:szCs w:val="20"/>
                <w:color w:val="auto"/>
              </w:rPr>
            </w:pPr>
            <w:r>
              <w:rPr>
                <w:rFonts w:ascii="Arial" w:cs="Arial" w:eastAsia="Arial" w:hAnsi="Arial"/>
                <w:sz w:val="16"/>
                <w:szCs w:val="16"/>
                <w:color w:val="auto"/>
              </w:rPr>
              <w:t>New York</w:t>
            </w:r>
          </w:p>
        </w:tc>
        <w:tc>
          <w:tcPr>
            <w:tcW w:w="1800" w:type="dxa"/>
            <w:vAlign w:val="bottom"/>
          </w:tcPr>
          <w:p>
            <w:pPr>
              <w:jc w:val="right"/>
              <w:ind w:right="199"/>
              <w:spacing w:after="0"/>
              <w:rPr>
                <w:sz w:val="20"/>
                <w:szCs w:val="20"/>
                <w:color w:val="auto"/>
              </w:rPr>
            </w:pPr>
            <w:r>
              <w:rPr>
                <w:rFonts w:ascii="Arial" w:cs="Arial" w:eastAsia="Arial" w:hAnsi="Arial"/>
                <w:sz w:val="16"/>
                <w:szCs w:val="16"/>
                <w:color w:val="auto"/>
              </w:rPr>
              <w:t>100 %</w:t>
            </w:r>
          </w:p>
        </w:tc>
      </w:tr>
    </w:tbl>
    <w:p>
      <w:pPr>
        <w:sectPr>
          <w:pgSz w:w="11900" w:h="16838" w:orient="portrait"/>
          <w:cols w:equalWidth="0" w:num="1">
            <w:col w:w="10700"/>
          </w:cols>
          <w:pgMar w:left="380" w:top="1093" w:right="81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Social Code LLC</w:t>
            </w:r>
          </w:p>
        </w:tc>
        <w:tc>
          <w:tcPr>
            <w:tcW w:w="4240" w:type="dxa"/>
            <w:vAlign w:val="bottom"/>
          </w:tcPr>
          <w:p>
            <w:pPr>
              <w:ind w:left="2220"/>
              <w:spacing w:after="0"/>
              <w:rPr>
                <w:sz w:val="20"/>
                <w:szCs w:val="20"/>
                <w:color w:val="auto"/>
              </w:rPr>
            </w:pPr>
            <w:r>
              <w:rPr>
                <w:rFonts w:ascii="Arial" w:cs="Arial" w:eastAsia="Arial" w:hAnsi="Arial"/>
                <w:sz w:val="16"/>
                <w:szCs w:val="16"/>
                <w:color w:val="auto"/>
              </w:rPr>
              <w:t>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4400" w:type="dxa"/>
            <w:vAlign w:val="bottom"/>
          </w:tcPr>
          <w:p>
            <w:pPr>
              <w:ind w:left="240"/>
              <w:spacing w:after="0"/>
              <w:rPr>
                <w:sz w:val="20"/>
                <w:szCs w:val="20"/>
                <w:color w:val="auto"/>
              </w:rPr>
            </w:pPr>
            <w:r>
              <w:rPr>
                <w:rFonts w:ascii="Arial" w:cs="Arial" w:eastAsia="Arial" w:hAnsi="Arial"/>
                <w:sz w:val="16"/>
                <w:szCs w:val="16"/>
                <w:color w:val="auto"/>
              </w:rPr>
              <w:t>Social Code Holdings, LLC</w:t>
            </w:r>
          </w:p>
        </w:tc>
        <w:tc>
          <w:tcPr>
            <w:tcW w:w="4240" w:type="dxa"/>
            <w:vAlign w:val="bottom"/>
          </w:tcPr>
          <w:p>
            <w:pPr>
              <w:ind w:left="2220"/>
              <w:spacing w:after="0"/>
              <w:rPr>
                <w:sz w:val="20"/>
                <w:szCs w:val="20"/>
                <w:color w:val="auto"/>
              </w:rPr>
            </w:pPr>
            <w:r>
              <w:rPr>
                <w:rFonts w:ascii="Arial" w:cs="Arial" w:eastAsia="Arial" w:hAnsi="Arial"/>
                <w:sz w:val="16"/>
                <w:szCs w:val="16"/>
                <w:color w:val="auto"/>
              </w:rPr>
              <w:t>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4400" w:type="dxa"/>
            <w:vAlign w:val="bottom"/>
          </w:tcPr>
          <w:p>
            <w:pPr>
              <w:ind w:left="240"/>
              <w:spacing w:after="0"/>
              <w:rPr>
                <w:sz w:val="20"/>
                <w:szCs w:val="20"/>
                <w:color w:val="auto"/>
              </w:rPr>
            </w:pPr>
            <w:r>
              <w:rPr>
                <w:rFonts w:ascii="Arial" w:cs="Arial" w:eastAsia="Arial" w:hAnsi="Arial"/>
                <w:sz w:val="16"/>
                <w:szCs w:val="16"/>
                <w:color w:val="auto"/>
              </w:rPr>
              <w:t>JKR Ventures, LLC</w:t>
            </w:r>
          </w:p>
        </w:tc>
        <w:tc>
          <w:tcPr>
            <w:tcW w:w="4240" w:type="dxa"/>
            <w:vAlign w:val="bottom"/>
          </w:tcPr>
          <w:p>
            <w:pPr>
              <w:ind w:left="2220"/>
              <w:spacing w:after="0"/>
              <w:rPr>
                <w:sz w:val="20"/>
                <w:szCs w:val="20"/>
                <w:color w:val="auto"/>
              </w:rPr>
            </w:pPr>
            <w:r>
              <w:rPr>
                <w:rFonts w:ascii="Arial" w:cs="Arial" w:eastAsia="Arial" w:hAnsi="Arial"/>
                <w:sz w:val="16"/>
                <w:szCs w:val="16"/>
                <w:color w:val="auto"/>
              </w:rPr>
              <w:t>Ohio</w:t>
            </w:r>
          </w:p>
        </w:tc>
        <w:tc>
          <w:tcPr>
            <w:tcW w:w="18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4400" w:type="dxa"/>
            <w:vAlign w:val="bottom"/>
          </w:tcPr>
          <w:p>
            <w:pPr>
              <w:ind w:left="240"/>
              <w:spacing w:after="0"/>
              <w:rPr>
                <w:sz w:val="20"/>
                <w:szCs w:val="20"/>
                <w:color w:val="auto"/>
              </w:rPr>
            </w:pPr>
            <w:r>
              <w:rPr>
                <w:rFonts w:ascii="Arial" w:cs="Arial" w:eastAsia="Arial" w:hAnsi="Arial"/>
                <w:sz w:val="16"/>
                <w:szCs w:val="16"/>
                <w:color w:val="auto"/>
              </w:rPr>
              <w:t>Marketplace Strategy, LLC</w:t>
            </w:r>
          </w:p>
        </w:tc>
        <w:tc>
          <w:tcPr>
            <w:tcW w:w="4240" w:type="dxa"/>
            <w:vAlign w:val="bottom"/>
          </w:tcPr>
          <w:p>
            <w:pPr>
              <w:ind w:left="2220"/>
              <w:spacing w:after="0"/>
              <w:rPr>
                <w:sz w:val="20"/>
                <w:szCs w:val="20"/>
                <w:color w:val="auto"/>
              </w:rPr>
            </w:pPr>
            <w:r>
              <w:rPr>
                <w:rFonts w:ascii="Arial" w:cs="Arial" w:eastAsia="Arial" w:hAnsi="Arial"/>
                <w:sz w:val="16"/>
                <w:szCs w:val="16"/>
                <w:color w:val="auto"/>
              </w:rPr>
              <w:t>Ohio</w:t>
            </w:r>
          </w:p>
        </w:tc>
        <w:tc>
          <w:tcPr>
            <w:tcW w:w="18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4400" w:type="dxa"/>
            <w:vAlign w:val="bottom"/>
          </w:tcPr>
          <w:p>
            <w:pPr>
              <w:ind w:left="240"/>
              <w:spacing w:after="0"/>
              <w:rPr>
                <w:sz w:val="20"/>
                <w:szCs w:val="20"/>
                <w:color w:val="auto"/>
              </w:rPr>
            </w:pPr>
            <w:r>
              <w:rPr>
                <w:rFonts w:ascii="Arial" w:cs="Arial" w:eastAsia="Arial" w:hAnsi="Arial"/>
                <w:sz w:val="16"/>
                <w:szCs w:val="16"/>
                <w:color w:val="auto"/>
              </w:rPr>
              <w:t>Marketplace Direct, LLC</w:t>
            </w:r>
          </w:p>
        </w:tc>
        <w:tc>
          <w:tcPr>
            <w:tcW w:w="4240" w:type="dxa"/>
            <w:vAlign w:val="bottom"/>
          </w:tcPr>
          <w:p>
            <w:pPr>
              <w:ind w:left="2220"/>
              <w:spacing w:after="0"/>
              <w:rPr>
                <w:sz w:val="20"/>
                <w:szCs w:val="20"/>
                <w:color w:val="auto"/>
              </w:rPr>
            </w:pPr>
            <w:r>
              <w:rPr>
                <w:rFonts w:ascii="Arial" w:cs="Arial" w:eastAsia="Arial" w:hAnsi="Arial"/>
                <w:sz w:val="16"/>
                <w:szCs w:val="16"/>
                <w:color w:val="auto"/>
              </w:rPr>
              <w:t>Ohio</w:t>
            </w:r>
          </w:p>
        </w:tc>
        <w:tc>
          <w:tcPr>
            <w:tcW w:w="18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4400" w:type="dxa"/>
            <w:vAlign w:val="bottom"/>
          </w:tcPr>
          <w:p>
            <w:pPr>
              <w:spacing w:after="0"/>
              <w:rPr>
                <w:sz w:val="20"/>
                <w:szCs w:val="20"/>
                <w:color w:val="auto"/>
              </w:rPr>
            </w:pPr>
            <w:r>
              <w:rPr>
                <w:rFonts w:ascii="Arial" w:cs="Arial" w:eastAsia="Arial" w:hAnsi="Arial"/>
                <w:sz w:val="16"/>
                <w:szCs w:val="16"/>
                <w:color w:val="auto"/>
              </w:rPr>
              <w:t>The Slate Group, LLC</w:t>
            </w:r>
          </w:p>
        </w:tc>
        <w:tc>
          <w:tcPr>
            <w:tcW w:w="4240" w:type="dxa"/>
            <w:vAlign w:val="bottom"/>
          </w:tcPr>
          <w:p>
            <w:pPr>
              <w:ind w:left="2220"/>
              <w:spacing w:after="0"/>
              <w:rPr>
                <w:sz w:val="20"/>
                <w:szCs w:val="20"/>
                <w:color w:val="auto"/>
              </w:rPr>
            </w:pPr>
            <w:r>
              <w:rPr>
                <w:rFonts w:ascii="Arial" w:cs="Arial" w:eastAsia="Arial" w:hAnsi="Arial"/>
                <w:sz w:val="16"/>
                <w:szCs w:val="16"/>
                <w:color w:val="auto"/>
              </w:rPr>
              <w:t>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9"/>
        </w:trPr>
        <w:tc>
          <w:tcPr>
            <w:tcW w:w="4400" w:type="dxa"/>
            <w:vAlign w:val="bottom"/>
          </w:tcPr>
          <w:p>
            <w:pPr>
              <w:spacing w:after="0"/>
              <w:rPr>
                <w:sz w:val="20"/>
                <w:szCs w:val="20"/>
                <w:color w:val="auto"/>
              </w:rPr>
            </w:pPr>
            <w:r>
              <w:rPr>
                <w:rFonts w:ascii="Arial" w:cs="Arial" w:eastAsia="Arial" w:hAnsi="Arial"/>
                <w:sz w:val="16"/>
                <w:szCs w:val="16"/>
                <w:color w:val="auto"/>
              </w:rPr>
              <w:t>Pinna LLC</w:t>
            </w:r>
          </w:p>
        </w:tc>
        <w:tc>
          <w:tcPr>
            <w:tcW w:w="4240" w:type="dxa"/>
            <w:vAlign w:val="bottom"/>
          </w:tcPr>
          <w:p>
            <w:pPr>
              <w:ind w:left="2220"/>
              <w:spacing w:after="0"/>
              <w:rPr>
                <w:sz w:val="20"/>
                <w:szCs w:val="20"/>
                <w:color w:val="auto"/>
              </w:rPr>
            </w:pPr>
            <w:r>
              <w:rPr>
                <w:rFonts w:ascii="Arial" w:cs="Arial" w:eastAsia="Arial" w:hAnsi="Arial"/>
                <w:sz w:val="16"/>
                <w:szCs w:val="16"/>
                <w:color w:val="auto"/>
              </w:rPr>
              <w:t>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351" w:lineRule="exact"/>
        <w:rPr>
          <w:sz w:val="20"/>
          <w:szCs w:val="20"/>
          <w:color w:val="auto"/>
        </w:rPr>
      </w:pPr>
    </w:p>
    <w:p>
      <w:pPr>
        <w:ind w:left="840" w:right="600" w:hanging="487"/>
        <w:spacing w:after="0" w:line="244" w:lineRule="auto"/>
        <w:tabs>
          <w:tab w:leader="none" w:pos="830" w:val="left"/>
        </w:tabs>
        <w:numPr>
          <w:ilvl w:val="0"/>
          <w:numId w:val="76"/>
        </w:numPr>
        <w:rPr>
          <w:rFonts w:ascii="Arial" w:cs="Arial" w:eastAsia="Arial" w:hAnsi="Arial"/>
          <w:sz w:val="18"/>
          <w:szCs w:val="18"/>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129" w:lineRule="exact"/>
        <w:rPr>
          <w:rFonts w:ascii="Arial" w:cs="Arial" w:eastAsia="Arial" w:hAnsi="Arial"/>
          <w:sz w:val="18"/>
          <w:szCs w:val="18"/>
          <w:color w:val="auto"/>
        </w:rPr>
      </w:pPr>
    </w:p>
    <w:p>
      <w:pPr>
        <w:ind w:left="840" w:right="420" w:hanging="487"/>
        <w:spacing w:after="0" w:line="274" w:lineRule="auto"/>
        <w:tabs>
          <w:tab w:leader="none" w:pos="7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106" w:lineRule="exact"/>
        <w:rPr>
          <w:rFonts w:ascii="Arial" w:cs="Arial" w:eastAsia="Arial" w:hAnsi="Arial"/>
          <w:sz w:val="16"/>
          <w:szCs w:val="16"/>
          <w:color w:val="auto"/>
        </w:rPr>
      </w:pPr>
    </w:p>
    <w:p>
      <w:pPr>
        <w:ind w:left="840" w:right="240" w:hanging="487"/>
        <w:spacing w:after="0" w:line="243" w:lineRule="auto"/>
        <w:tabs>
          <w:tab w:leader="none" w:pos="743"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132" w:lineRule="exact"/>
        <w:rPr>
          <w:rFonts w:ascii="Arial" w:cs="Arial" w:eastAsia="Arial" w:hAnsi="Arial"/>
          <w:sz w:val="16"/>
          <w:szCs w:val="16"/>
          <w:color w:val="auto"/>
        </w:rPr>
      </w:pPr>
    </w:p>
    <w:p>
      <w:pPr>
        <w:ind w:left="840" w:right="340" w:hanging="487"/>
        <w:spacing w:after="0" w:line="251" w:lineRule="auto"/>
        <w:tabs>
          <w:tab w:leader="none" w:pos="7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S.de R.L. de C.V. is 100%.</w:t>
      </w:r>
    </w:p>
    <w:p>
      <w:pPr>
        <w:spacing w:after="0" w:line="124" w:lineRule="exact"/>
        <w:rPr>
          <w:rFonts w:ascii="Arial" w:cs="Arial" w:eastAsia="Arial" w:hAnsi="Arial"/>
          <w:sz w:val="16"/>
          <w:szCs w:val="16"/>
          <w:color w:val="auto"/>
        </w:rPr>
      </w:pPr>
    </w:p>
    <w:p>
      <w:pPr>
        <w:ind w:left="800" w:right="140" w:hanging="407"/>
        <w:spacing w:after="0" w:line="274" w:lineRule="auto"/>
        <w:tabs>
          <w:tab w:leader="none" w:pos="793" w:val="left"/>
        </w:tabs>
        <w:numPr>
          <w:ilvl w:val="1"/>
          <w:numId w:val="76"/>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106" w:lineRule="exact"/>
        <w:rPr>
          <w:rFonts w:ascii="Arial" w:cs="Arial" w:eastAsia="Arial" w:hAnsi="Arial"/>
          <w:sz w:val="16"/>
          <w:szCs w:val="16"/>
          <w:color w:val="auto"/>
        </w:rPr>
      </w:pPr>
    </w:p>
    <w:p>
      <w:pPr>
        <w:jc w:val="both"/>
        <w:ind w:left="800" w:right="120" w:hanging="407"/>
        <w:spacing w:after="0" w:line="251" w:lineRule="auto"/>
        <w:tabs>
          <w:tab w:leader="none" w:pos="748" w:val="left"/>
        </w:tabs>
        <w:numPr>
          <w:ilvl w:val="1"/>
          <w:numId w:val="76"/>
        </w:numPr>
        <w:rPr>
          <w:rFonts w:ascii="Arial" w:cs="Arial" w:eastAsia="Arial" w:hAnsi="Arial"/>
          <w:sz w:val="16"/>
          <w:szCs w:val="16"/>
          <w:color w:val="auto"/>
        </w:rPr>
      </w:pPr>
      <w:r>
        <w:rPr>
          <w:rFonts w:ascii="Arial" w:cs="Arial" w:eastAsia="Arial" w:hAnsi="Arial"/>
          <w:sz w:val="16"/>
          <w:szCs w:val="16"/>
          <w:color w:val="auto"/>
        </w:rPr>
        <w:t>Kaplan International North America, LLC and Kaplan Test Prep International, LLC each own 1 share or .00334% of Kaplan International English (Thailand), Co. Ltd. The combined ownership of Kaplan International North America, LLC, Kaplan Test Prep International, Inc. and Kaplan, LLC in Kaplan International English (Thailand), Co. Ltd. is 99.99%.</w:t>
      </w:r>
    </w:p>
    <w:p>
      <w:pPr>
        <w:spacing w:after="0" w:line="124" w:lineRule="exact"/>
        <w:rPr>
          <w:rFonts w:ascii="Arial" w:cs="Arial" w:eastAsia="Arial" w:hAnsi="Arial"/>
          <w:sz w:val="16"/>
          <w:szCs w:val="16"/>
          <w:color w:val="auto"/>
        </w:rPr>
      </w:pPr>
    </w:p>
    <w:p>
      <w:pPr>
        <w:ind w:left="800" w:right="80" w:hanging="407"/>
        <w:spacing w:after="0" w:line="251" w:lineRule="auto"/>
        <w:tabs>
          <w:tab w:leader="none" w:pos="793" w:val="left"/>
        </w:tabs>
        <w:numPr>
          <w:ilvl w:val="1"/>
          <w:numId w:val="76"/>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LLC and Kaplan Test Prep International, LLC in Hands On Education Consultants Co., Ltd. is 100%.</w:t>
      </w:r>
    </w:p>
    <w:p>
      <w:pPr>
        <w:spacing w:after="0" w:line="124" w:lineRule="exact"/>
        <w:rPr>
          <w:rFonts w:ascii="Arial" w:cs="Arial" w:eastAsia="Arial" w:hAnsi="Arial"/>
          <w:sz w:val="16"/>
          <w:szCs w:val="16"/>
          <w:color w:val="auto"/>
        </w:rPr>
      </w:pPr>
    </w:p>
    <w:p>
      <w:pPr>
        <w:ind w:left="800" w:right="80" w:hanging="407"/>
        <w:spacing w:after="0" w:line="274" w:lineRule="auto"/>
        <w:tabs>
          <w:tab w:leader="none" w:pos="793" w:val="left"/>
        </w:tabs>
        <w:numPr>
          <w:ilvl w:val="1"/>
          <w:numId w:val="76"/>
        </w:numPr>
        <w:rPr>
          <w:rFonts w:ascii="Arial" w:cs="Arial" w:eastAsia="Arial" w:hAnsi="Arial"/>
          <w:sz w:val="16"/>
          <w:szCs w:val="16"/>
          <w:color w:val="auto"/>
        </w:rPr>
      </w:pPr>
      <w:r>
        <w:rPr>
          <w:rFonts w:ascii="Arial" w:cs="Arial" w:eastAsia="Arial" w:hAnsi="Arial"/>
          <w:sz w:val="16"/>
          <w:szCs w:val="16"/>
          <w:color w:val="auto"/>
        </w:rPr>
        <w:t>Aspect Educational Services Limited also owns 5% stock in Kaplan International Colleges, C.A. The combined ownership of Aspect Educational Services Limited and Aspect Education Limited in Kaplan International Colleges, C.A. is 100%.</w:t>
      </w:r>
    </w:p>
    <w:p>
      <w:pPr>
        <w:spacing w:after="0" w:line="106" w:lineRule="exact"/>
        <w:rPr>
          <w:rFonts w:ascii="Arial" w:cs="Arial" w:eastAsia="Arial" w:hAnsi="Arial"/>
          <w:sz w:val="16"/>
          <w:szCs w:val="16"/>
          <w:color w:val="auto"/>
        </w:rPr>
      </w:pPr>
    </w:p>
    <w:p>
      <w:pPr>
        <w:ind w:left="800" w:right="340" w:hanging="407"/>
        <w:spacing w:after="0" w:line="251" w:lineRule="auto"/>
        <w:tabs>
          <w:tab w:leader="none" w:pos="739" w:val="left"/>
        </w:tabs>
        <w:numPr>
          <w:ilvl w:val="1"/>
          <w:numId w:val="76"/>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124" w:lineRule="exact"/>
        <w:rPr>
          <w:rFonts w:ascii="Arial" w:cs="Arial" w:eastAsia="Arial" w:hAnsi="Arial"/>
          <w:sz w:val="16"/>
          <w:szCs w:val="16"/>
          <w:color w:val="auto"/>
        </w:rPr>
      </w:pPr>
    </w:p>
    <w:p>
      <w:pPr>
        <w:ind w:left="800" w:right="520" w:hanging="407"/>
        <w:spacing w:after="0" w:line="274" w:lineRule="auto"/>
        <w:tabs>
          <w:tab w:leader="none" w:pos="739" w:val="left"/>
        </w:tabs>
        <w:numPr>
          <w:ilvl w:val="1"/>
          <w:numId w:val="76"/>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106" w:lineRule="exact"/>
        <w:rPr>
          <w:rFonts w:ascii="Arial" w:cs="Arial" w:eastAsia="Arial" w:hAnsi="Arial"/>
          <w:sz w:val="16"/>
          <w:szCs w:val="16"/>
          <w:color w:val="auto"/>
        </w:rPr>
      </w:pPr>
    </w:p>
    <w:p>
      <w:pPr>
        <w:jc w:val="both"/>
        <w:ind w:left="800" w:right="100" w:hanging="407"/>
        <w:spacing w:after="0" w:line="251" w:lineRule="auto"/>
        <w:tabs>
          <w:tab w:leader="none" w:pos="829" w:val="left"/>
        </w:tabs>
        <w:numPr>
          <w:ilvl w:val="1"/>
          <w:numId w:val="76"/>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 Shanghai Kaplan Education Investment Consulting Co. Ltd in Shanghai Kai Bo Education Investment Management Co. Limited is 100%.</w:t>
      </w:r>
    </w:p>
    <w:p>
      <w:pPr>
        <w:spacing w:after="0" w:line="124" w:lineRule="exact"/>
        <w:rPr>
          <w:rFonts w:ascii="Arial" w:cs="Arial" w:eastAsia="Arial" w:hAnsi="Arial"/>
          <w:sz w:val="16"/>
          <w:szCs w:val="16"/>
          <w:color w:val="auto"/>
        </w:rPr>
      </w:pPr>
    </w:p>
    <w:p>
      <w:pPr>
        <w:ind w:left="800" w:hanging="407"/>
        <w:spacing w:after="0" w:line="251" w:lineRule="auto"/>
        <w:tabs>
          <w:tab w:leader="none" w:pos="739" w:val="left"/>
        </w:tabs>
        <w:numPr>
          <w:ilvl w:val="1"/>
          <w:numId w:val="76"/>
        </w:numPr>
        <w:rPr>
          <w:rFonts w:ascii="Arial" w:cs="Arial" w:eastAsia="Arial" w:hAnsi="Arial"/>
          <w:sz w:val="16"/>
          <w:szCs w:val="16"/>
          <w:color w:val="auto"/>
        </w:rPr>
      </w:pPr>
      <w:r>
        <w:rPr>
          <w:rFonts w:ascii="Arial" w:cs="Arial" w:eastAsia="Arial" w:hAnsi="Arial"/>
          <w:sz w:val="16"/>
          <w:szCs w:val="16"/>
          <w:color w:val="auto"/>
        </w:rPr>
        <w:t>Coxcourt Limited had owned 43.11% voting stock in Accountancy &amp; Business College Holdings Limited. The combined stock ownership of Kaplan International UK Holdings Limited and Coxcourt Limited in Accountancy &amp; Business College Holdings Limited had been 100%. All of the shares in Accountancy &amp; Business College Ireland Limited are now held by Kaplan International UK Holdings Limited.</w:t>
      </w:r>
    </w:p>
    <w:p>
      <w:pPr>
        <w:sectPr>
          <w:pgSz w:w="11900" w:h="16838" w:orient="portrait"/>
          <w:cols w:equalWidth="0" w:num="1">
            <w:col w:w="11160"/>
          </w:cols>
          <w:pgMar w:left="380" w:top="1093" w:right="359" w:bottom="1440" w:gutter="0" w:footer="0" w:header="0"/>
        </w:sectPr>
      </w:pPr>
    </w:p>
    <w:bookmarkStart w:id="129" w:name="page130"/>
    <w:bookmarkEnd w:id="129"/>
    <w:p>
      <w:pPr>
        <w:ind w:left="860" w:hanging="407"/>
        <w:spacing w:after="0" w:line="238" w:lineRule="auto"/>
        <w:tabs>
          <w:tab w:leader="none" w:pos="898" w:val="left"/>
        </w:tabs>
        <w:numPr>
          <w:ilvl w:val="0"/>
          <w:numId w:val="77"/>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Nottingham Limited, The University of York International Pathway College LLP (which is 45% owned by Kaplan York Limited), Kaplan International College London Limited, Kaplan UWE Limited, Kaplan Bournemouth Limited, Kaplan Brighton Limited and Kaplan Essex Limited each owns 10%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and Kaplan Essex Limited is 100%.</w:t>
      </w:r>
    </w:p>
    <w:p>
      <w:pPr>
        <w:spacing w:after="0" w:line="200" w:lineRule="exact"/>
        <w:rPr>
          <w:sz w:val="20"/>
          <w:szCs w:val="20"/>
          <w:color w:val="auto"/>
        </w:rPr>
      </w:pPr>
    </w:p>
    <w:p>
      <w:pPr>
        <w:spacing w:after="0" w:line="231"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240"/>
          </w:cols>
          <w:pgMar w:left="320" w:top="1053"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333-189559 and 033-54295) and Form S-3 (Nos. 333-223595 and 333-71350) of Graham Holdings Company of our report dated February 24, 2021 relating to the financial statements and the effectiveness of internal control over financial reporting, which appears in this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886"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30" w:lineRule="exact"/>
        <w:rPr>
          <w:sz w:val="20"/>
          <w:szCs w:val="20"/>
          <w:color w:val="auto"/>
        </w:rPr>
      </w:pPr>
    </w:p>
    <w:p>
      <w:pPr>
        <w:ind w:left="9800"/>
        <w:spacing w:after="0"/>
        <w:rPr>
          <w:sz w:val="20"/>
          <w:szCs w:val="20"/>
          <w:color w:val="auto"/>
        </w:rPr>
      </w:pPr>
      <w:r>
        <w:rPr>
          <w:rFonts w:ascii="Arial" w:cs="Arial" w:eastAsia="Arial" w:hAnsi="Arial"/>
          <w:sz w:val="18"/>
          <w:szCs w:val="18"/>
          <w:color w:val="auto"/>
        </w:rPr>
        <w:t>January 22, 2021</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2020,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3497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40" w:right="820"/>
        <w:spacing w:after="0" w:line="273" w:lineRule="auto"/>
        <w:rPr>
          <w:sz w:val="20"/>
          <w:szCs w:val="20"/>
          <w:color w:val="auto"/>
        </w:rPr>
      </w:pPr>
      <w:r>
        <w:rPr>
          <w:rFonts w:ascii="Arial" w:cs="Arial" w:eastAsia="Arial" w:hAnsi="Arial"/>
          <w:sz w:val="18"/>
          <w:szCs w:val="18"/>
          <w:color w:val="auto"/>
        </w:rPr>
        <w:t>Donald E. Graham, Chairman of the Board and Director /s/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wp:posOffset>
            </wp:positionV>
            <wp:extent cx="3497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40" w:right="40"/>
        <w:spacing w:after="0" w:line="242" w:lineRule="auto"/>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 w:lineRule="exact"/>
        <w:rPr>
          <w:sz w:val="20"/>
          <w:szCs w:val="20"/>
          <w:color w:val="auto"/>
        </w:rPr>
      </w:pPr>
    </w:p>
    <w:p>
      <w:pPr>
        <w:ind w:left="40" w:right="300"/>
        <w:spacing w:after="0" w:line="242" w:lineRule="auto"/>
        <w:rPr>
          <w:sz w:val="20"/>
          <w:szCs w:val="20"/>
          <w:color w:val="auto"/>
        </w:rPr>
      </w:pPr>
      <w:r>
        <w:rPr>
          <w:rFonts w:ascii="Arial" w:cs="Arial" w:eastAsia="Arial" w:hAnsi="Arial"/>
          <w:sz w:val="18"/>
          <w:szCs w:val="18"/>
          <w:color w:val="auto"/>
        </w:rPr>
        <w:t>Wallace R. Cooney, Chief Financial Officer (Principal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 w:lineRule="exact"/>
        <w:rPr>
          <w:sz w:val="20"/>
          <w:szCs w:val="20"/>
          <w:color w:val="auto"/>
        </w:rPr>
      </w:pPr>
    </w:p>
    <w:p>
      <w:pPr>
        <w:ind w:left="40"/>
        <w:spacing w:after="0" w:line="242" w:lineRule="auto"/>
        <w:rPr>
          <w:sz w:val="20"/>
          <w:szCs w:val="20"/>
          <w:color w:val="auto"/>
        </w:rPr>
      </w:pPr>
      <w:r>
        <w:rPr>
          <w:rFonts w:ascii="Arial" w:cs="Arial" w:eastAsia="Arial" w:hAnsi="Arial"/>
          <w:sz w:val="18"/>
          <w:szCs w:val="18"/>
          <w:color w:val="auto"/>
        </w:rPr>
        <w:t>Marcel A. Snyman, Chief Accounting Officer (Principal Accounting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C. Bollinger, Director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3497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C. Davis,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3497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 Jack A. Markell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497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Jack A. Markell,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3497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3497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Larry D. Thompson,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3497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497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00" w:space="420"/>
            <w:col w:w="5520"/>
          </w:cols>
          <w:pgMar w:left="320" w:top="886" w:right="3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0"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71" w:lineRule="exact"/>
        <w:rPr>
          <w:sz w:val="20"/>
          <w:szCs w:val="20"/>
          <w:color w:val="auto"/>
        </w:rPr>
      </w:pPr>
    </w:p>
    <w:p>
      <w:pPr>
        <w:ind w:left="200" w:hanging="192"/>
        <w:spacing w:after="0"/>
        <w:tabs>
          <w:tab w:leader="none" w:pos="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71" w:lineRule="auto"/>
        <w:tabs>
          <w:tab w:leader="none" w:pos="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right="420" w:firstLine="8"/>
        <w:spacing w:after="0" w:line="323" w:lineRule="auto"/>
        <w:tabs>
          <w:tab w:leader="none" w:pos="2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right="40" w:firstLine="8"/>
        <w:spacing w:after="0" w:line="271" w:lineRule="auto"/>
        <w:tabs>
          <w:tab w:leader="none" w:pos="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820" w:right="80" w:hanging="407"/>
        <w:spacing w:after="0" w:line="271" w:lineRule="auto"/>
        <w:tabs>
          <w:tab w:leader="none" w:pos="8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820" w:right="460" w:hanging="407"/>
        <w:spacing w:after="0" w:line="271" w:lineRule="auto"/>
        <w:tabs>
          <w:tab w:leader="none" w:pos="8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820" w:right="40" w:hanging="407"/>
        <w:spacing w:after="0" w:line="271" w:lineRule="auto"/>
        <w:tabs>
          <w:tab w:leader="none" w:pos="825"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820" w:right="80" w:hanging="407"/>
        <w:spacing w:after="0" w:line="271" w:lineRule="auto"/>
        <w:tabs>
          <w:tab w:leader="none" w:pos="8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right="620" w:firstLine="8"/>
        <w:spacing w:after="0" w:line="271" w:lineRule="auto"/>
        <w:tabs>
          <w:tab w:leader="none" w:pos="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820" w:right="80" w:hanging="407"/>
        <w:spacing w:after="0" w:line="292" w:lineRule="auto"/>
        <w:tabs>
          <w:tab w:leader="none" w:pos="8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8"/>
          <w:szCs w:val="18"/>
          <w:color w:val="auto"/>
        </w:rPr>
      </w:pPr>
    </w:p>
    <w:p>
      <w:pPr>
        <w:ind w:left="820" w:right="240" w:hanging="407"/>
        <w:spacing w:after="0" w:line="292" w:lineRule="auto"/>
        <w:tabs>
          <w:tab w:leader="none" w:pos="835"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202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886"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252" w:lineRule="exact"/>
        <w:rPr>
          <w:sz w:val="20"/>
          <w:szCs w:val="20"/>
          <w:color w:val="auto"/>
        </w:rPr>
      </w:pPr>
    </w:p>
    <w:p>
      <w:pPr>
        <w:ind w:left="200" w:hanging="192"/>
        <w:spacing w:after="0"/>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52" w:lineRule="exact"/>
        <w:rPr>
          <w:rFonts w:ascii="Arial" w:cs="Arial" w:eastAsia="Arial" w:hAnsi="Arial"/>
          <w:sz w:val="18"/>
          <w:szCs w:val="18"/>
          <w:color w:val="auto"/>
        </w:rPr>
      </w:pPr>
    </w:p>
    <w:p>
      <w:pPr>
        <w:ind w:right="100" w:firstLine="8"/>
        <w:spacing w:after="0" w:line="271"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ind w:right="420" w:firstLine="8"/>
        <w:spacing w:after="0" w:line="323" w:lineRule="auto"/>
        <w:tabs>
          <w:tab w:leader="none" w:pos="2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ind w:right="40" w:firstLine="8"/>
        <w:spacing w:after="0" w:line="271"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820" w:right="80" w:hanging="407"/>
        <w:spacing w:after="0" w:line="271" w:lineRule="auto"/>
        <w:tabs>
          <w:tab w:leader="none" w:pos="83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ind w:left="820" w:right="460" w:hanging="407"/>
        <w:spacing w:after="0" w:line="271" w:lineRule="auto"/>
        <w:tabs>
          <w:tab w:leader="none" w:pos="83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820" w:right="40" w:hanging="407"/>
        <w:spacing w:after="0" w:line="271" w:lineRule="auto"/>
        <w:tabs>
          <w:tab w:leader="none" w:pos="825" w:val="left"/>
        </w:tabs>
        <w:numPr>
          <w:ilvl w:val="1"/>
          <w:numId w:val="7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820" w:right="80" w:hanging="407"/>
        <w:spacing w:after="0" w:line="271" w:lineRule="auto"/>
        <w:tabs>
          <w:tab w:leader="none" w:pos="83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right="620" w:firstLine="8"/>
        <w:spacing w:after="0" w:line="271" w:lineRule="auto"/>
        <w:tabs>
          <w:tab w:leader="none" w:pos="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820" w:right="80" w:hanging="407"/>
        <w:spacing w:after="0" w:line="292" w:lineRule="auto"/>
        <w:tabs>
          <w:tab w:leader="none" w:pos="83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8"/>
          <w:szCs w:val="18"/>
          <w:color w:val="auto"/>
        </w:rPr>
      </w:pPr>
    </w:p>
    <w:p>
      <w:pPr>
        <w:ind w:left="820" w:right="240" w:hanging="407"/>
        <w:spacing w:after="0" w:line="292" w:lineRule="auto"/>
        <w:tabs>
          <w:tab w:leader="none" w:pos="83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202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886"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2020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96"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400" w:firstLine="8"/>
        <w:spacing w:after="0" w:line="292" w:lineRule="auto"/>
        <w:tabs>
          <w:tab w:leader="none" w:pos="2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202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9202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lowerLetter"/>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lvl w:ilvl="1">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21"/>
    </w:lvl>
  </w:abstractNum>
  <w:abstractNum w:abstractNumId="40">
    <w:nsid w:val="D34B6A8"/>
    <w:multiLevelType w:val="hybridMultilevel"/>
    <w:lvl w:ilvl="0">
      <w:lvlJc w:val="left"/>
      <w:lvlText w:val="%1"/>
      <w:numFmt w:val="decimal"/>
      <w:start w:val="23"/>
    </w:lvl>
  </w:abstractNum>
  <w:abstractNum w:abstractNumId="41">
    <w:nsid w:val="10233C99"/>
    <w:multiLevelType w:val="hybridMultilevel"/>
    <w:lvl w:ilvl="0">
      <w:lvlJc w:val="left"/>
      <w:lvlText w:val="%1"/>
      <w:numFmt w:val="decimal"/>
      <w:start w:val="32"/>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2"/>
    </w:lvl>
  </w:abstractNum>
  <w:abstractNum w:abstractNumId="54">
    <w:nsid w:val="1381823A"/>
    <w:multiLevelType w:val="hybridMultilevel"/>
    <w:lvl w:ilvl="0">
      <w:lvlJc w:val="left"/>
      <w:lvlText w:val="%1."/>
      <w:numFmt w:val="decimal"/>
      <w:start w:val="3"/>
    </w:lvl>
  </w:abstractNum>
  <w:abstractNum w:abstractNumId="55">
    <w:nsid w:val="5DB70AE5"/>
    <w:multiLevelType w:val="hybridMultilevel"/>
    <w:lvl w:ilvl="0">
      <w:lvlJc w:val="left"/>
      <w:lvlText w:val="%1."/>
      <w:numFmt w:val="decimal"/>
      <w:start w:val="4"/>
    </w:lvl>
  </w:abstractNum>
  <w:abstractNum w:abstractNumId="56">
    <w:nsid w:val="100F8FCA"/>
    <w:multiLevelType w:val="hybridMultilevel"/>
    <w:lvl w:ilvl="0">
      <w:lvlJc w:val="left"/>
      <w:lvlText w:val="%1."/>
      <w:numFmt w:val="decimal"/>
      <w:start w:val="5"/>
    </w:lvl>
  </w:abstractNum>
  <w:abstractNum w:abstractNumId="57">
    <w:nsid w:val="6590700B"/>
    <w:multiLevelType w:val="hybridMultilevel"/>
    <w:lvl w:ilvl="0">
      <w:lvlJc w:val="left"/>
      <w:lvlText w:val="%1."/>
      <w:numFmt w:val="decimal"/>
      <w:start w:val="6"/>
    </w:lvl>
  </w:abstractNum>
  <w:abstractNum w:abstractNumId="58">
    <w:nsid w:val="15014ACB"/>
    <w:multiLevelType w:val="hybridMultilevel"/>
    <w:lvl w:ilvl="0">
      <w:lvlJc w:val="left"/>
      <w:lvlText w:val="%1."/>
      <w:numFmt w:val="decimal"/>
      <w:start w:val="9"/>
    </w:lvl>
  </w:abstractNum>
  <w:abstractNum w:abstractNumId="59">
    <w:nsid w:val="5F5E7FD0"/>
    <w:multiLevelType w:val="hybridMultilevel"/>
    <w:lvl w:ilvl="0">
      <w:lvlJc w:val="left"/>
      <w:lvlText w:val="%1."/>
      <w:numFmt w:val="decimal"/>
      <w:start w:val="1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emdash "/>
      <w:numFmt w:val="bullet"/>
      <w:start w:val="1"/>
    </w:lvl>
  </w:abstractNum>
  <w:abstractNum w:abstractNumId="63">
    <w:nsid w:val="42C296BD"/>
    <w:multiLevelType w:val="hybridMultilevel"/>
    <w:lvl w:ilvl="0">
      <w:lvlJc w:val="left"/>
      <w:lvlText w:val="%1."/>
      <w:numFmt w:val="decimal"/>
      <w:start w:val="12"/>
    </w:lvl>
  </w:abstractNum>
  <w:abstractNum w:abstractNumId="64">
    <w:nsid w:val="168E121F"/>
    <w:multiLevelType w:val="hybridMultilevel"/>
    <w:lvl w:ilvl="0">
      <w:lvlJc w:val="left"/>
      <w:lvlText w:val="(%1)"/>
      <w:numFmt w:val="decimal"/>
      <w:start w:val="1"/>
    </w:lvl>
  </w:abstractNum>
  <w:abstractNum w:abstractNumId="65">
    <w:nsid w:val="1EBA5D23"/>
    <w:multiLevelType w:val="hybridMultilevel"/>
    <w:lvl w:ilvl="0">
      <w:lvlJc w:val="left"/>
      <w:lvlText w:val="%1."/>
      <w:numFmt w:val="decimal"/>
      <w:start w:val="13"/>
    </w:lvl>
  </w:abstractNum>
  <w:abstractNum w:abstractNumId="66">
    <w:nsid w:val="661E3F1E"/>
    <w:multiLevelType w:val="hybridMultilevel"/>
    <w:lvl w:ilvl="0">
      <w:lvlJc w:val="left"/>
      <w:lvlText w:val="%1."/>
      <w:numFmt w:val="decimal"/>
      <w:start w:val="14"/>
    </w:lvl>
  </w:abstractNum>
  <w:abstractNum w:abstractNumId="67">
    <w:nsid w:val="5DC79EA8"/>
    <w:multiLevelType w:val="hybridMultilevel"/>
    <w:lvl w:ilvl="0">
      <w:lvlJc w:val="left"/>
      <w:lvlText w:val="%1."/>
      <w:numFmt w:val="decimal"/>
      <w:start w:val="15"/>
    </w:lvl>
  </w:abstractNum>
  <w:abstractNum w:abstractNumId="68">
    <w:nsid w:val="540A471C"/>
    <w:multiLevelType w:val="hybridMultilevel"/>
    <w:lvl w:ilvl="0">
      <w:lvlJc w:val="left"/>
      <w:lvlText w:val="(%1)"/>
      <w:numFmt w:val="decimal"/>
      <w:start w:val="1"/>
    </w:lvl>
  </w:abstractNum>
  <w:abstractNum w:abstractNumId="69">
    <w:nsid w:val="7BD3EE7B"/>
    <w:multiLevelType w:val="hybridMultilevel"/>
    <w:lvl w:ilvl="0">
      <w:lvlJc w:val="left"/>
      <w:lvlText w:val="(%1)"/>
      <w:numFmt w:val="decimal"/>
      <w:start w:val="1"/>
    </w:lvl>
  </w:abstractNum>
  <w:abstractNum w:abstractNumId="70">
    <w:nsid w:val="51D9C564"/>
    <w:multiLevelType w:val="hybridMultilevel"/>
    <w:lvl w:ilvl="0">
      <w:lvlJc w:val="left"/>
      <w:lvlText w:val="%1."/>
      <w:numFmt w:val="decimal"/>
      <w:start w:val="18"/>
    </w:lvl>
  </w:abstractNum>
  <w:abstractNum w:abstractNumId="71">
    <w:nsid w:val="613EFDC5"/>
    <w:multiLevelType w:val="hybridMultilevel"/>
    <w:lvl w:ilvl="0">
      <w:lvlJc w:val="left"/>
      <w:lvlText w:val="%1."/>
      <w:numFmt w:val="decimal"/>
      <w:start w:val="19"/>
    </w:lvl>
  </w:abstractNum>
  <w:abstractNum w:abstractNumId="72">
    <w:nsid w:val="BF72B14"/>
    <w:multiLevelType w:val="hybridMultilevel"/>
    <w:lvl w:ilvl="0">
      <w:lvlJc w:val="left"/>
      <w:lvlText w:val="•"/>
      <w:numFmt w:val="bullet"/>
      <w:start w:val="1"/>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20"/>
    </w:lvl>
  </w:abstractNum>
  <w:abstractNum w:abstractNumId="75">
    <w:nsid w:val="A0382C5"/>
    <w:multiLevelType w:val="hybridMultilevel"/>
    <w:lvl w:ilvl="0">
      <w:lvlJc w:val="left"/>
      <w:lvlText w:val="(%1)"/>
      <w:numFmt w:val="lowerLetter"/>
      <w:start w:val="1"/>
    </w:lvl>
    <w:lvl w:ilvl="1">
      <w:lvlJc w:val="left"/>
      <w:lvlText w:val="(%2)"/>
      <w:numFmt w:val="lowerLetter"/>
      <w:start w:val="5"/>
    </w:lvl>
  </w:abstractNum>
  <w:abstractNum w:abstractNumId="76">
    <w:nsid w:val="8F2B15E"/>
    <w:multiLevelType w:val="hybridMultilevel"/>
    <w:lvl w:ilvl="0">
      <w:lvlJc w:val="left"/>
      <w:lvlText w:val="(%1)"/>
      <w:numFmt w:val="lowerLetter"/>
      <w:start w:val="13"/>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decimal"/>
      <w:start w:val="1"/>
    </w:lvl>
    <w:lvl w:ilvl="1">
      <w:lvlJc w:val="left"/>
      <w:lvlText w:val="(%2)"/>
      <w:numFmt w:val="lowerLetter"/>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52" Type="http://schemas.openxmlformats.org/officeDocument/2006/relationships/hyperlink" Target="http://www.sec.gov/Archives/edgar/data/104889/000095015717000514/ex2-1.htm" TargetMode="External"/><Relationship Id="rId53" Type="http://schemas.openxmlformats.org/officeDocument/2006/relationships/hyperlink" Target="http://www.sec.gov/Archives/edgar/data/104889/000095013304000785/w94191exv3w1.htm" TargetMode="External"/><Relationship Id="rId54" Type="http://schemas.openxmlformats.org/officeDocument/2006/relationships/hyperlink" Target="http://www.sec.gov/Archives/edgar/data/104889/000095015713000428/ex3-1.htm" TargetMode="External"/><Relationship Id="rId55" Type="http://schemas.openxmlformats.org/officeDocument/2006/relationships/hyperlink" Target="http://www.sec.gov/Archives/edgar/data/104889/000095015713000428/ex3-2.htm" TargetMode="External"/><Relationship Id="rId56" Type="http://schemas.openxmlformats.org/officeDocument/2006/relationships/hyperlink" Target="http://www.sec.gov/Archives/edgar/data/104889/000095015718000572/ex4-1.htm" TargetMode="External"/><Relationship Id="rId57" Type="http://schemas.openxmlformats.org/officeDocument/2006/relationships/hyperlink" Target="https://www.sec.gov/Archives/edgar/data/104889/000010488920000031/dex42.htm" TargetMode="External"/><Relationship Id="rId58" Type="http://schemas.openxmlformats.org/officeDocument/2006/relationships/hyperlink" Target="http://www.sec.gov/Archives/edgar/data/104889/000010488920000007/dex42.htm" TargetMode="External"/><Relationship Id="rId59" Type="http://schemas.openxmlformats.org/officeDocument/2006/relationships/hyperlink" Target="http://www.sec.gov/Archives/edgar/data/104889/000010488918000036/dex42.htm" TargetMode="External"/><Relationship Id="rId60" Type="http://schemas.openxmlformats.org/officeDocument/2006/relationships/hyperlink" Target="http://www.sec.gov/Archives/edgar/data/104889/000095015718000360/ex10-1.htm" TargetMode="External"/><Relationship Id="rId61" Type="http://schemas.openxmlformats.org/officeDocument/2006/relationships/hyperlink" Target="http://www.sec.gov/Archives/edgar/data/104889/000010488919000037/dex101.htm" TargetMode="External"/><Relationship Id="rId62" Type="http://schemas.openxmlformats.org/officeDocument/2006/relationships/hyperlink" Target="http://www.sec.gov/Archives/edgar/data/104889/000010488916000088/dex101.htm" TargetMode="External"/><Relationship Id="rId63" Type="http://schemas.openxmlformats.org/officeDocument/2006/relationships/hyperlink" Target="http://www.sec.gov/Archives/edgar/data/104889/000119312503072185/dex101.htm" TargetMode="External"/><Relationship Id="rId64" Type="http://schemas.openxmlformats.org/officeDocument/2006/relationships/hyperlink" Target="http://www.sec.gov/Archives/edgar/data/104889/000010488914000013/dex103.htm" TargetMode="External"/><Relationship Id="rId65" Type="http://schemas.openxmlformats.org/officeDocument/2006/relationships/hyperlink" Target="http://www.sec.gov/Archives/edgar/data/104889/000010488915000017/dex104.htm" TargetMode="External"/><Relationship Id="rId66" Type="http://schemas.openxmlformats.org/officeDocument/2006/relationships/hyperlink" Target="http://www.sec.gov/Archives/edgar/data/104889/000010488914000013/dex104.htm" TargetMode="External"/><Relationship Id="rId67" Type="http://schemas.openxmlformats.org/officeDocument/2006/relationships/hyperlink" Target="http://www.sec.gov/Archives/edgar/data/104889/000010488915000017/dex106.htm" TargetMode="External"/><Relationship Id="rId70" Type="http://schemas.openxmlformats.org/officeDocument/2006/relationships/hyperlink" Target="http://www.sec.gov/Archives/edgar/data/104889/000010488915000032/dex101.htm" TargetMode="External"/><Relationship Id="rId71" Type="http://schemas.openxmlformats.org/officeDocument/2006/relationships/hyperlink" Target="http://www.sec.gov/Archives/edgar/data/104889/000010488919000013/dex1010.htm" TargetMode="External"/><Relationship Id="rId72" Type="http://schemas.openxmlformats.org/officeDocument/2006/relationships/hyperlink" Target="https://www.sec.gov/Archives/edgar/data/104889/000010488920000084/a2020-12x15form8xk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2021-02-24T10:23:40Z</dcterms:created>
  <dcterms:modified xsi:type="dcterms:W3CDTF">2021-02-24T10:23:40Z</dcterms:modified>
</cp:coreProperties>
</file>