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243205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333375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2, 2019</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49" w:lineRule="exact"/>
        <w:rPr>
          <w:sz w:val="24"/>
          <w:szCs w:val="24"/>
          <w:color w:val="auto"/>
        </w:rPr>
      </w:pPr>
    </w:p>
    <w:tbl>
      <w:tblPr>
        <w:tblLayout w:type="fixed"/>
        <w:tblInd w:w="1100" w:type="dxa"/>
        <w:tblCellMar>
          <w:top w:w="0" w:type="dxa"/>
          <w:left w:w="0" w:type="dxa"/>
          <w:bottom w:w="0" w:type="dxa"/>
          <w:right w:w="0" w:type="dxa"/>
        </w:tblCellMar>
      </w:tblPr>
      <w:tr>
        <w:trPr>
          <w:trHeight w:val="253"/>
        </w:trPr>
        <w:tc>
          <w:tcPr>
            <w:tcW w:w="4180" w:type="dxa"/>
            <w:vAlign w:val="bottom"/>
          </w:tcPr>
          <w:p>
            <w:pPr>
              <w:jc w:val="center"/>
              <w:ind w:right="2141"/>
              <w:spacing w:after="0"/>
              <w:rPr>
                <w:sz w:val="20"/>
                <w:szCs w:val="20"/>
                <w:color w:val="auto"/>
              </w:rPr>
            </w:pPr>
            <w:r>
              <w:rPr>
                <w:rFonts w:ascii="Arial" w:cs="Arial" w:eastAsia="Arial" w:hAnsi="Arial"/>
                <w:sz w:val="18"/>
                <w:szCs w:val="18"/>
                <w:b w:val="1"/>
                <w:bCs w:val="1"/>
                <w:color w:val="auto"/>
              </w:rPr>
              <w:t>Delaware</w:t>
            </w:r>
          </w:p>
        </w:tc>
        <w:tc>
          <w:tcPr>
            <w:tcW w:w="2320" w:type="dxa"/>
            <w:vAlign w:val="bottom"/>
          </w:tcPr>
          <w:p>
            <w:pPr>
              <w:jc w:val="center"/>
              <w:ind w:right="1122"/>
              <w:spacing w:after="0"/>
              <w:rPr>
                <w:sz w:val="20"/>
                <w:szCs w:val="20"/>
                <w:color w:val="auto"/>
              </w:rPr>
            </w:pPr>
            <w:r>
              <w:rPr>
                <w:rFonts w:ascii="Arial" w:cs="Arial" w:eastAsia="Arial" w:hAnsi="Arial"/>
                <w:sz w:val="18"/>
                <w:szCs w:val="18"/>
                <w:b w:val="1"/>
                <w:bCs w:val="1"/>
                <w:color w:val="auto"/>
                <w:w w:val="99"/>
              </w:rPr>
              <w:t>1-6714</w:t>
            </w:r>
          </w:p>
        </w:tc>
        <w:tc>
          <w:tcPr>
            <w:tcW w:w="2540" w:type="dxa"/>
            <w:vAlign w:val="bottom"/>
          </w:tcPr>
          <w:p>
            <w:pPr>
              <w:jc w:val="right"/>
              <w:ind w:right="61"/>
              <w:spacing w:after="0"/>
              <w:rPr>
                <w:sz w:val="20"/>
                <w:szCs w:val="20"/>
                <w:color w:val="auto"/>
              </w:rPr>
            </w:pPr>
            <w:r>
              <w:rPr>
                <w:rFonts w:ascii="Arial" w:cs="Arial" w:eastAsia="Arial" w:hAnsi="Arial"/>
                <w:sz w:val="18"/>
                <w:szCs w:val="18"/>
                <w:b w:val="1"/>
                <w:bCs w:val="1"/>
                <w:color w:val="auto"/>
              </w:rPr>
              <w:t>53-0182885</w:t>
            </w:r>
          </w:p>
        </w:tc>
      </w:tr>
      <w:tr>
        <w:trPr>
          <w:trHeight w:val="229"/>
        </w:trPr>
        <w:tc>
          <w:tcPr>
            <w:tcW w:w="418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20" w:type="dxa"/>
            <w:vAlign w:val="bottom"/>
          </w:tcPr>
          <w:p>
            <w:pPr>
              <w:jc w:val="center"/>
              <w:ind w:right="1122"/>
              <w:spacing w:after="0"/>
              <w:rPr>
                <w:sz w:val="20"/>
                <w:szCs w:val="20"/>
                <w:color w:val="auto"/>
              </w:rPr>
            </w:pPr>
            <w:r>
              <w:rPr>
                <w:rFonts w:ascii="Arial" w:cs="Arial" w:eastAsia="Arial" w:hAnsi="Arial"/>
                <w:sz w:val="14"/>
                <w:szCs w:val="14"/>
                <w:b w:val="1"/>
                <w:bCs w:val="1"/>
                <w:color w:val="auto"/>
              </w:rPr>
              <w:t>(Commission</w:t>
            </w:r>
          </w:p>
        </w:tc>
        <w:tc>
          <w:tcPr>
            <w:tcW w:w="2540" w:type="dxa"/>
            <w:vAlign w:val="bottom"/>
          </w:tcPr>
          <w:p>
            <w:pPr>
              <w:jc w:val="center"/>
              <w:ind w:left="1241"/>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418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20" w:type="dxa"/>
            <w:vAlign w:val="bottom"/>
          </w:tcPr>
          <w:p>
            <w:pPr>
              <w:jc w:val="center"/>
              <w:ind w:right="1122"/>
              <w:spacing w:after="0"/>
              <w:rPr>
                <w:sz w:val="20"/>
                <w:szCs w:val="20"/>
                <w:color w:val="auto"/>
              </w:rPr>
            </w:pPr>
            <w:r>
              <w:rPr>
                <w:rFonts w:ascii="Arial" w:cs="Arial" w:eastAsia="Arial" w:hAnsi="Arial"/>
                <w:sz w:val="14"/>
                <w:szCs w:val="14"/>
                <w:b w:val="1"/>
                <w:bCs w:val="1"/>
                <w:color w:val="auto"/>
              </w:rPr>
              <w:t>File Number)</w:t>
            </w:r>
          </w:p>
        </w:tc>
        <w:tc>
          <w:tcPr>
            <w:tcW w:w="254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622"/>
        </w:trPr>
        <w:tc>
          <w:tcPr>
            <w:tcW w:w="650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43"/>
        </w:trPr>
        <w:tc>
          <w:tcPr>
            <w:tcW w:w="4180" w:type="dxa"/>
            <w:vAlign w:val="bottom"/>
          </w:tcPr>
          <w:p>
            <w:pPr>
              <w:jc w:val="center"/>
              <w:ind w:left="1221"/>
              <w:spacing w:after="0"/>
              <w:rPr>
                <w:sz w:val="20"/>
                <w:szCs w:val="20"/>
                <w:color w:val="auto"/>
              </w:rPr>
            </w:pPr>
            <w:r>
              <w:rPr>
                <w:rFonts w:ascii="Arial" w:cs="Arial" w:eastAsia="Arial" w:hAnsi="Arial"/>
                <w:sz w:val="14"/>
                <w:szCs w:val="14"/>
                <w:b w:val="1"/>
                <w:bCs w:val="1"/>
                <w:color w:val="auto"/>
              </w:rPr>
              <w:t>(Address of principal executive offices)</w:t>
            </w:r>
          </w:p>
        </w:tc>
        <w:tc>
          <w:tcPr>
            <w:tcW w:w="2320" w:type="dxa"/>
            <w:vAlign w:val="bottom"/>
          </w:tcPr>
          <w:p>
            <w:pPr>
              <w:spacing w:after="0"/>
              <w:rPr>
                <w:sz w:val="21"/>
                <w:szCs w:val="21"/>
                <w:color w:val="auto"/>
              </w:rPr>
            </w:pPr>
          </w:p>
        </w:tc>
        <w:tc>
          <w:tcPr>
            <w:tcW w:w="2540" w:type="dxa"/>
            <w:vAlign w:val="bottom"/>
          </w:tcPr>
          <w:p>
            <w:pPr>
              <w:jc w:val="center"/>
              <w:ind w:left="1221"/>
              <w:spacing w:after="0"/>
              <w:rPr>
                <w:sz w:val="20"/>
                <w:szCs w:val="20"/>
                <w:color w:val="auto"/>
              </w:rPr>
            </w:pPr>
            <w:r>
              <w:rPr>
                <w:rFonts w:ascii="Arial" w:cs="Arial" w:eastAsia="Arial" w:hAnsi="Arial"/>
                <w:sz w:val="14"/>
                <w:szCs w:val="14"/>
                <w:b w:val="1"/>
                <w:bCs w:val="1"/>
                <w:color w:val="auto"/>
              </w:rPr>
              <w:t>(Zip Code)</w:t>
            </w:r>
          </w:p>
        </w:tc>
      </w:tr>
    </w:tbl>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164465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spacing w:after="0" w:line="339"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1"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93" w:lineRule="exact"/>
        <w:rPr>
          <w:sz w:val="24"/>
          <w:szCs w:val="24"/>
          <w:color w:val="auto"/>
        </w:rPr>
      </w:pPr>
    </w:p>
    <w:p>
      <w:pPr>
        <w:ind w:right="180"/>
        <w:spacing w:after="0" w:line="292" w:lineRule="auto"/>
        <w:rPr>
          <w:sz w:val="20"/>
          <w:szCs w:val="20"/>
          <w:color w:val="auto"/>
        </w:rPr>
      </w:pPr>
      <w:r>
        <w:rPr>
          <w:rFonts w:ascii="Arial" w:cs="Arial" w:eastAsia="Arial" w:hAnsi="Arial"/>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211D1E"/>
        </w:rPr>
        <w:t xml:space="preserve">Emerging growth company </w:t>
      </w:r>
      <w:r>
        <w:rPr>
          <w:rFonts w:ascii="Times New Roman" w:cs="Times New Roman" w:eastAsia="Times New Roman" w:hAnsi="Times New Roman"/>
          <w:sz w:val="18"/>
          <w:szCs w:val="18"/>
          <w:color w:val="211D1E"/>
        </w:rPr>
        <w:t>o</w:t>
      </w:r>
    </w:p>
    <w:p>
      <w:pPr>
        <w:spacing w:after="0" w:line="184" w:lineRule="exact"/>
        <w:rPr>
          <w:sz w:val="24"/>
          <w:szCs w:val="24"/>
          <w:color w:val="auto"/>
        </w:rPr>
      </w:pPr>
    </w:p>
    <w:p>
      <w:pPr>
        <w:spacing w:after="0" w:line="291" w:lineRule="auto"/>
        <w:rPr>
          <w:sz w:val="20"/>
          <w:szCs w:val="20"/>
          <w:color w:val="auto"/>
        </w:rPr>
      </w:pPr>
      <w:r>
        <w:rPr>
          <w:rFonts w:ascii="Arial" w:cs="Arial" w:eastAsia="Arial" w:hAnsi="Arial"/>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8"/>
          <w:szCs w:val="18"/>
          <w:color w:val="211D1E"/>
        </w:rPr>
        <w:t>o</w:t>
      </w:r>
    </w:p>
    <w:p>
      <w:pPr>
        <w:sectPr>
          <w:pgSz w:w="11900" w:h="16838" w:orient="portrait"/>
          <w:cols w:equalWidth="0" w:num="1">
            <w:col w:w="11420"/>
          </w:cols>
          <w:pgMar w:left="240" w:top="112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7" w:lineRule="exact"/>
        <w:rPr>
          <w:sz w:val="20"/>
          <w:szCs w:val="20"/>
          <w:color w:val="auto"/>
        </w:rPr>
      </w:pPr>
    </w:p>
    <w:p>
      <w:pPr>
        <w:ind w:right="40" w:firstLine="648"/>
        <w:spacing w:after="0" w:line="292" w:lineRule="auto"/>
        <w:rPr>
          <w:sz w:val="20"/>
          <w:szCs w:val="20"/>
          <w:color w:val="auto"/>
        </w:rPr>
      </w:pPr>
      <w:r>
        <w:rPr>
          <w:rFonts w:ascii="Arial" w:cs="Arial" w:eastAsia="Arial" w:hAnsi="Arial"/>
          <w:sz w:val="18"/>
          <w:szCs w:val="18"/>
          <w:color w:val="auto"/>
        </w:rPr>
        <w:t>On May 2, 2019, Graham Holdings Company held its Annual Meeting of Stockholders. The following is a summary of the final voting results for each matter presented to stockholders.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stockholders elected the ten persons nominated as Directors of the Company as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Class A Common Stock Nominees</w:t>
            </w:r>
          </w:p>
        </w:tc>
        <w:tc>
          <w:tcPr>
            <w:tcW w:w="20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392"/>
        </w:trPr>
        <w:tc>
          <w:tcPr>
            <w:tcW w:w="3300" w:type="dxa"/>
            <w:vAlign w:val="bottom"/>
          </w:tcPr>
          <w:p>
            <w:pPr>
              <w:spacing w:after="0"/>
              <w:rPr>
                <w:sz w:val="24"/>
                <w:szCs w:val="24"/>
                <w:color w:val="auto"/>
              </w:rPr>
            </w:pPr>
          </w:p>
        </w:tc>
        <w:tc>
          <w:tcPr>
            <w:tcW w:w="2000" w:type="dxa"/>
            <w:vAlign w:val="bottom"/>
          </w:tcPr>
          <w:p>
            <w:pPr>
              <w:jc w:val="center"/>
              <w:ind w:right="30"/>
              <w:spacing w:after="0"/>
              <w:rPr>
                <w:sz w:val="20"/>
                <w:szCs w:val="20"/>
                <w:color w:val="auto"/>
              </w:rPr>
            </w:pPr>
            <w:r>
              <w:rPr>
                <w:rFonts w:ascii="Arial" w:cs="Arial" w:eastAsia="Arial" w:hAnsi="Arial"/>
                <w:sz w:val="18"/>
                <w:szCs w:val="18"/>
                <w:color w:val="auto"/>
              </w:rPr>
              <w:t>For</w:t>
            </w:r>
          </w:p>
        </w:tc>
        <w:tc>
          <w:tcPr>
            <w:tcW w:w="2040" w:type="dxa"/>
            <w:vAlign w:val="bottom"/>
          </w:tcPr>
          <w:p>
            <w:pPr>
              <w:ind w:left="640"/>
              <w:spacing w:after="0"/>
              <w:rPr>
                <w:sz w:val="20"/>
                <w:szCs w:val="20"/>
                <w:color w:val="auto"/>
              </w:rPr>
            </w:pPr>
            <w:r>
              <w:rPr>
                <w:rFonts w:ascii="Arial" w:cs="Arial" w:eastAsia="Arial" w:hAnsi="Arial"/>
                <w:sz w:val="18"/>
                <w:szCs w:val="18"/>
                <w:color w:val="auto"/>
              </w:rPr>
              <w:t>Withheld</w:t>
            </w:r>
          </w:p>
        </w:tc>
        <w:tc>
          <w:tcPr>
            <w:tcW w:w="1820" w:type="dxa"/>
            <w:vAlign w:val="bottom"/>
          </w:tcPr>
          <w:p>
            <w:pPr>
              <w:jc w:val="center"/>
              <w:ind w:left="9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Broker Non-Votes</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Lee C. Bollinger</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Thomas S. Gayner</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Donald E. Graham</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Jack A. Markell</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Timothy J. O'Shaughnessy</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G. Richard Wagoner, Jr.</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Katharine Weymouth</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446"/>
        </w:trPr>
        <w:tc>
          <w:tcPr>
            <w:tcW w:w="3300" w:type="dxa"/>
            <w:vAlign w:val="bottom"/>
          </w:tcPr>
          <w:p>
            <w:pPr>
              <w:spacing w:after="0"/>
              <w:rPr>
                <w:sz w:val="20"/>
                <w:szCs w:val="20"/>
                <w:color w:val="auto"/>
              </w:rPr>
            </w:pPr>
            <w:r>
              <w:rPr>
                <w:rFonts w:ascii="Arial" w:cs="Arial" w:eastAsia="Arial" w:hAnsi="Arial"/>
                <w:sz w:val="18"/>
                <w:szCs w:val="18"/>
                <w:color w:val="auto"/>
              </w:rPr>
              <w:t>Class B Common Stock Nominees</w:t>
            </w:r>
          </w:p>
        </w:tc>
        <w:tc>
          <w:tcPr>
            <w:tcW w:w="20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92"/>
        </w:trPr>
        <w:tc>
          <w:tcPr>
            <w:tcW w:w="3300" w:type="dxa"/>
            <w:vAlign w:val="bottom"/>
          </w:tcPr>
          <w:p>
            <w:pPr>
              <w:spacing w:after="0"/>
              <w:rPr>
                <w:sz w:val="24"/>
                <w:szCs w:val="24"/>
                <w:color w:val="auto"/>
              </w:rPr>
            </w:pP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6"/>
              </w:rPr>
              <w:t>For</w:t>
            </w:r>
          </w:p>
        </w:tc>
        <w:tc>
          <w:tcPr>
            <w:tcW w:w="2040" w:type="dxa"/>
            <w:vAlign w:val="bottom"/>
          </w:tcPr>
          <w:p>
            <w:pPr>
              <w:ind w:left="640"/>
              <w:spacing w:after="0"/>
              <w:rPr>
                <w:sz w:val="20"/>
                <w:szCs w:val="20"/>
                <w:color w:val="auto"/>
              </w:rPr>
            </w:pPr>
            <w:r>
              <w:rPr>
                <w:rFonts w:ascii="Arial" w:cs="Arial" w:eastAsia="Arial" w:hAnsi="Arial"/>
                <w:sz w:val="18"/>
                <w:szCs w:val="18"/>
                <w:color w:val="auto"/>
              </w:rPr>
              <w:t>Withheld</w:t>
            </w:r>
          </w:p>
        </w:tc>
        <w:tc>
          <w:tcPr>
            <w:tcW w:w="1820" w:type="dxa"/>
            <w:vAlign w:val="bottom"/>
          </w:tcPr>
          <w:p>
            <w:pPr>
              <w:jc w:val="center"/>
              <w:ind w:left="9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Broker Non-Votes</w:t>
            </w:r>
          </w:p>
        </w:tc>
      </w:tr>
      <w:tr>
        <w:trPr>
          <w:trHeight w:val="257"/>
        </w:trPr>
        <w:tc>
          <w:tcPr>
            <w:tcW w:w="3300" w:type="dxa"/>
            <w:vAlign w:val="bottom"/>
          </w:tcPr>
          <w:p>
            <w:pPr>
              <w:ind w:left="60"/>
              <w:spacing w:after="0"/>
              <w:rPr>
                <w:sz w:val="20"/>
                <w:szCs w:val="20"/>
                <w:color w:val="auto"/>
              </w:rPr>
            </w:pPr>
            <w:r>
              <w:rPr>
                <w:rFonts w:ascii="Arial" w:cs="Arial" w:eastAsia="Arial" w:hAnsi="Arial"/>
                <w:sz w:val="18"/>
                <w:szCs w:val="18"/>
                <w:color w:val="auto"/>
              </w:rPr>
              <w:t>Christopher C. Davis</w:t>
            </w:r>
          </w:p>
        </w:tc>
        <w:tc>
          <w:tcPr>
            <w:tcW w:w="2000" w:type="dxa"/>
            <w:vAlign w:val="bottom"/>
          </w:tcPr>
          <w:p>
            <w:pPr>
              <w:jc w:val="center"/>
              <w:ind w:right="30"/>
              <w:spacing w:after="0"/>
              <w:rPr>
                <w:sz w:val="20"/>
                <w:szCs w:val="20"/>
                <w:color w:val="auto"/>
              </w:rPr>
            </w:pPr>
            <w:r>
              <w:rPr>
                <w:rFonts w:ascii="Arial" w:cs="Arial" w:eastAsia="Arial" w:hAnsi="Arial"/>
                <w:sz w:val="18"/>
                <w:szCs w:val="18"/>
                <w:color w:val="auto"/>
                <w:w w:val="99"/>
              </w:rPr>
              <w:t>3,213,585</w:t>
            </w:r>
          </w:p>
        </w:tc>
        <w:tc>
          <w:tcPr>
            <w:tcW w:w="2040" w:type="dxa"/>
            <w:vAlign w:val="bottom"/>
          </w:tcPr>
          <w:p>
            <w:pPr>
              <w:jc w:val="center"/>
              <w:spacing w:after="0"/>
              <w:rPr>
                <w:sz w:val="20"/>
                <w:szCs w:val="20"/>
                <w:color w:val="auto"/>
              </w:rPr>
            </w:pPr>
            <w:r>
              <w:rPr>
                <w:rFonts w:ascii="Arial" w:cs="Arial" w:eastAsia="Arial" w:hAnsi="Arial"/>
                <w:sz w:val="18"/>
                <w:szCs w:val="18"/>
                <w:color w:val="auto"/>
              </w:rPr>
              <w:t>302,795</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60"/>
              <w:spacing w:after="0"/>
              <w:rPr>
                <w:sz w:val="20"/>
                <w:szCs w:val="20"/>
                <w:color w:val="auto"/>
              </w:rPr>
            </w:pPr>
            <w:r>
              <w:rPr>
                <w:rFonts w:ascii="Arial" w:cs="Arial" w:eastAsia="Arial" w:hAnsi="Arial"/>
                <w:sz w:val="18"/>
                <w:szCs w:val="18"/>
                <w:color w:val="auto"/>
              </w:rPr>
              <w:t>Anne M. Mulcahy</w:t>
            </w:r>
          </w:p>
        </w:tc>
        <w:tc>
          <w:tcPr>
            <w:tcW w:w="2000" w:type="dxa"/>
            <w:vAlign w:val="bottom"/>
          </w:tcPr>
          <w:p>
            <w:pPr>
              <w:jc w:val="center"/>
              <w:ind w:right="30"/>
              <w:spacing w:after="0"/>
              <w:rPr>
                <w:sz w:val="20"/>
                <w:szCs w:val="20"/>
                <w:color w:val="auto"/>
              </w:rPr>
            </w:pPr>
            <w:r>
              <w:rPr>
                <w:rFonts w:ascii="Arial" w:cs="Arial" w:eastAsia="Arial" w:hAnsi="Arial"/>
                <w:sz w:val="18"/>
                <w:szCs w:val="18"/>
                <w:color w:val="auto"/>
                <w:w w:val="99"/>
              </w:rPr>
              <w:t>3,416,459</w:t>
            </w:r>
          </w:p>
        </w:tc>
        <w:tc>
          <w:tcPr>
            <w:tcW w:w="2040" w:type="dxa"/>
            <w:vAlign w:val="bottom"/>
          </w:tcPr>
          <w:p>
            <w:pPr>
              <w:jc w:val="center"/>
              <w:spacing w:after="0"/>
              <w:rPr>
                <w:sz w:val="20"/>
                <w:szCs w:val="20"/>
                <w:color w:val="auto"/>
              </w:rPr>
            </w:pPr>
            <w:r>
              <w:rPr>
                <w:rFonts w:ascii="Arial" w:cs="Arial" w:eastAsia="Arial" w:hAnsi="Arial"/>
                <w:sz w:val="18"/>
                <w:szCs w:val="18"/>
                <w:color w:val="auto"/>
              </w:rPr>
              <w:t>99,921</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60"/>
              <w:spacing w:after="0"/>
              <w:rPr>
                <w:sz w:val="20"/>
                <w:szCs w:val="20"/>
                <w:color w:val="auto"/>
              </w:rPr>
            </w:pPr>
            <w:r>
              <w:rPr>
                <w:rFonts w:ascii="Arial" w:cs="Arial" w:eastAsia="Arial" w:hAnsi="Arial"/>
                <w:sz w:val="18"/>
                <w:szCs w:val="18"/>
                <w:color w:val="auto"/>
              </w:rPr>
              <w:t>Larry D. Thompson</w:t>
            </w:r>
          </w:p>
        </w:tc>
        <w:tc>
          <w:tcPr>
            <w:tcW w:w="2000" w:type="dxa"/>
            <w:vAlign w:val="bottom"/>
          </w:tcPr>
          <w:p>
            <w:pPr>
              <w:jc w:val="center"/>
              <w:ind w:right="30"/>
              <w:spacing w:after="0"/>
              <w:rPr>
                <w:sz w:val="20"/>
                <w:szCs w:val="20"/>
                <w:color w:val="auto"/>
              </w:rPr>
            </w:pPr>
            <w:r>
              <w:rPr>
                <w:rFonts w:ascii="Arial" w:cs="Arial" w:eastAsia="Arial" w:hAnsi="Arial"/>
                <w:sz w:val="18"/>
                <w:szCs w:val="18"/>
                <w:color w:val="auto"/>
                <w:w w:val="99"/>
              </w:rPr>
              <w:t>3,468,164</w:t>
            </w:r>
          </w:p>
        </w:tc>
        <w:tc>
          <w:tcPr>
            <w:tcW w:w="2040" w:type="dxa"/>
            <w:vAlign w:val="bottom"/>
          </w:tcPr>
          <w:p>
            <w:pPr>
              <w:jc w:val="center"/>
              <w:spacing w:after="0"/>
              <w:rPr>
                <w:sz w:val="20"/>
                <w:szCs w:val="20"/>
                <w:color w:val="auto"/>
              </w:rPr>
            </w:pPr>
            <w:r>
              <w:rPr>
                <w:rFonts w:ascii="Arial" w:cs="Arial" w:eastAsia="Arial" w:hAnsi="Arial"/>
                <w:sz w:val="18"/>
                <w:szCs w:val="18"/>
                <w:color w:val="auto"/>
              </w:rPr>
              <w:t>48,216</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0</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Proposal 2: Advisory Vote to Approve 2018 Compensation Awarded to Named Executive Officers</w:t>
      </w:r>
    </w:p>
    <w:p>
      <w:pPr>
        <w:spacing w:after="0" w:line="22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Company’s Class A stockholders approved, on an advisory basis, the compensation paid to the Company’s named executive officers for 2018, as set forth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ectPr>
          <w:pgSz w:w="11900" w:h="16838" w:orient="portrait"/>
          <w:cols w:equalWidth="0" w:num="1">
            <w:col w:w="11200"/>
          </w:cols>
          <w:pgMar w:left="240" w:top="574" w:right="45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964,001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720"/>
        <w:spacing w:after="0"/>
        <w:rPr>
          <w:sz w:val="20"/>
          <w:szCs w:val="20"/>
          <w:color w:val="auto"/>
        </w:rPr>
      </w:pPr>
      <w:r>
        <w:rPr>
          <w:rFonts w:ascii="Arial" w:cs="Arial" w:eastAsia="Arial" w:hAnsi="Arial"/>
          <w:sz w:val="17"/>
          <w:szCs w:val="17"/>
          <w:color w:val="auto"/>
        </w:rPr>
        <w:t>Against</w:t>
      </w:r>
    </w:p>
    <w:p>
      <w:pPr>
        <w:spacing w:after="0" w:line="61"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Abstain</w:t>
      </w:r>
    </w:p>
    <w:p>
      <w:pPr>
        <w:spacing w:after="0" w:line="6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340"/>
        <w:spacing w:after="0"/>
        <w:rPr>
          <w:sz w:val="20"/>
          <w:szCs w:val="20"/>
          <w:color w:val="auto"/>
        </w:rPr>
      </w:pPr>
      <w:r>
        <w:rPr>
          <w:rFonts w:ascii="Arial" w:cs="Arial" w:eastAsia="Arial" w:hAnsi="Arial"/>
          <w:sz w:val="17"/>
          <w:szCs w:val="17"/>
          <w:color w:val="auto"/>
        </w:rPr>
        <w:t>Broker Non-Votes</w:t>
      </w:r>
    </w:p>
    <w:p>
      <w:pPr>
        <w:spacing w:after="0" w:line="61" w:lineRule="exact"/>
        <w:rPr>
          <w:sz w:val="20"/>
          <w:szCs w:val="20"/>
          <w:color w:val="auto"/>
        </w:rPr>
      </w:pPr>
    </w:p>
    <w:p>
      <w:pPr>
        <w:jc w:val="center"/>
        <w:ind w:right="3340"/>
        <w:spacing w:after="0"/>
        <w:rPr>
          <w:sz w:val="20"/>
          <w:szCs w:val="20"/>
          <w:color w:val="auto"/>
        </w:rPr>
      </w:pPr>
      <w:r>
        <w:rPr>
          <w:rFonts w:ascii="Arial" w:cs="Arial" w:eastAsia="Arial" w:hAnsi="Arial"/>
          <w:sz w:val="18"/>
          <w:szCs w:val="18"/>
          <w:color w:val="auto"/>
        </w:rPr>
        <w:t>0</w:t>
      </w:r>
    </w:p>
    <w:p>
      <w:pPr>
        <w:sectPr>
          <w:pgSz w:w="11900" w:h="16838" w:orient="portrait"/>
          <w:cols w:equalWidth="0" w:num="4">
            <w:col w:w="2060" w:space="720"/>
            <w:col w:w="1320" w:space="720"/>
            <w:col w:w="900" w:space="720"/>
            <w:col w:w="4760"/>
          </w:cols>
          <w:pgMar w:left="240" w:top="574" w:right="459" w:bottom="1440" w:gutter="0" w:footer="0" w:header="0"/>
          <w:type w:val="continuous"/>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7"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Graham Holdings Company</w:t>
      </w:r>
    </w:p>
    <w:p>
      <w:pPr>
        <w:spacing w:after="0" w:line="20"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(Registrant)</w:t>
      </w:r>
    </w:p>
    <w:p>
      <w:pPr>
        <w:spacing w:after="0" w:line="41" w:lineRule="exact"/>
        <w:rPr>
          <w:sz w:val="20"/>
          <w:szCs w:val="20"/>
          <w:color w:val="auto"/>
        </w:rPr>
      </w:pPr>
    </w:p>
    <w:p>
      <w:pPr>
        <w:ind w:left="280"/>
        <w:spacing w:after="0"/>
        <w:tabs>
          <w:tab w:leader="none" w:pos="7520" w:val="left"/>
        </w:tabs>
        <w:rPr>
          <w:sz w:val="20"/>
          <w:szCs w:val="20"/>
          <w:color w:val="auto"/>
        </w:rPr>
      </w:pPr>
      <w:r>
        <w:rPr>
          <w:rFonts w:ascii="Arial" w:cs="Arial" w:eastAsia="Arial" w:hAnsi="Arial"/>
          <w:sz w:val="18"/>
          <w:szCs w:val="18"/>
          <w:color w:val="auto"/>
        </w:rPr>
        <w:t>Date: May 2, 2019</w:t>
      </w:r>
      <w:r>
        <w:rPr>
          <w:sz w:val="20"/>
          <w:szCs w:val="20"/>
          <w:color w:val="auto"/>
        </w:rPr>
        <w:tab/>
      </w:r>
      <w:r>
        <w:rPr>
          <w:rFonts w:ascii="Arial" w:cs="Arial" w:eastAsia="Arial" w:hAnsi="Arial"/>
          <w:sz w:val="17"/>
          <w:szCs w:val="17"/>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28575</wp:posOffset>
            </wp:positionV>
            <wp:extent cx="3670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43"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(Signature)</w:t>
      </w:r>
    </w:p>
    <w:p>
      <w:pPr>
        <w:spacing w:after="0" w:line="13"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Nicole Maddrey</w:t>
      </w:r>
    </w:p>
    <w:p>
      <w:pPr>
        <w:jc w:val="center"/>
        <w:ind w:left="5140"/>
        <w:spacing w:after="0" w:line="234" w:lineRule="auto"/>
        <w:rPr>
          <w:sz w:val="20"/>
          <w:szCs w:val="20"/>
          <w:color w:val="auto"/>
        </w:rPr>
      </w:pPr>
      <w:r>
        <w:rPr>
          <w:rFonts w:ascii="Arial" w:cs="Arial" w:eastAsia="Arial" w:hAnsi="Arial"/>
          <w:sz w:val="18"/>
          <w:szCs w:val="18"/>
          <w:color w:val="auto"/>
        </w:rPr>
        <w:t>Senior Vice President, Secretary</w:t>
      </w:r>
    </w:p>
    <w:p>
      <w:pPr>
        <w:spacing w:after="0" w:line="1"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and General Counsel</w:t>
      </w:r>
    </w:p>
    <w:sectPr>
      <w:pgSz w:w="11900" w:h="16838" w:orient="portrait"/>
      <w:cols w:equalWidth="0" w:num="1">
        <w:col w:w="11200"/>
      </w:cols>
      <w:pgMar w:left="240" w:top="5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2019-12-04T23:37:42Z</dcterms:created>
  <dcterms:modified xsi:type="dcterms:W3CDTF">2019-12-04T23:37:42Z</dcterms:modified>
</cp:coreProperties>
</file>