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BERKSHIRE HATHAWAY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3555 FARNAM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Former 10% Owner</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92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0000FF"/>
              </w:rPr>
              <w:t>OMAHA</w:t>
            </w:r>
          </w:p>
        </w:tc>
        <w:tc>
          <w:tcPr>
            <w:tcW w:w="1840" w:type="dxa"/>
            <w:vAlign w:val="bottom"/>
            <w:gridSpan w:val="2"/>
          </w:tcPr>
          <w:p>
            <w:pPr>
              <w:ind w:left="580"/>
              <w:spacing w:after="0"/>
              <w:rPr>
                <w:sz w:val="20"/>
                <w:szCs w:val="20"/>
                <w:color w:val="auto"/>
              </w:rPr>
            </w:pPr>
            <w:r>
              <w:rPr>
                <w:rFonts w:ascii="Arial" w:cs="Arial" w:eastAsia="Arial" w:hAnsi="Arial"/>
                <w:sz w:val="18"/>
                <w:szCs w:val="18"/>
                <w:color w:val="0000FF"/>
              </w:rPr>
              <w:t>NE</w:t>
            </w:r>
          </w:p>
        </w:tc>
        <w:tc>
          <w:tcPr>
            <w:tcW w:w="1260" w:type="dxa"/>
            <w:vAlign w:val="bottom"/>
            <w:gridSpan w:val="3"/>
          </w:tcPr>
          <w:p>
            <w:pPr>
              <w:spacing w:after="0"/>
              <w:rPr>
                <w:sz w:val="20"/>
                <w:szCs w:val="20"/>
                <w:color w:val="auto"/>
              </w:rPr>
            </w:pPr>
            <w:r>
              <w:rPr>
                <w:rFonts w:ascii="Arial" w:cs="Arial" w:eastAsia="Arial" w:hAnsi="Arial"/>
                <w:sz w:val="18"/>
                <w:szCs w:val="18"/>
                <w:color w:val="0000FF"/>
              </w:rPr>
              <w:t>68131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40" w:type="dxa"/>
            <w:vAlign w:val="bottom"/>
            <w:gridSpan w:val="2"/>
            <w:vMerge w:val="restart"/>
          </w:tcPr>
          <w:p>
            <w:pPr>
              <w:ind w:left="58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restart"/>
          </w:tcPr>
          <w:p>
            <w:pPr>
              <w:ind w:left="16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gridSpan w:val="4"/>
          </w:tcPr>
          <w:p>
            <w:pPr>
              <w:ind w:left="860"/>
              <w:spacing w:after="0"/>
              <w:rPr>
                <w:sz w:val="20"/>
                <w:szCs w:val="20"/>
                <w:color w:val="auto"/>
              </w:rPr>
            </w:pPr>
            <w:r>
              <w:rPr>
                <w:rFonts w:ascii="Arial" w:cs="Arial" w:eastAsia="Arial" w:hAnsi="Arial"/>
                <w:sz w:val="18"/>
                <w:szCs w:val="18"/>
                <w:color w:val="0000FF"/>
              </w:rPr>
              <w:t>06/30/2014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1000" w:type="dxa"/>
            <w:vAlign w:val="bottom"/>
            <w:gridSpan w:val="2"/>
          </w:tcPr>
          <w:p>
            <w:pPr>
              <w:jc w:val="right"/>
              <w:ind w:right="99"/>
              <w:spacing w:after="0"/>
              <w:rPr>
                <w:sz w:val="20"/>
                <w:szCs w:val="20"/>
                <w:color w:val="auto"/>
              </w:rPr>
            </w:pPr>
            <w:r>
              <w:rPr>
                <w:rFonts w:ascii="Arial" w:cs="Arial" w:eastAsia="Arial" w:hAnsi="Arial"/>
                <w:sz w:val="18"/>
                <w:szCs w:val="18"/>
                <w:color w:val="0000FF"/>
              </w:rPr>
              <w:t>1,618,637</w:t>
            </w:r>
          </w:p>
        </w:tc>
        <w:tc>
          <w:tcPr>
            <w:tcW w:w="440" w:type="dxa"/>
            <w:vAlign w:val="bottom"/>
          </w:tcPr>
          <w:p>
            <w:pPr>
              <w:ind w:left="12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109,128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(4)</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gridSpan w:val="4"/>
          </w:tcPr>
          <w:p>
            <w:pPr>
              <w:ind w:left="860"/>
              <w:spacing w:after="0"/>
              <w:rPr>
                <w:sz w:val="20"/>
                <w:szCs w:val="20"/>
                <w:color w:val="auto"/>
              </w:rPr>
            </w:pPr>
            <w:r>
              <w:rPr>
                <w:rFonts w:ascii="Arial" w:cs="Arial" w:eastAsia="Arial" w:hAnsi="Arial"/>
                <w:sz w:val="18"/>
                <w:szCs w:val="18"/>
                <w:color w:val="0000FF"/>
              </w:rPr>
              <w:t>06/30/2014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(3)</w:t>
            </w:r>
          </w:p>
        </w:tc>
        <w:tc>
          <w:tcPr>
            <w:tcW w:w="720" w:type="dxa"/>
            <w:vAlign w:val="bottom"/>
          </w:tcPr>
          <w:p>
            <w:pPr>
              <w:jc w:val="right"/>
              <w:spacing w:after="0"/>
              <w:rPr>
                <w:sz w:val="20"/>
                <w:szCs w:val="20"/>
                <w:color w:val="auto"/>
              </w:rPr>
            </w:pPr>
            <w:r>
              <w:rPr>
                <w:rFonts w:ascii="Arial" w:cs="Arial" w:eastAsia="Arial" w:hAnsi="Arial"/>
                <w:sz w:val="18"/>
                <w:szCs w:val="18"/>
                <w:color w:val="0000FF"/>
              </w:rPr>
              <w:t>1,553</w:t>
            </w:r>
          </w:p>
        </w:tc>
        <w:tc>
          <w:tcPr>
            <w:tcW w:w="28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008000"/>
                <w:w w:val="88"/>
              </w:rPr>
              <w:t>(3)</w:t>
            </w:r>
          </w:p>
        </w:tc>
        <w:tc>
          <w:tcPr>
            <w:tcW w:w="2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107,575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(4)</w:t>
            </w:r>
            <w:r>
              <w:rPr>
                <w:rFonts w:ascii="Arial" w:cs="Arial" w:eastAsia="Arial" w:hAnsi="Arial"/>
                <w:sz w:val="22"/>
                <w:szCs w:val="22"/>
                <w:color w:val="008000"/>
                <w:vertAlign w:val="superscript"/>
              </w:rPr>
              <w:t>(4)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gridSpan w:val="14"/>
          </w:tcPr>
          <w:p>
            <w:pPr>
              <w:jc w:val="center"/>
              <w:ind w:left="15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BERKSHIRE HATHAWAY INC</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3555 FARNAM STREET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8"/>
                <w:szCs w:val="18"/>
                <w:color w:val="0000FF"/>
              </w:rPr>
              <w:t>OMAHA</w:t>
            </w:r>
          </w:p>
        </w:tc>
        <w:tc>
          <w:tcPr>
            <w:tcW w:w="74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NE</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68131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NATIONAL INDEMNITY CO</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3024 HARNEY STREET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8"/>
                <w:szCs w:val="18"/>
                <w:color w:val="0000FF"/>
              </w:rPr>
              <w:t>OMAHA</w:t>
            </w:r>
          </w:p>
        </w:tc>
        <w:tc>
          <w:tcPr>
            <w:tcW w:w="74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NE</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68131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BUFFETT WARREN E</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38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3555 FARNAM STREET</w:t>
            </w:r>
          </w:p>
        </w:tc>
        <w:tc>
          <w:tcPr>
            <w:tcW w:w="19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OMAHA</w:t>
            </w:r>
          </w:p>
        </w:tc>
        <w:tc>
          <w:tcPr>
            <w:tcW w:w="1320" w:type="dxa"/>
            <w:vAlign w:val="bottom"/>
          </w:tcPr>
          <w:p>
            <w:pPr>
              <w:ind w:left="380"/>
              <w:spacing w:after="0"/>
              <w:rPr>
                <w:sz w:val="20"/>
                <w:szCs w:val="20"/>
                <w:color w:val="auto"/>
              </w:rPr>
            </w:pPr>
            <w:r>
              <w:rPr>
                <w:rFonts w:ascii="Arial" w:cs="Arial" w:eastAsia="Arial" w:hAnsi="Arial"/>
                <w:sz w:val="18"/>
                <w:szCs w:val="18"/>
                <w:color w:val="0000FF"/>
              </w:rPr>
              <w:t>NE</w:t>
            </w:r>
          </w:p>
        </w:tc>
        <w:tc>
          <w:tcPr>
            <w:tcW w:w="1940" w:type="dxa"/>
            <w:vAlign w:val="bottom"/>
          </w:tcPr>
          <w:p>
            <w:pPr>
              <w:ind w:left="520"/>
              <w:spacing w:after="0"/>
              <w:rPr>
                <w:sz w:val="20"/>
                <w:szCs w:val="20"/>
                <w:color w:val="auto"/>
              </w:rPr>
            </w:pPr>
            <w:r>
              <w:rPr>
                <w:rFonts w:ascii="Arial" w:cs="Arial" w:eastAsia="Arial" w:hAnsi="Arial"/>
                <w:sz w:val="18"/>
                <w:szCs w:val="18"/>
                <w:color w:val="0000FF"/>
              </w:rPr>
              <w:t>68131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14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144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1,618,637 shares of Class B Common Stock were disposed of pursuant to that certain Exchange Agreement (the "Exchange Agreement"), dated as of April 10, 2014, by and among Berkshire Hathaway Inc. ("Berkshire"), National Indemnity Company ("NICO"), National Fire &amp; Marine Insurance Company ("NFMIC"), Berkshire Hathaway Homestate Insurance Company, Graham Holdings Company (the "Issuer"), and Miami Station Split Co.</w:t>
      </w:r>
    </w:p>
    <w:p>
      <w:pPr>
        <w:spacing w:after="0" w:line="30" w:lineRule="exact"/>
        <w:rPr>
          <w:rFonts w:ascii="Arial" w:cs="Arial" w:eastAsia="Arial" w:hAnsi="Arial"/>
          <w:sz w:val="14"/>
          <w:szCs w:val="14"/>
          <w:color w:val="008000"/>
        </w:rPr>
      </w:pPr>
    </w:p>
    <w:p>
      <w:pPr>
        <w:ind w:right="8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exchange for 1,618,637 shares of Class B Common Stock, Berkshire acquired a wholly-owned subsidiary of the Issuer owning (i) WPLG, a Miami-based television station, (ii) 2,107 shares of Berkshire Class A common stock and 1,278 shares of Berkshire Class B common stock previously held by the Issuer and (iii) $327,717,816 (such transaction, the "Exchange").</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In connection with the Exchange, NICO separately acquired certain interests in a related entity in exchange for 1,553 shares of Class B Common Stock.</w:t>
      </w:r>
    </w:p>
    <w:p>
      <w:pPr>
        <w:spacing w:after="0" w:line="41" w:lineRule="exact"/>
        <w:rPr>
          <w:rFonts w:ascii="Arial" w:cs="Arial" w:eastAsia="Arial" w:hAnsi="Arial"/>
          <w:sz w:val="14"/>
          <w:szCs w:val="14"/>
          <w:color w:val="008000"/>
        </w:rPr>
      </w:pPr>
    </w:p>
    <w:p>
      <w:pPr>
        <w:ind w:firstLine="9"/>
        <w:spacing w:after="0" w:line="228"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All of the shares of Class B Common Stock transferred pursuant to the reported transactions were owned by NICO, a subsidiary of Berkshire. Of the 107,575 shares owned after these transactions, (i) 59,410 shares are owned by NICO and (ii) 48,165 shares are owned by NFMIC, a subsidiary of Berkshire. As Berkshire is in the chain of ownership of these subsidiaries, it may be deemed presently to both beneficially own and have a pecuniary interest in all shares of Class B Common Stock presently owned by each such subsidiary. Warren E. Buffett, as controlling shareholder of Berkshire, may be deemed presently to beneficially own, but only to the extent he has a pecuniary interest in, the shares presently owned by each such subsidiary. Mr. Buffett disclaims beneficial ownership of such shares except to the extent of his pecuniary interest therein.</w:t>
      </w:r>
    </w:p>
    <w:p>
      <w:pPr>
        <w:spacing w:after="0" w:line="6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Warren E. Buffett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of himself and each other</w:t>
      </w:r>
      <w:r>
        <w:rPr>
          <w:sz w:val="20"/>
          <w:szCs w:val="20"/>
          <w:color w:val="auto"/>
        </w:rPr>
        <w:tab/>
      </w:r>
      <w:r>
        <w:rPr>
          <w:rFonts w:ascii="Arial" w:cs="Arial" w:eastAsia="Arial" w:hAnsi="Arial"/>
          <w:sz w:val="15"/>
          <w:szCs w:val="15"/>
          <w:color w:val="0000FF"/>
        </w:rPr>
        <w:t>07/02/2014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4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104889" TargetMode="External"/><Relationship Id="rId14" Type="http://schemas.openxmlformats.org/officeDocument/2006/relationships/hyperlink" Target="http://www.sec.gov/cgi-bin/browse-edgar?action=getcompany&amp;CIK=0000314943" TargetMode="External"/><Relationship Id="rId15"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2019-12-17T17:43:02Z</dcterms:created>
  <dcterms:modified xsi:type="dcterms:W3CDTF">2019-12-17T17:43:02Z</dcterms:modified>
</cp:coreProperties>
</file>