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182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182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820" w:type="dxa"/>
            <w:vAlign w:val="bottom"/>
            <w:vMerge w:val="restart"/>
          </w:tcPr>
          <w:p>
            <w:pPr>
              <w:ind w:left="40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Allen Tony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02/23/2021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4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 w:right="1860"/>
        <w:spacing w:after="0" w:line="26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GRAHAM HOLDINGS 1300 NORTH 17TH ST.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SUITE 1700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ARLINGTON VA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Graham Holdings Co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GHC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4. Relationship of Reporting Person(s) to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5.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If Amendment, Date of Original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174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Issuer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Filed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1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6.</w:t>
            </w: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Individual or Joint/Group Filing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7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Other (specify</w:t>
            </w: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7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2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Form filed by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</w:t>
      </w: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Reporting Person</w:t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81280</wp:posOffset>
            </wp:positionV>
            <wp:extent cx="6946900" cy="772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77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-18415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42545</wp:posOffset>
            </wp:positionV>
            <wp:extent cx="6927850" cy="102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102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0"/>
              </w:rPr>
              <w:t>Tony Allen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03/01/2021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847222" TargetMode="External"/><Relationship Id="rId11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2021-03-01T10:58:35Z</dcterms:created>
  <dcterms:modified xsi:type="dcterms:W3CDTF">2021-03-01T10:58:35Z</dcterms:modified>
</cp:coreProperties>
</file>