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6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6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8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06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358"/>
        </w:trPr>
        <w:tc>
          <w:tcPr>
            <w:tcW w:w="8060" w:type="dxa"/>
            <w:vAlign w:val="bottom"/>
            <w:gridSpan w:val="2"/>
          </w:tcPr>
          <w:p>
            <w:pPr>
              <w:spacing w:after="0"/>
              <w:rPr>
                <w:sz w:val="20"/>
                <w:szCs w:val="20"/>
                <w:color w:val="auto"/>
              </w:rPr>
            </w:pPr>
            <w:r>
              <w:rPr>
                <w:rFonts w:ascii="Arial" w:cs="Arial" w:eastAsia="Arial" w:hAnsi="Arial"/>
                <w:sz w:val="18"/>
                <w:szCs w:val="18"/>
                <w:color w:val="auto"/>
              </w:rPr>
              <w:t>Shares outstanding at May 6, 2011:</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17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Class A Common Stock</w:t>
            </w:r>
          </w:p>
        </w:tc>
        <w:tc>
          <w:tcPr>
            <w:tcW w:w="2960" w:type="dxa"/>
            <w:vAlign w:val="bottom"/>
          </w:tcPr>
          <w:p>
            <w:pPr>
              <w:ind w:left="200"/>
              <w:spacing w:after="0"/>
              <w:rPr>
                <w:sz w:val="20"/>
                <w:szCs w:val="20"/>
                <w:color w:val="auto"/>
              </w:rPr>
            </w:pPr>
            <w:r>
              <w:rPr>
                <w:rFonts w:ascii="Arial" w:cs="Arial" w:eastAsia="Arial" w:hAnsi="Arial"/>
                <w:sz w:val="18"/>
                <w:szCs w:val="18"/>
                <w:color w:val="auto"/>
              </w:rPr>
              <w:t>1,229,383 Shares</w:t>
            </w:r>
          </w:p>
        </w:tc>
        <w:tc>
          <w:tcPr>
            <w:tcW w:w="400" w:type="dxa"/>
            <w:vAlign w:val="bottom"/>
          </w:tcPr>
          <w:p>
            <w:pPr>
              <w:spacing w:after="0"/>
              <w:rPr>
                <w:sz w:val="24"/>
                <w:szCs w:val="24"/>
                <w:color w:val="auto"/>
              </w:rPr>
            </w:pPr>
          </w:p>
        </w:tc>
      </w:tr>
      <w:tr>
        <w:trPr>
          <w:trHeight w:val="222"/>
        </w:trPr>
        <w:tc>
          <w:tcPr>
            <w:tcW w:w="17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Class B Common Stock</w:t>
            </w:r>
          </w:p>
        </w:tc>
        <w:tc>
          <w:tcPr>
            <w:tcW w:w="2960" w:type="dxa"/>
            <w:vAlign w:val="bottom"/>
          </w:tcPr>
          <w:p>
            <w:pPr>
              <w:ind w:left="200"/>
              <w:spacing w:after="0"/>
              <w:rPr>
                <w:sz w:val="20"/>
                <w:szCs w:val="20"/>
                <w:color w:val="auto"/>
              </w:rPr>
            </w:pPr>
            <w:r>
              <w:rPr>
                <w:rFonts w:ascii="Arial" w:cs="Arial" w:eastAsia="Arial" w:hAnsi="Arial"/>
                <w:sz w:val="18"/>
                <w:szCs w:val="18"/>
                <w:color w:val="auto"/>
              </w:rPr>
              <w:t>6,701,737 Shares</w:t>
            </w:r>
          </w:p>
        </w:tc>
        <w:tc>
          <w:tcPr>
            <w:tcW w:w="400" w:type="dxa"/>
            <w:vAlign w:val="bottom"/>
          </w:tcPr>
          <w:p>
            <w:pPr>
              <w:spacing w:after="0"/>
              <w:rPr>
                <w:sz w:val="19"/>
                <w:szCs w:val="19"/>
                <w:color w:val="auto"/>
              </w:rPr>
            </w:pPr>
          </w:p>
        </w:tc>
      </w:tr>
      <w:tr>
        <w:trPr>
          <w:trHeight w:val="124"/>
        </w:trPr>
        <w:tc>
          <w:tcPr>
            <w:tcW w:w="1720" w:type="dxa"/>
            <w:vAlign w:val="bottom"/>
            <w:tcBorders>
              <w:bottom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WASHINGTON POST COMPANY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8"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PART I.</w:t>
      </w:r>
      <w:r>
        <w:rPr>
          <w:sz w:val="20"/>
          <w:szCs w:val="20"/>
          <w:color w:val="auto"/>
        </w:rPr>
        <w:tab/>
      </w:r>
      <w:hyperlink w:anchor="page3">
        <w:r>
          <w:rPr>
            <w:rFonts w:ascii="Arial" w:cs="Arial" w:eastAsia="Arial" w:hAnsi="Arial"/>
            <w:sz w:val="16"/>
            <w:szCs w:val="16"/>
            <w:u w:val="single" w:color="auto"/>
            <w:color w:val="0000EE"/>
          </w:rPr>
          <w:t>FINANCIAL INFORMATION</w:t>
        </w:r>
      </w:hyperlink>
    </w:p>
    <w:p>
      <w:pPr>
        <w:spacing w:after="0" w:line="117" w:lineRule="exact"/>
        <w:rPr>
          <w:sz w:val="20"/>
          <w:szCs w:val="20"/>
          <w:color w:val="auto"/>
        </w:rPr>
      </w:pPr>
    </w:p>
    <w:p>
      <w:pPr>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5"/>
            <w:szCs w:val="15"/>
            <w:u w:val="single" w:color="auto"/>
            <w:color w:val="0000EE"/>
          </w:rPr>
          <w:t>Financial Statements</w:t>
        </w:r>
      </w:hyperlink>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a.</w:t>
            </w:r>
          </w:p>
        </w:tc>
        <w:tc>
          <w:tcPr>
            <w:tcW w:w="9960" w:type="dxa"/>
            <w:vAlign w:val="bottom"/>
            <w:gridSpan w:val="12"/>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Operations (Unaudited) for the Thirteen Weeks Ended April 3, 2011 and April 4, 2010</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auto"/>
              </w:rPr>
              <w:t>b.</w:t>
            </w:r>
          </w:p>
        </w:tc>
        <w:tc>
          <w:tcPr>
            <w:tcW w:w="9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 (Unaudited) for the Thirteen Weeks Ended April 3, 2011 and April 4, 2010</w:t>
              </w:r>
            </w:hyperlink>
          </w:p>
        </w:tc>
        <w:tc>
          <w:tcPr>
            <w:tcW w:w="1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auto"/>
              </w:rPr>
              <w:t>c.</w:t>
            </w:r>
          </w:p>
        </w:tc>
        <w:tc>
          <w:tcPr>
            <w:tcW w:w="63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 at April 3, 2011 (Unaudited) and January 2, 2011</w:t>
              </w:r>
            </w:hyperlink>
          </w:p>
        </w:tc>
        <w:tc>
          <w:tcPr>
            <w:tcW w:w="36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auto"/>
              </w:rPr>
              <w:t>d.</w:t>
            </w:r>
          </w:p>
        </w:tc>
        <w:tc>
          <w:tcPr>
            <w:tcW w:w="9960" w:type="dxa"/>
            <w:vAlign w:val="bottom"/>
            <w:gridSpan w:val="12"/>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(Unaudited) for the Thirteen Weeks Ended April 3, 2011 and April 4, 2010</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auto"/>
              </w:rPr>
              <w:t>e.</w:t>
            </w:r>
          </w:p>
        </w:tc>
        <w:tc>
          <w:tcPr>
            <w:tcW w:w="89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04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Results of Operations and Financial Condition</w:t>
              </w:r>
            </w:hyperlink>
          </w:p>
        </w:tc>
        <w:tc>
          <w:tcPr>
            <w:tcW w:w="390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20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600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OTHER INFORMATION</w:t>
              </w:r>
            </w:hyperlink>
          </w:p>
        </w:tc>
        <w:tc>
          <w:tcPr>
            <w:tcW w:w="8360" w:type="dxa"/>
            <w:vAlign w:val="bottom"/>
            <w:gridSpan w:val="9"/>
          </w:tcPr>
          <w:p>
            <w:pPr>
              <w:spacing w:after="0"/>
              <w:rPr>
                <w:sz w:val="24"/>
                <w:szCs w:val="24"/>
                <w:color w:val="auto"/>
              </w:rPr>
            </w:pPr>
          </w:p>
        </w:tc>
        <w:tc>
          <w:tcPr>
            <w:tcW w:w="34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Unregistered Sales of Equity Securities and Use of Proceeds</w:t>
              </w:r>
            </w:hyperlink>
          </w:p>
        </w:tc>
        <w:tc>
          <w:tcPr>
            <w:tcW w:w="596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20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Signatures</w:t>
              </w:r>
            </w:hyperlink>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6"/>
          </w:tcPr>
          <w:p>
            <w:pPr>
              <w:ind w:left="4660"/>
              <w:spacing w:after="0"/>
              <w:rPr>
                <w:sz w:val="20"/>
                <w:szCs w:val="20"/>
                <w:color w:val="auto"/>
              </w:rPr>
            </w:pPr>
            <w:r>
              <w:rPr>
                <w:rFonts w:ascii="Arial" w:cs="Arial" w:eastAsia="Arial" w:hAnsi="Arial"/>
                <w:sz w:val="18"/>
                <w:szCs w:val="18"/>
                <w:color w:val="auto"/>
                <w:w w:val="99"/>
              </w:rPr>
              <w:t>2</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40" w:type="dxa"/>
            <w:vAlign w:val="bottom"/>
          </w:tcPr>
          <w:p>
            <w:pPr>
              <w:jc w:val="center"/>
              <w:ind w:left="111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tcPr>
          <w:p>
            <w:pPr>
              <w:jc w:val="center"/>
              <w:ind w:left="1112"/>
              <w:spacing w:after="0"/>
              <w:rPr>
                <w:sz w:val="20"/>
                <w:szCs w:val="20"/>
                <w:color w:val="auto"/>
              </w:rPr>
            </w:pPr>
            <w:r>
              <w:rPr>
                <w:rFonts w:ascii="Arial" w:cs="Arial" w:eastAsia="Arial" w:hAnsi="Arial"/>
                <w:sz w:val="18"/>
                <w:szCs w:val="18"/>
                <w:b w:val="1"/>
                <w:bCs w:val="1"/>
                <w:color w:val="auto"/>
                <w:w w:val="87"/>
              </w:rPr>
              <w:t>The Washington Post Company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tcPr>
          <w:p>
            <w:pPr>
              <w:jc w:val="center"/>
              <w:ind w:left="113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40" w:type="dxa"/>
            <w:vAlign w:val="bottom"/>
          </w:tcPr>
          <w:p>
            <w:pPr>
              <w:jc w:val="center"/>
              <w:ind w:left="11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April 3,</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640,629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177,384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214,523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1,063,612</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482,206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458,681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63,914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1,011,609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1,038,928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3,737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(24,032)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9,100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w:t>
            </w: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45,379</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Amount attributable to The Washington Post Company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45,379</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 share information attributable to The Washington Post Company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color w:val="auto"/>
              </w:rPr>
              <w:t>Basic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8,046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8,119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vMerge w:val="restart"/>
          </w:tcPr>
          <w:p>
            <w:pPr>
              <w:jc w:val="center"/>
              <w:ind w:left="1132"/>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129"/>
        </w:trPr>
        <w:tc>
          <w:tcPr>
            <w:tcW w:w="8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April 3,</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4"/>
                <w:szCs w:val="14"/>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$ 15,629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$ 45,828</w:t>
            </w:r>
          </w:p>
        </w:tc>
        <w:tc>
          <w:tcPr>
            <w:tcW w:w="0" w:type="dxa"/>
            <w:vAlign w:val="bottom"/>
          </w:tcPr>
          <w:p>
            <w:pPr>
              <w:spacing w:after="0"/>
              <w:rPr>
                <w:sz w:val="1"/>
                <w:szCs w:val="1"/>
                <w:color w:val="auto"/>
              </w:rPr>
            </w:pPr>
          </w:p>
        </w:tc>
      </w:tr>
      <w:tr>
        <w:trPr>
          <w:trHeight w:val="330"/>
        </w:trPr>
        <w:tc>
          <w:tcPr>
            <w:tcW w:w="8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7,970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Change in unrealized gain on available-for-sale securities</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7,210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86,114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plan adjustments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(5,207)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23"/>
        </w:trPr>
        <w:tc>
          <w:tcPr>
            <w:tcW w:w="8600" w:type="dxa"/>
            <w:vAlign w:val="bottom"/>
          </w:tcPr>
          <w:p>
            <w:pPr>
              <w:ind w:left="440"/>
              <w:spacing w:after="0"/>
              <w:rPr>
                <w:sz w:val="20"/>
                <w:szCs w:val="20"/>
                <w:color w:val="auto"/>
              </w:rPr>
            </w:pPr>
            <w:r>
              <w:rPr>
                <w:rFonts w:ascii="Arial" w:cs="Arial" w:eastAsia="Arial" w:hAnsi="Arial"/>
                <w:sz w:val="18"/>
                <w:szCs w:val="18"/>
                <w:color w:val="auto"/>
              </w:rPr>
              <w:t>Less reclassification adjustment for write-down on available-for-sale security included in net income</w:t>
            </w:r>
          </w:p>
        </w:tc>
        <w:tc>
          <w:tcPr>
            <w:tcW w:w="1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40,669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79,966</w:t>
            </w:r>
          </w:p>
        </w:tc>
        <w:tc>
          <w:tcPr>
            <w:tcW w:w="0" w:type="dxa"/>
            <w:vAlign w:val="bottom"/>
          </w:tcPr>
          <w:p>
            <w:pPr>
              <w:spacing w:after="0"/>
              <w:rPr>
                <w:sz w:val="1"/>
                <w:szCs w:val="1"/>
                <w:color w:val="auto"/>
              </w:rPr>
            </w:pPr>
          </w:p>
        </w:tc>
      </w:tr>
      <w:tr>
        <w:trPr>
          <w:trHeight w:val="223"/>
        </w:trPr>
        <w:tc>
          <w:tcPr>
            <w:tcW w:w="8600" w:type="dxa"/>
            <w:vAlign w:val="bottom"/>
          </w:tcPr>
          <w:p>
            <w:pPr>
              <w:ind w:left="440"/>
              <w:spacing w:after="0"/>
              <w:rPr>
                <w:sz w:val="20"/>
                <w:szCs w:val="20"/>
                <w:color w:val="auto"/>
              </w:rPr>
            </w:pPr>
            <w:r>
              <w:rPr>
                <w:rFonts w:ascii="Arial" w:cs="Arial" w:eastAsia="Arial" w:hAnsi="Arial"/>
                <w:sz w:val="18"/>
                <w:szCs w:val="18"/>
                <w:color w:val="auto"/>
              </w:rPr>
              <w:t>Income tax expense related to other comprehensive income</w:t>
            </w:r>
          </w:p>
        </w:tc>
        <w:tc>
          <w:tcPr>
            <w:tcW w:w="1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(15,369)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(34,436)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Comprehensive income</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40,929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91,358</w:t>
            </w:r>
          </w:p>
        </w:tc>
        <w:tc>
          <w:tcPr>
            <w:tcW w:w="0" w:type="dxa"/>
            <w:vAlign w:val="bottom"/>
          </w:tcPr>
          <w:p>
            <w:pPr>
              <w:spacing w:after="0"/>
              <w:rPr>
                <w:sz w:val="1"/>
                <w:szCs w:val="1"/>
                <w:color w:val="auto"/>
              </w:rPr>
            </w:pPr>
          </w:p>
        </w:tc>
      </w:tr>
      <w:tr>
        <w:trPr>
          <w:trHeight w:val="116"/>
        </w:trPr>
        <w:tc>
          <w:tcPr>
            <w:tcW w:w="8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 attributable to the noncontrolling interest</w:t>
            </w:r>
          </w:p>
        </w:tc>
        <w:tc>
          <w:tcPr>
            <w:tcW w:w="1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00" w:type="dxa"/>
            <w:vAlign w:val="bottom"/>
          </w:tcPr>
          <w:p>
            <w:pPr>
              <w:spacing w:after="0"/>
              <w:rPr>
                <w:sz w:val="20"/>
                <w:szCs w:val="20"/>
                <w:color w:val="auto"/>
              </w:rPr>
            </w:pPr>
            <w:r>
              <w:rPr>
                <w:rFonts w:ascii="Arial" w:cs="Arial" w:eastAsia="Arial" w:hAnsi="Arial"/>
                <w:sz w:val="18"/>
                <w:szCs w:val="18"/>
                <w:color w:val="auto"/>
              </w:rPr>
              <w:t>Total comprehensive income attributable to The Washington Post Company</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$ 40,894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$ 91,370</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5680"/>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437,740</w:t>
            </w:r>
          </w:p>
        </w:tc>
        <w:tc>
          <w:tcPr>
            <w:tcW w:w="0" w:type="dxa"/>
            <w:vAlign w:val="bottom"/>
          </w:tcPr>
          <w:p>
            <w:pPr>
              <w:spacing w:after="0"/>
              <w:rPr>
                <w:sz w:val="1"/>
                <w:szCs w:val="1"/>
                <w:color w:val="auto"/>
              </w:rPr>
            </w:pPr>
          </w:p>
        </w:tc>
      </w:tr>
      <w:tr>
        <w:trPr>
          <w:trHeight w:val="216"/>
        </w:trPr>
        <w:tc>
          <w:tcPr>
            <w:tcW w:w="558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31,138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Investments in marketable equity securities and other investments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373,750</w:t>
            </w:r>
          </w:p>
        </w:tc>
        <w:tc>
          <w:tcPr>
            <w:tcW w:w="0" w:type="dxa"/>
            <w:vAlign w:val="bottom"/>
          </w:tcPr>
          <w:p>
            <w:pPr>
              <w:spacing w:after="0"/>
              <w:rPr>
                <w:sz w:val="1"/>
                <w:szCs w:val="1"/>
                <w:color w:val="auto"/>
              </w:rPr>
            </w:pPr>
          </w:p>
        </w:tc>
      </w:tr>
      <w:tr>
        <w:trPr>
          <w:trHeight w:val="216"/>
        </w:trPr>
        <w:tc>
          <w:tcPr>
            <w:tcW w:w="5580" w:type="dxa"/>
            <w:vAlign w:val="bottom"/>
          </w:tcPr>
          <w:p>
            <w:pPr>
              <w:ind w:left="880"/>
              <w:spacing w:after="0"/>
              <w:rPr>
                <w:sz w:val="20"/>
                <w:szCs w:val="20"/>
                <w:color w:val="auto"/>
              </w:rPr>
            </w:pPr>
            <w:r>
              <w:rPr>
                <w:rFonts w:ascii="Arial" w:cs="Arial" w:eastAsia="Arial" w:hAnsi="Arial"/>
                <w:sz w:val="18"/>
                <w:szCs w:val="18"/>
                <w:color w:val="auto"/>
              </w:rPr>
              <w:t>Accounts receivable, net</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356,361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397,024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receivable</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33,307</w:t>
            </w:r>
          </w:p>
        </w:tc>
        <w:tc>
          <w:tcPr>
            <w:tcW w:w="0" w:type="dxa"/>
            <w:vAlign w:val="bottom"/>
          </w:tcPr>
          <w:p>
            <w:pPr>
              <w:spacing w:after="0"/>
              <w:rPr>
                <w:sz w:val="1"/>
                <w:szCs w:val="1"/>
                <w:color w:val="auto"/>
              </w:rPr>
            </w:pPr>
          </w:p>
        </w:tc>
      </w:tr>
      <w:tr>
        <w:trPr>
          <w:trHeight w:val="216"/>
        </w:trPr>
        <w:tc>
          <w:tcPr>
            <w:tcW w:w="558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15,318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3"/>
        </w:trPr>
        <w:tc>
          <w:tcPr>
            <w:tcW w:w="558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3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1,217,605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1,361,898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1,178,907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1,200,726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Goodwill, net</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1,390,282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1,376,357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530,816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61,242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538,753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3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5,005,131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5,158,367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580,228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626,188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379,089</w:t>
            </w:r>
          </w:p>
        </w:tc>
        <w:tc>
          <w:tcPr>
            <w:tcW w:w="0" w:type="dxa"/>
            <w:vAlign w:val="bottom"/>
          </w:tcPr>
          <w:p>
            <w:pPr>
              <w:spacing w:after="0"/>
              <w:rPr>
                <w:sz w:val="1"/>
                <w:szCs w:val="1"/>
                <w:color w:val="auto"/>
              </w:rPr>
            </w:pPr>
          </w:p>
        </w:tc>
      </w:tr>
      <w:tr>
        <w:trPr>
          <w:trHeight w:val="216"/>
        </w:trPr>
        <w:tc>
          <w:tcPr>
            <w:tcW w:w="5580" w:type="dxa"/>
            <w:vAlign w:val="bottom"/>
          </w:tcPr>
          <w:p>
            <w:pPr>
              <w:ind w:left="880"/>
              <w:spacing w:after="0"/>
              <w:rPr>
                <w:sz w:val="20"/>
                <w:szCs w:val="20"/>
                <w:color w:val="auto"/>
              </w:rPr>
            </w:pPr>
            <w:r>
              <w:rPr>
                <w:rFonts w:ascii="Arial" w:cs="Arial" w:eastAsia="Arial" w:hAnsi="Arial"/>
                <w:sz w:val="18"/>
                <w:szCs w:val="18"/>
                <w:color w:val="auto"/>
              </w:rPr>
              <w:t>Dividends declared</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Short-term borrowings</w:t>
            </w:r>
          </w:p>
        </w:tc>
        <w:tc>
          <w:tcPr>
            <w:tcW w:w="3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tcPr>
          <w:p>
            <w:pPr>
              <w:ind w:left="1300"/>
              <w:spacing w:after="0"/>
              <w:rPr>
                <w:sz w:val="20"/>
                <w:szCs w:val="20"/>
                <w:color w:val="auto"/>
              </w:rPr>
            </w:pPr>
            <w:r>
              <w:rPr>
                <w:rFonts w:ascii="Arial" w:cs="Arial" w:eastAsia="Arial" w:hAnsi="Arial"/>
                <w:sz w:val="18"/>
                <w:szCs w:val="18"/>
                <w:color w:val="auto"/>
              </w:rPr>
              <w:t>Total current liabilities</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995,906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1,008,277</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64,342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compensation and related benefits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231,034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119,036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514,273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506,405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396,760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tcPr>
          <w:p>
            <w:pPr>
              <w:ind w:left="1300"/>
              <w:spacing w:after="0"/>
              <w:rPr>
                <w:sz w:val="20"/>
                <w:szCs w:val="20"/>
                <w:color w:val="auto"/>
              </w:rPr>
            </w:pPr>
            <w:r>
              <w:rPr>
                <w:rFonts w:ascii="Arial" w:cs="Arial" w:eastAsia="Arial" w:hAnsi="Arial"/>
                <w:sz w:val="18"/>
                <w:szCs w:val="18"/>
                <w:color w:val="auto"/>
              </w:rPr>
              <w:t>Total liabilities</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2,288,872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2,325,744</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Capital in excess of par value</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249,719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4,497,633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4,520,332</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net of taxes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Cumulative foreign currency translation adjustment</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37,606</w:t>
            </w:r>
          </w:p>
        </w:tc>
        <w:tc>
          <w:tcPr>
            <w:tcW w:w="0" w:type="dxa"/>
            <w:vAlign w:val="bottom"/>
          </w:tcPr>
          <w:p>
            <w:pPr>
              <w:spacing w:after="0"/>
              <w:rPr>
                <w:sz w:val="1"/>
                <w:szCs w:val="1"/>
                <w:color w:val="auto"/>
              </w:rPr>
            </w:pPr>
          </w:p>
        </w:tc>
      </w:tr>
      <w:tr>
        <w:trPr>
          <w:trHeight w:val="216"/>
        </w:trPr>
        <w:tc>
          <w:tcPr>
            <w:tcW w:w="5580" w:type="dxa"/>
            <w:vAlign w:val="bottom"/>
          </w:tcPr>
          <w:p>
            <w:pPr>
              <w:ind w:left="880"/>
              <w:spacing w:after="0"/>
              <w:rPr>
                <w:sz w:val="20"/>
                <w:szCs w:val="20"/>
                <w:color w:val="auto"/>
              </w:rPr>
            </w:pPr>
            <w:r>
              <w:rPr>
                <w:rFonts w:ascii="Arial" w:cs="Arial" w:eastAsia="Arial" w:hAnsi="Arial"/>
                <w:sz w:val="18"/>
                <w:szCs w:val="18"/>
                <w:color w:val="auto"/>
              </w:rPr>
              <w:t>Unrealized gain on available-for-sale securities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93,451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70,707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8"/>
              </w:rPr>
              <w:t>Unrealized gain on pensions and other postretirement plans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73,826</w:t>
            </w:r>
          </w:p>
        </w:tc>
        <w:tc>
          <w:tcPr>
            <w:tcW w:w="0" w:type="dxa"/>
            <w:vAlign w:val="bottom"/>
          </w:tcPr>
          <w:p>
            <w:pPr>
              <w:spacing w:after="0"/>
              <w:rPr>
                <w:sz w:val="1"/>
                <w:szCs w:val="1"/>
                <w:color w:val="auto"/>
              </w:rPr>
            </w:pPr>
          </w:p>
        </w:tc>
      </w:tr>
      <w:tr>
        <w:trPr>
          <w:trHeight w:val="223"/>
        </w:trPr>
        <w:tc>
          <w:tcPr>
            <w:tcW w:w="5580" w:type="dxa"/>
            <w:vAlign w:val="bottom"/>
          </w:tcPr>
          <w:p>
            <w:pPr>
              <w:ind w:left="440"/>
              <w:spacing w:after="0"/>
              <w:rPr>
                <w:sz w:val="20"/>
                <w:szCs w:val="20"/>
                <w:color w:val="auto"/>
              </w:rPr>
            </w:pPr>
            <w:r>
              <w:rPr>
                <w:rFonts w:ascii="Arial" w:cs="Arial" w:eastAsia="Arial" w:hAnsi="Arial"/>
                <w:sz w:val="18"/>
                <w:szCs w:val="18"/>
                <w:color w:val="auto"/>
              </w:rPr>
              <w:t>Cost of Class B common stock held in treasury</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(2,271,552)</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(2,157,826)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common shareholders’ equity</w:t>
            </w:r>
          </w:p>
        </w:tc>
        <w:tc>
          <w:tcPr>
            <w:tcW w:w="3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2,697,986</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equity</w:t>
            </w:r>
          </w:p>
        </w:tc>
        <w:tc>
          <w:tcPr>
            <w:tcW w:w="3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2,697,986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tcPr>
          <w:p>
            <w:pPr>
              <w:ind w:left="1300"/>
              <w:spacing w:after="0"/>
              <w:rPr>
                <w:sz w:val="20"/>
                <w:szCs w:val="20"/>
                <w:color w:val="auto"/>
              </w:rPr>
            </w:pPr>
            <w:r>
              <w:rPr>
                <w:rFonts w:ascii="Arial" w:cs="Arial" w:eastAsia="Arial" w:hAnsi="Arial"/>
                <w:sz w:val="18"/>
                <w:szCs w:val="18"/>
                <w:color w:val="auto"/>
              </w:rPr>
              <w:t>Total liabilities and equity</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5,005,131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5,158,367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580" w:type="dxa"/>
            <w:vAlign w:val="bottom"/>
            <w:vMerge w:val="restart"/>
          </w:tcPr>
          <w:p>
            <w:pPr>
              <w:jc w:val="right"/>
              <w:ind w:right="3312"/>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April 3,</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2"/>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15,629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63,914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Foreign exchange (gain) loss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on write-down of marketable equity securities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Equity in (earnings) losses of affiliates, net of distributions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Benefit for deferred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(gain) loss on sale or write-down of property, plant and equipment and other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Decrease in accounts receivable,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54,448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inventories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(58,960)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Decrease in income taxes receivable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other assets and other liabilities,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Proceeds from sale of property, plant and equipment and other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(27,408)</w:t>
            </w:r>
          </w:p>
        </w:tc>
        <w:tc>
          <w:tcPr>
            <w:tcW w:w="0" w:type="dxa"/>
            <w:vAlign w:val="bottom"/>
          </w:tcPr>
          <w:p>
            <w:pPr>
              <w:spacing w:after="0"/>
              <w:rPr>
                <w:sz w:val="1"/>
                <w:szCs w:val="1"/>
                <w:color w:val="auto"/>
              </w:rPr>
            </w:pPr>
          </w:p>
        </w:tc>
      </w:tr>
      <w:tr>
        <w:trPr>
          <w:trHeight w:val="330"/>
        </w:trPr>
        <w:tc>
          <w:tcPr>
            <w:tcW w:w="8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repurchased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(121,395)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(115,538)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(56,111)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2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(108,570)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91,311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437,740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442,559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28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329,170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533,870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3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Financial Periods </w:t>
      </w:r>
      <w:r>
        <w:rPr>
          <w:rFonts w:ascii="Arial" w:cs="Arial" w:eastAsia="Arial" w:hAnsi="Arial"/>
          <w:sz w:val="18"/>
          <w:szCs w:val="18"/>
          <w:color w:val="auto"/>
        </w:rPr>
        <w:t>– The Company generally reports on a thirteen week fiscal quarter ending on the Sunday nearest the calendar quarter-end. The fiscal quarters</w:t>
      </w:r>
      <w:r>
        <w:rPr>
          <w:rFonts w:ascii="Arial" w:cs="Arial" w:eastAsia="Arial" w:hAnsi="Arial"/>
          <w:sz w:val="18"/>
          <w:szCs w:val="18"/>
          <w:b w:val="1"/>
          <w:bCs w:val="1"/>
          <w:color w:val="auto"/>
        </w:rPr>
        <w:t xml:space="preserve"> </w:t>
      </w:r>
      <w:r>
        <w:rPr>
          <w:rFonts w:ascii="Arial" w:cs="Arial" w:eastAsia="Arial" w:hAnsi="Arial"/>
          <w:sz w:val="18"/>
          <w:szCs w:val="18"/>
          <w:color w:val="auto"/>
        </w:rPr>
        <w:t>for 2011 and 2010 ended on April 3, 2011 and April 4, 2010, respectively. With the exception of the newspaper publishing operations and the corporate office, subsidiaries of the Company report on a calendar-quarter basis.</w:t>
      </w:r>
    </w:p>
    <w:p>
      <w:pPr>
        <w:spacing w:after="0" w:line="132"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 The accompanying condensed consolidated financial statements have been prepared in accordance with: (i) generally accepted</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weeks ended April 3, 2011 and April 4, 2010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January 2, 2011.</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the magazine publishing segment as discontinued operations for all periods presented.</w:t>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October 2009, the Financial Accounting Standards Board (“FASB”) issued new guidance that</w:t>
      </w:r>
      <w:r>
        <w:rPr>
          <w:rFonts w:ascii="Arial" w:cs="Arial" w:eastAsia="Arial" w:hAnsi="Arial"/>
          <w:sz w:val="16"/>
          <w:szCs w:val="16"/>
          <w:b w:val="1"/>
          <w:bCs w:val="1"/>
          <w:color w:val="auto"/>
        </w:rPr>
        <w:t xml:space="preserve"> </w:t>
      </w:r>
      <w:r>
        <w:rPr>
          <w:rFonts w:ascii="Arial" w:cs="Arial" w:eastAsia="Arial" w:hAnsi="Arial"/>
          <w:sz w:val="16"/>
          <w:szCs w:val="16"/>
          <w:color w:val="auto"/>
        </w:rPr>
        <w:t>modifies the fair value 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 revenue arrangements entered into or materially modified in fiscal years beginning on or after June 15, 2010. The implementation of this guidance in the first quarter of 2011 did not have a material impact on the condensed consolidated financial statements of the Company.</w:t>
      </w:r>
    </w:p>
    <w:p>
      <w:pPr>
        <w:spacing w:after="0" w:line="1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2010, the FASB issued additional disclosure requirements for fair value measurements. One of the fair value disclosure amendments requires more detailed disclosures of the changes in Level 3 instruments. This change became effective for interim and annual periods beginning after December 15, 2010, and did not impact the condensed consolidated financial statements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September 30, 2010, the Company completed the sale of Newsweek magazine. The results of operations of the magazine publishing division for the first quarter of 2010 are included in the Company’s condensed consolidated statements of income as “Loss from discontinued operations, net of tax.” All corresponding prior period operating results presented in the Company’s condensed consolidated financial statements and the accompanying notes have been reclassified to reflect the discontinued operations presented. The Company did not reclassify its condensed consolidated statements of cash flows to reflect the discontinued operations.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Newsweek employees were participants in The Washington Post Company Retirement Plan, and the Company had historically allocated Newsweek a net pension credit for segment reporting purposes. Since the associated pension assets and liabilities were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retained by the Company, the associated credit of $8.3 million for the first quarter of 2010 has been excluded from the reclassification of Newsweek results to discontinued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loss from discontinued operations, net of tax, for the first quarter of 2011 and 2010 is presented below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April 3,</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96"/>
              </w:rPr>
              <w:t>April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20" w:type="dxa"/>
            <w:vAlign w:val="bottom"/>
            <w:gridSpan w:val="2"/>
            <w:shd w:val="clear" w:color="auto" w:fill="CCEEFF"/>
          </w:tcPr>
          <w:p>
            <w:pPr>
              <w:ind w:left="18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(39,719)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920" w:type="dxa"/>
            <w:vAlign w:val="bottom"/>
            <w:gridSpan w:val="2"/>
            <w:shd w:val="clear" w:color="auto" w:fill="CCEEFF"/>
          </w:tcPr>
          <w:p>
            <w:pPr>
              <w:ind w:left="18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April 3, 2011 and January 2, 2011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rPr>
              <w:t>April 3,</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unrealized gains</w:t>
            </w:r>
          </w:p>
        </w:tc>
        <w:tc>
          <w:tcPr>
            <w:tcW w:w="26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155,752</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348,120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340,910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new investments or sales of marketable equity securities in the first quarter of 2011 and 2010.</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investment in Corinthian Colleges, Inc. had been in an unrealized loss position for over six months. The Company evaluated this investment for other-than-temporary impairment based on various factors, including the duration and severity of the unrealized loss, the reason for the decline in value and the potential recovery period, and the Company’s ability and intent to hold the investment. In the first quarter of 2011, the Company concluded the loss was other-than-temporary and recorded a $30.7 million write-down on the investment. The Company’s investment in Corinthian Colleges, Inc. accounted for $35.1 million of the total fair value of the Company’s investments in marketable equity securities at April 3,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Dispositions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 the first quarter of 2011, Kaplan acquired one small business in its Kaplan Ventures division. In the first quarter of 2010, Kaplan also made one small acquisition in its Kaplan Ventures division.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May 2011, Kaplan Australia announced the acquisition of Franklyn Scholar, a leading national provider of work-based vocational training in Australia.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April 2010, Kaplan sold Education Connection, which was part of the Kaplan Ventures division.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education division made several changes to its operating and reporting structure in the first quarter of 2011 and 2010, changing the composition of the reporting units within Kaplan Test Preparation, Kaplan Ventures and Kaplan Higher Education (see Note 12). The changes resulted in the reassignment of the assets and liabilities to the reporting units affected. The goodwill was allocated to the reporting units affected using the relative fair value approach.</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amortizes the recorded values of its amortized intangible assets over their estimated useful lives. Amortization of intangible assets for the thirteen weeks ended April 3, 2011 and April 4, 2010 was $6.8 million and $6.5 million, respectively. Amortization of intangible assets is estimated to be approximately $19 million for the remainder of 2011, $14 million in 2012, $7 million in 2013, $4 million in 2014, $3 million in 2015, $2 million in 2016 and $12 million thereafter.</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thirteen weeks ended April 3,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Cable</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Education</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Television</w:t>
            </w: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Broadcasting</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2"/>
              </w:rPr>
              <w:t>Businesses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2, 2011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$1,073,089</w:t>
            </w: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$85,488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81,183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(65,772)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(85,419)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1,057,560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15,411</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1,376,357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800" w:type="dxa"/>
            <w:vAlign w:val="bottom"/>
          </w:tcPr>
          <w:p>
            <w:pPr>
              <w:jc w:val="right"/>
              <w:spacing w:after="0"/>
              <w:rPr>
                <w:sz w:val="20"/>
                <w:szCs w:val="20"/>
                <w:color w:val="auto"/>
              </w:rPr>
            </w:pPr>
            <w:r>
              <w:rPr>
                <w:rFonts w:ascii="Arial" w:cs="Arial" w:eastAsia="Arial" w:hAnsi="Arial"/>
                <w:sz w:val="18"/>
                <w:szCs w:val="18"/>
                <w:color w:val="auto"/>
              </w:rPr>
              <w:t>10,085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April 3, 2011</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1,087,014</w:t>
            </w: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85,488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81,183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1,557,002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(65,772)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(85,419)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1,071,485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85,488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1,390,282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at the Company's education division for the thirteen weeks ended April 3,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Kaplan</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Higher</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Test</w:t>
            </w:r>
          </w:p>
        </w:tc>
        <w:tc>
          <w:tcPr>
            <w:tcW w:w="140" w:type="dxa"/>
            <w:vAlign w:val="bottom"/>
          </w:tcPr>
          <w:p>
            <w:pPr>
              <w:spacing w:after="0"/>
              <w:rPr>
                <w:sz w:val="12"/>
                <w:szCs w:val="12"/>
                <w:color w:val="auto"/>
              </w:rPr>
            </w:pPr>
          </w:p>
        </w:tc>
        <w:tc>
          <w:tcPr>
            <w:tcW w:w="9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Kaplan</w:t>
            </w: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Kaplan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0"/>
              </w:rPr>
              <w:t>and</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Education</w:t>
            </w:r>
          </w:p>
        </w:tc>
        <w:tc>
          <w:tcPr>
            <w:tcW w:w="60" w:type="dxa"/>
            <w:vAlign w:val="bottom"/>
          </w:tcPr>
          <w:p>
            <w:pPr>
              <w:spacing w:after="0"/>
              <w:rPr>
                <w:sz w:val="14"/>
                <w:szCs w:val="14"/>
                <w:color w:val="auto"/>
              </w:rPr>
            </w:pPr>
          </w:p>
        </w:tc>
        <w:tc>
          <w:tcPr>
            <w:tcW w:w="1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Preparation</w:t>
            </w: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0"/>
              </w:rPr>
              <w:t>Ventures</w:t>
            </w:r>
          </w:p>
        </w:tc>
        <w:tc>
          <w:tcPr>
            <w:tcW w:w="280" w:type="dxa"/>
            <w:vAlign w:val="bottom"/>
          </w:tcPr>
          <w:p>
            <w:pPr>
              <w:spacing w:after="0"/>
              <w:rPr>
                <w:sz w:val="14"/>
                <w:szCs w:val="14"/>
                <w:color w:val="auto"/>
              </w:rPr>
            </w:pPr>
          </w:p>
        </w:tc>
        <w:tc>
          <w:tcPr>
            <w:tcW w:w="8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2, 2011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$335,226</w:t>
            </w:r>
          </w:p>
        </w:tc>
        <w:tc>
          <w:tcPr>
            <w:tcW w:w="40" w:type="dxa"/>
            <w:vAlign w:val="bottom"/>
          </w:tcPr>
          <w:p>
            <w:pPr>
              <w:spacing w:after="0"/>
              <w:rPr>
                <w:sz w:val="18"/>
                <w:szCs w:val="18"/>
                <w:color w:val="auto"/>
              </w:rPr>
            </w:pPr>
          </w:p>
        </w:tc>
        <w:tc>
          <w:tcPr>
            <w:tcW w:w="1040" w:type="dxa"/>
            <w:vAlign w:val="bottom"/>
            <w:gridSpan w:val="5"/>
          </w:tcPr>
          <w:p>
            <w:pPr>
              <w:jc w:val="right"/>
              <w:ind w:right="280"/>
              <w:spacing w:after="0"/>
              <w:rPr>
                <w:sz w:val="20"/>
                <w:szCs w:val="20"/>
                <w:color w:val="auto"/>
              </w:rPr>
            </w:pPr>
            <w:r>
              <w:rPr>
                <w:rFonts w:ascii="Arial" w:cs="Arial" w:eastAsia="Arial" w:hAnsi="Arial"/>
                <w:sz w:val="18"/>
                <w:szCs w:val="18"/>
                <w:color w:val="auto"/>
                <w:w w:val="92"/>
              </w:rPr>
              <w:t>$ 229,486</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444,940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$ 63,437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$1,073,089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(7,037)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(8,492)</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335,226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222,449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444,940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54,945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1,057,560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 net (Note 12)</w:t>
            </w:r>
          </w:p>
        </w:tc>
        <w:tc>
          <w:tcPr>
            <w:tcW w:w="8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91,043</w:t>
            </w:r>
          </w:p>
        </w:tc>
        <w:tc>
          <w:tcPr>
            <w:tcW w:w="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(70,262)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(20,781)</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 rate changes and other</w:t>
            </w:r>
          </w:p>
        </w:tc>
        <w:tc>
          <w:tcPr>
            <w:tcW w:w="8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9,365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3"/>
          </w:tcPr>
          <w:p>
            <w:pPr>
              <w:spacing w:after="0"/>
              <w:rPr>
                <w:sz w:val="20"/>
                <w:szCs w:val="20"/>
                <w:color w:val="auto"/>
              </w:rPr>
            </w:pPr>
            <w:r>
              <w:rPr>
                <w:rFonts w:ascii="Arial" w:cs="Arial" w:eastAsia="Arial" w:hAnsi="Arial"/>
                <w:sz w:val="18"/>
                <w:szCs w:val="18"/>
                <w:color w:val="auto"/>
              </w:rPr>
              <w:t>Balance as of April 3, 2011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433,852</w:t>
            </w:r>
          </w:p>
        </w:tc>
        <w:tc>
          <w:tcPr>
            <w:tcW w:w="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152,187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454,305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1,087,014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Accumulated impairment losses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(7,037)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(8,492)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426,815</w:t>
            </w:r>
          </w:p>
        </w:tc>
        <w:tc>
          <w:tcPr>
            <w:tcW w:w="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w w:val="92"/>
              </w:rPr>
              <w:t>$ 152,187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454,305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$ 38,178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1,071,485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Other intangible assets consist of the following:</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66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As of April 3, 2011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8"/>
          </w:tcPr>
          <w:p>
            <w:pPr>
              <w:spacing w:after="0"/>
              <w:rPr>
                <w:sz w:val="20"/>
                <w:szCs w:val="20"/>
                <w:color w:val="auto"/>
              </w:rPr>
            </w:pPr>
            <w:r>
              <w:rPr>
                <w:rFonts w:ascii="Arial" w:cs="Arial" w:eastAsia="Arial" w:hAnsi="Arial"/>
                <w:sz w:val="14"/>
                <w:szCs w:val="14"/>
                <w:b w:val="1"/>
                <w:bCs w:val="1"/>
                <w:color w:val="auto"/>
              </w:rPr>
              <w:t>As of January 2,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78"/>
              </w:rPr>
              <w:t>Gross</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Useful Life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Carrying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Range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1"/>
              </w:rPr>
              <w:t>Amortization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2-5 years</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$ 44,036</w:t>
            </w: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36,331</w:t>
            </w:r>
          </w:p>
        </w:tc>
        <w:tc>
          <w:tcPr>
            <w:tcW w:w="14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$ 7,705</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$ 43,940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33,570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Student and customer relationships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73,617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44,425</w:t>
            </w: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29,192</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66,510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41,958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Databases and technology</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10,515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3,891</w:t>
            </w:r>
          </w:p>
        </w:tc>
        <w:tc>
          <w:tcPr>
            <w:tcW w:w="14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6,624</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10,514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2,921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29,326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16,287</w:t>
            </w: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13,039</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29,053</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1-25 years</w:t>
            </w:r>
          </w:p>
        </w:tc>
        <w:tc>
          <w:tcPr>
            <w:tcW w:w="300" w:type="dxa"/>
            <w:vAlign w:val="bottom"/>
            <w:gridSpan w:val="2"/>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11,502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6,498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167,497</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106,300</w:t>
            </w: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61,197</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161,519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100,277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8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$496,166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$496,166</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Wireless licenses</w:t>
            </w:r>
          </w:p>
        </w:tc>
        <w:tc>
          <w:tcPr>
            <w:tcW w:w="8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22,150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22,150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Licensure and accreditation</w:t>
            </w:r>
          </w:p>
        </w:tc>
        <w:tc>
          <w:tcPr>
            <w:tcW w:w="8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7,877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7,877</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4,671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4,623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530,864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530,816</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9</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April 3,</w:t>
            </w:r>
          </w:p>
        </w:tc>
        <w:tc>
          <w:tcPr>
            <w:tcW w:w="1000" w:type="dxa"/>
            <w:vAlign w:val="bottom"/>
            <w:gridSpan w:val="4"/>
          </w:tcPr>
          <w:p>
            <w:pPr>
              <w:ind w:left="260"/>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7.25% unsecured notes due February 1, 2019</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indebtedness</w:t>
            </w:r>
          </w:p>
        </w:tc>
        <w:tc>
          <w:tcPr>
            <w:tcW w:w="18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8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April 3, 2011 and January 2, 2011 is at an interest rate of 6% and matures during 2011.</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quarter of 2011 and 2010, the Company had average borrowings outstanding of approximately $399.7 million and $399.3 million, respectively, at average annual interest rates of approximately 7.2%. During the first quarter of 2011 and 2010, the Company incurred net interest expense of $7.0 million and $7.3 million, respectively.</w:t>
      </w:r>
    </w:p>
    <w:p>
      <w:pPr>
        <w:spacing w:after="0" w:line="140"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At April 3, 2011, the fair value of the Company’s 7.25% unsecured notes, based on quoted market prices, totaled $459.3 million, compared with the carrying amount of $396.8 million. At January 2, 2011, the fair value of the Company’s 7.25% unsecured notes, based on quoted market prices, totaled $457.2 million, compared with the carrying amount of $396.7 million. The carrying value of the Company’s other unsecured debt at April 3, 2011 approximates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earnings per share from continuing operations (basic and diluted) for the first quarter of 2011 and 2010, are presented below (in thousands, except per share amounts):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rPr>
              <w:t>April 3,</w:t>
            </w: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Income from continuing operations attributable to The Washington Post Company common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15,154</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51,571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Less: Amount attributable to participating securities</w:t>
            </w: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income from continuing operations attributable to The Washington Post Company</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15,020</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51,169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Plus: Amount attributable to participating securities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Diluted income from continuing operations attributable to The Washington Post Company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15,154</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51,571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w w:val="93"/>
              </w:rPr>
              <w:t>Income per share from continuing operations attributable to The Washington Post Company</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68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common shareholders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first quarter of 2011 and 2010 diluted earnings per share amounts exclude the effects of 79,850 and 52,625 stock options outstanding, respectively, as their inclusion would be antidilutive.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2011, the Company declared regular quarterly dividends totaling $4.70 per share.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and Postretirement Plans</w:t>
      </w:r>
    </w:p>
    <w:p>
      <w:pPr>
        <w:spacing w:after="0" w:line="90"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Defined Benefit Plans</w:t>
      </w:r>
      <w:r>
        <w:rPr>
          <w:rFonts w:ascii="Arial" w:cs="Arial" w:eastAsia="Arial" w:hAnsi="Arial"/>
          <w:sz w:val="16"/>
          <w:szCs w:val="16"/>
          <w:color w:val="auto"/>
        </w:rPr>
        <w:t>. The total cost (benefit) arising from the Company’s defined benefit pension plans for the first quarters ended April 3, 2011 and April 4,</w:t>
      </w:r>
      <w:r>
        <w:rPr>
          <w:rFonts w:ascii="Arial" w:cs="Arial" w:eastAsia="Arial" w:hAnsi="Arial"/>
          <w:sz w:val="16"/>
          <w:szCs w:val="16"/>
          <w:b w:val="1"/>
          <w:bCs w:val="1"/>
          <w:color w:val="auto"/>
        </w:rPr>
        <w:t xml:space="preserve"> </w:t>
      </w:r>
      <w:r>
        <w:rPr>
          <w:rFonts w:ascii="Arial" w:cs="Arial" w:eastAsia="Arial" w:hAnsi="Arial"/>
          <w:sz w:val="16"/>
          <w:szCs w:val="16"/>
          <w:color w:val="auto"/>
        </w:rPr>
        <w:t>2010, including for SERP a portion included in discontinued operations, consists of the following components (in thousands):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Supplemental</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left="218"/>
              <w:spacing w:after="0" w:line="149" w:lineRule="exact"/>
              <w:rPr>
                <w:sz w:val="20"/>
                <w:szCs w:val="20"/>
                <w:color w:val="auto"/>
              </w:rPr>
            </w:pPr>
            <w:r>
              <w:rPr>
                <w:rFonts w:ascii="Arial" w:cs="Arial" w:eastAsia="Arial" w:hAnsi="Arial"/>
                <w:sz w:val="14"/>
                <w:szCs w:val="14"/>
                <w:b w:val="1"/>
                <w:bCs w:val="1"/>
                <w:color w:val="auto"/>
                <w:w w:val="88"/>
              </w:rPr>
              <w:t>Executive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4"/>
                <w:szCs w:val="14"/>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Retirement Plan</w:t>
            </w: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92"/>
              </w:rPr>
              <w:t>April 4,</w:t>
            </w:r>
          </w:p>
        </w:tc>
        <w:tc>
          <w:tcPr>
            <w:tcW w:w="50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4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4,</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cost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15,105</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15,194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(23,489)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(24,023)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cost (benefit)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Defined Benefit Plan Assets</w:t>
      </w:r>
      <w:r>
        <w:rPr>
          <w:rFonts w:ascii="Arial" w:cs="Arial" w:eastAsia="Arial" w:hAnsi="Arial"/>
          <w:sz w:val="18"/>
          <w:szCs w:val="18"/>
          <w:color w:val="auto"/>
        </w:rPr>
        <w:t>. The Company’s defined benefit pension obligations are funded by a portfolio made up of a relatively small number of stocks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fixed-income securities that are held by a third-party trustee. As of March 31, 2011 and December 31, 2010, the assets of the Company’s pension plans were allocated as follows:</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Pension Plan Asset Allocations</w:t>
            </w: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660" w:type="dxa"/>
            <w:vAlign w:val="bottom"/>
            <w:tcBorders>
              <w:top w:val="single" w:sz="8" w:color="auto"/>
            </w:tcBorders>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9"/>
              </w:rPr>
              <w:t>March 31,</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2011</w:t>
            </w:r>
          </w:p>
        </w:tc>
        <w:tc>
          <w:tcPr>
            <w:tcW w:w="1040" w:type="dxa"/>
            <w:vAlign w:val="bottom"/>
          </w:tcPr>
          <w:p>
            <w:pPr>
              <w:spacing w:after="0"/>
              <w:rPr>
                <w:sz w:val="14"/>
                <w:szCs w:val="14"/>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U.S. fixed income</w:t>
            </w: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In January 2011, the Company increased the limit on international stocks to no more than 22% of the assets at the time of the investment. None of the assets is managed internally by the Company.</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2011. Types of concentrations that were evaluated include, but are not limited to, investment concentrations in a single entity, type of industry, foreign country and individual fund. At March 31, 2011 the Company held common stock in one investment which exceeded 10% of total plan assets. This investment was valued at $237.3 million and $134.8 million at March 31, 2011 and December 31, 2010, respectively, or approximately 13% and 8%, respectively, of total plan assets. Assets also included $168.1 million and $161.6 million of Berkshire Hathaway Class A and Class B common stock at March 31, 2011 and December 31, 2010, respectively.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Other Postretirement Plans</w:t>
      </w:r>
      <w:r>
        <w:rPr>
          <w:rFonts w:ascii="Arial" w:cs="Arial" w:eastAsia="Arial" w:hAnsi="Arial"/>
          <w:sz w:val="18"/>
          <w:szCs w:val="18"/>
          <w:color w:val="auto"/>
        </w:rPr>
        <w:t>. The total (benefit) cost arising from the Company’s postretirement plan for the first quarters ended April 3, 2011 and April 4, 2010,</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portion included in discontinued operations, consists of the following components (in thousands):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Postretirement Plans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rPr>
              <w:t>April 3,</w:t>
            </w: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cost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(1,413)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Non-Operating (Expense)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for the thirteen weeks ended April 3, 2011 and April 4, 2010, is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April 3,</w:t>
            </w:r>
          </w:p>
        </w:tc>
        <w:tc>
          <w:tcPr>
            <w:tcW w:w="800" w:type="dxa"/>
            <w:vAlign w:val="bottom"/>
            <w:gridSpan w:val="4"/>
          </w:tcPr>
          <w:p>
            <w:pPr>
              <w:ind w:left="240"/>
              <w:spacing w:after="0"/>
              <w:rPr>
                <w:sz w:val="20"/>
                <w:szCs w:val="20"/>
                <w:color w:val="auto"/>
              </w:rPr>
            </w:pPr>
            <w:r>
              <w:rPr>
                <w:rFonts w:ascii="Arial" w:cs="Arial" w:eastAsia="Arial" w:hAnsi="Arial"/>
                <w:sz w:val="14"/>
                <w:szCs w:val="14"/>
                <w:b w:val="1"/>
                <w:bCs w:val="1"/>
                <w:color w:val="auto"/>
              </w:rPr>
              <w:t>April 4,</w:t>
            </w: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Impairment write-down on a marketable equity security</w:t>
            </w:r>
          </w:p>
        </w:tc>
        <w:tc>
          <w:tcPr>
            <w:tcW w:w="2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(30.7)</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cost method investment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net</w:t>
            </w:r>
          </w:p>
        </w:tc>
        <w:tc>
          <w:tcPr>
            <w:tcW w:w="16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(24.0)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9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is involved in various legal proceedings that arise in the ordinary cause of its business. Although the outcome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w:t>
      </w:r>
    </w:p>
    <w:p>
      <w:pPr>
        <w:spacing w:after="0" w:line="14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Also, based on currently available information, management is of the opinion that the exposure to future material losses is not reasonably possible, or that future material losses in excess of the amounts accrued are not reasonably possible.</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May 3, 2011, the Company received an inquiry from the Insurance and Financial Services division of the Massachusetts Attorney General, requesting certain documents related to the Kaplan Career Institute campus located in Boston, MA. The inquiry seeks documents and information regarding the recruitment of students and the financing of education. Kaplan intends to cooperate with the Massachusetts Attorney General in connection with this request and any further requests that may be forthcoming.</w:t>
      </w:r>
    </w:p>
    <w:p>
      <w:pPr>
        <w:spacing w:after="0" w:line="1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DOE Program Reviews. </w:t>
      </w:r>
      <w:r>
        <w:rPr>
          <w:rFonts w:ascii="Arial" w:cs="Arial" w:eastAsia="Arial" w:hAnsi="Arial"/>
          <w:sz w:val="18"/>
          <w:szCs w:val="18"/>
          <w:color w:val="auto"/>
        </w:rPr>
        <w:t>The U.S. Department of Education (DOE) has undertaken Program Reviews at various Kaplan Higher Education (KHE) campus</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locations and at Kaplan University. Currently, there are five pending Program Reviews, including one which is scheduled to take place in June 2011. Therefore, the results of these open reviews and their impact on Kaplan’s operations are uncertain.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On March 9, 2011, the Higher Learning Commission of the North Central Association of Colleges and Schools (HLC) sent a request for information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Kaplan University asking for documents and a report detailing Kaplan University’s admissions practices and describing Kaplan University’s compliance with HLC Core Components and policies. Kaplan University complied with this request on April 29, 2011. There is no date for any formal response or determination from HLC.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96" w:lineRule="exact"/>
        <w:rPr>
          <w:sz w:val="20"/>
          <w:szCs w:val="20"/>
          <w:color w:val="auto"/>
        </w:rPr>
      </w:pPr>
    </w:p>
    <w:p>
      <w:pPr>
        <w:jc w:val="both"/>
        <w:ind w:right="480"/>
        <w:spacing w:after="0" w:line="305" w:lineRule="auto"/>
        <w:rPr>
          <w:sz w:val="20"/>
          <w:szCs w:val="20"/>
          <w:color w:val="auto"/>
        </w:rPr>
      </w:pPr>
      <w:r>
        <w:rPr>
          <w:rFonts w:ascii="Arial" w:cs="Arial" w:eastAsia="Arial" w:hAnsi="Arial"/>
          <w:sz w:val="15"/>
          <w:szCs w:val="15"/>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w:t>
      </w:r>
    </w:p>
    <w:p>
      <w:pPr>
        <w:ind w:right="200" w:firstLine="8"/>
        <w:spacing w:after="0" w:line="253"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auto"/>
                <w:w w:val="84"/>
              </w:rPr>
              <w:t>Fair Value</w:t>
            </w:r>
          </w:p>
        </w:tc>
        <w:tc>
          <w:tcPr>
            <w:tcW w:w="540" w:type="dxa"/>
            <w:vAlign w:val="bottom"/>
          </w:tcPr>
          <w:p>
            <w:pPr>
              <w:spacing w:after="0"/>
              <w:rPr>
                <w:sz w:val="14"/>
                <w:szCs w:val="14"/>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4"/>
                <w:szCs w:val="14"/>
                <w:color w:val="auto"/>
                <w:w w:val="97"/>
              </w:rPr>
              <w:t>Level 1</w:t>
            </w:r>
          </w:p>
        </w:tc>
        <w:tc>
          <w:tcPr>
            <w:tcW w:w="600" w:type="dxa"/>
            <w:vAlign w:val="bottom"/>
            <w:gridSpan w:val="3"/>
          </w:tcPr>
          <w:p>
            <w:pPr>
              <w:ind w:left="6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April 3, 2011:</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investments</w:t>
            </w: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348.1</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vMerge w:val="restart"/>
          </w:tcPr>
          <w:p>
            <w:pPr>
              <w:ind w:left="200"/>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569.5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359.8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7.25% unsecured notes</w:t>
            </w:r>
            <w:r>
              <w:rPr>
                <w:rFonts w:ascii="Arial" w:cs="Arial" w:eastAsia="Arial" w:hAnsi="Arial"/>
                <w:sz w:val="11"/>
                <w:szCs w:val="11"/>
                <w:color w:val="auto"/>
              </w:rPr>
              <w:t>(5)</w:t>
            </w: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459.3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Total financial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525.6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2, 2011: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Money market investments </w:t>
            </w: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340.9</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vMerge w:val="restart"/>
          </w:tcPr>
          <w:p>
            <w:pPr>
              <w:ind w:left="200"/>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682.6</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352.7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69.2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7.25% unsecured notes</w:t>
            </w:r>
            <w:r>
              <w:rPr>
                <w:rFonts w:ascii="Arial" w:cs="Arial" w:eastAsia="Arial" w:hAnsi="Arial"/>
                <w:sz w:val="11"/>
                <w:szCs w:val="11"/>
                <w:color w:val="auto"/>
              </w:rPr>
              <w:t>(5)</w:t>
            </w: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457.2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Total financial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526.4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money market investments are included in cash and cash equivalents.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investments in marketable equity securities are classified as available-for-sale.</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ind w:left="460" w:right="5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Note 6 for the carrying amount of these notes.</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Through its subsidiary Kaplan, Inc., the Company provides educational services for individuals, schools and businesses. The Company also operates principally in three areas of the media business: cable television, newspaper publishing and television broadcasting.</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2011, Kaplan made several changes to its operating and reporting structure. Kaplan’s domestic professional training business was moved from Test Preparation to Kaplan Higher Education and Kaplan Continuing Education moved from Kaplan Ventures to Kaplan Higher Education. These businesses were integrated with Kaplan University to become part of the Kaplan University School of Continuing and Professional Education. The business segments disclosed are based on this organizational structure. Segment operating results of the education division for fiscal years ended 2010 and 2009 have been restated to reflect these changes.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Cable television operations consist of cable systems offering video, Internet, phone and other services to subscribers in midwestern, western and southern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 of revenue is monthly subscription fees charged for services.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recycling facilities; and the Company’s electronic media publishing business (primarily washingtonpost.com). Revenues from newspaper publishing operations are derived from advertising and, to a lesser extent, from circulation.</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 the operating results of Avenue100 Media Solutions and other small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Corporate office includes the expenses of the Company’s corporate office and the pension credit previously reported in the magazine publishing division.</w:t>
      </w:r>
    </w:p>
    <w:p>
      <w:pPr>
        <w:spacing w:after="0" w:line="194"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Due to the sale of Newsweek, the magazine publishing division is no longer included as a separate segment as its results have been reclassified to discontinued operations. Newsweek employees were participants in The Washington Post Company Retirement Plan, and Newsweek was historically allocated a net pension credit for segment reporting purposes. Since the associated pension assets and liabilities were retained by the Company, the associated credit of $8.3 million for the first quarter of 2010 has been excluded from the reclassification of Newsweek results to discontinued operations.</w:t>
      </w:r>
    </w:p>
    <w:p>
      <w:pPr>
        <w:spacing w:after="0" w:line="11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computing income from operations by segment, the effects of equity in losses of affiliates, interest income, interest expense, other non-operating income and expense items and income taxes are not included.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First Quarter 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640,629</w:t>
            </w:r>
          </w:p>
        </w:tc>
        <w:tc>
          <w:tcPr>
            <w:tcW w:w="14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711,382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190,280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154,997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Other businesses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6,662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Intersegment elimination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1,063,612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1,142,031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1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37,707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(12,827)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19,591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Corporate office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Equity in earnings (losses) of affiliates</w:t>
            </w: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(24,032)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10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31,786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Corporate office</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10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Corporate office</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100" w:type="dxa"/>
            <w:vAlign w:val="bottom"/>
            <w:gridSpan w:val="3"/>
          </w:tcPr>
          <w:p>
            <w:pPr>
              <w:spacing w:after="0"/>
              <w:rPr>
                <w:sz w:val="20"/>
                <w:szCs w:val="20"/>
                <w:color w:val="auto"/>
              </w:rPr>
            </w:pPr>
            <w:r>
              <w:rPr>
                <w:rFonts w:ascii="Arial" w:cs="Arial" w:eastAsia="Arial" w:hAnsi="Arial"/>
                <w:sz w:val="18"/>
                <w:szCs w:val="18"/>
                <w:color w:val="auto"/>
              </w:rPr>
              <w:t>Net pension credit (expense)</w:t>
            </w:r>
          </w:p>
        </w:tc>
        <w:tc>
          <w:tcPr>
            <w:tcW w:w="1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(1,552)</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Corporate office</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April 3, 2011</w:t>
            </w:r>
          </w:p>
        </w:tc>
        <w:tc>
          <w:tcPr>
            <w:tcW w:w="136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w w:val="86"/>
              </w:rPr>
              <w:t>January 2,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$1,949,823</w:t>
            </w:r>
          </w:p>
        </w:tc>
        <w:tc>
          <w:tcPr>
            <w:tcW w:w="14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2,197,277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1,132,080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1,141,427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175,691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Other businesses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27,425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914,611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$4,627,788</w:t>
            </w:r>
          </w:p>
        </w:tc>
        <w:tc>
          <w:tcPr>
            <w:tcW w:w="140" w:type="dxa"/>
            <w:vAlign w:val="bottom"/>
          </w:tcPr>
          <w:p>
            <w:pPr>
              <w:spacing w:after="0"/>
              <w:rPr>
                <w:sz w:val="19"/>
                <w:szCs w:val="19"/>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4,785,820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5,005,131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5,158,367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219"/>
          </w:cols>
          <w:pgMar w:left="240" w:top="459" w:right="1440" w:bottom="684" w:gutter="0" w:footer="0" w:header="0"/>
        </w:sectPr>
      </w:pPr>
    </w:p>
    <w:p>
      <w:pPr>
        <w:ind w:left="56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219"/>
          </w:cols>
          <w:pgMar w:left="240" w:top="459" w:right="1440" w:bottom="684"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 as reported under Kaplan’s new organizational structure: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First Quarter Period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390,279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478,751</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1,920,791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1,672,916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73,365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314,879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148,687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133,985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585,924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Kaplan corporate and other</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640,629</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711,382</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2,901,811</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2,636,638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50,483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91,604</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406,726</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(12,676)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(11,770)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(32,717)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Kaplan corporate and other</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(17,130)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(66,441)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15,499</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57,948</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330,903</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194,761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11,450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10,499</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43,104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Kaplan corporate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81,478</w:t>
            </w:r>
          </w:p>
        </w:tc>
        <w:tc>
          <w:tcPr>
            <w:tcW w:w="0" w:type="dxa"/>
            <w:vAlign w:val="bottom"/>
          </w:tcPr>
          <w:p>
            <w:pPr>
              <w:spacing w:after="0"/>
              <w:rPr>
                <w:sz w:val="1"/>
                <w:szCs w:val="1"/>
                <w:color w:val="auto"/>
              </w:rPr>
            </w:pPr>
          </w:p>
        </w:tc>
      </w:tr>
      <w:tr>
        <w:trPr>
          <w:trHeight w:val="20"/>
        </w:trPr>
        <w:tc>
          <w:tcPr>
            <w:tcW w:w="5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98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5,512</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5,276</w:t>
            </w:r>
          </w:p>
        </w:tc>
        <w:tc>
          <w:tcPr>
            <w:tcW w:w="2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21,855</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322"/>
        </w:trPr>
        <w:tc>
          <w:tcPr>
            <w:tcW w:w="598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(credit)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Test preparation amounts include revenues and operating losses from Score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94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860" w:type="dxa"/>
            <w:vAlign w:val="bottom"/>
            <w:tcBorders>
              <w:top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30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20" w:type="dxa"/>
            <w:vAlign w:val="bottom"/>
            <w:shd w:val="clear" w:color="auto" w:fill="CCEEFF"/>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33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(36,787)</w:t>
            </w:r>
          </w:p>
        </w:tc>
      </w:tr>
    </w:tbl>
    <w:p>
      <w:pPr>
        <w:spacing w:after="0" w:line="6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Kaplan Ventures amounts include revenues and operating income from Education Connection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First Quarter Period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880" w:type="dxa"/>
            <w:vAlign w:val="bottom"/>
            <w:tcBorders>
              <w:top w:val="single" w:sz="8" w:color="auto"/>
            </w:tcBorders>
          </w:tcPr>
          <w:p>
            <w:pPr>
              <w:spacing w:after="0"/>
              <w:rPr>
                <w:sz w:val="12"/>
                <w:szCs w:val="12"/>
                <w:color w:val="auto"/>
              </w:rPr>
            </w:pPr>
          </w:p>
        </w:tc>
        <w:tc>
          <w:tcPr>
            <w:tcW w:w="2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1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10,945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29,242</w:t>
            </w:r>
          </w:p>
        </w:tc>
        <w:tc>
          <w:tcPr>
            <w:tcW w:w="100" w:type="dxa"/>
            <w:vAlign w:val="bottom"/>
            <w:shd w:val="clear" w:color="auto" w:fill="CCEEFF"/>
          </w:tcPr>
          <w:p>
            <w:pPr>
              <w:spacing w:after="0"/>
              <w:rPr>
                <w:sz w:val="18"/>
                <w:szCs w:val="18"/>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100" w:type="dxa"/>
            <w:vAlign w:val="bottom"/>
            <w:gridSpan w:val="2"/>
          </w:tcPr>
          <w:p>
            <w:pPr>
              <w:ind w:left="28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1,721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r>
      <w:tr>
        <w:trPr>
          <w:trHeight w:val="356"/>
        </w:trPr>
        <w:tc>
          <w:tcPr>
            <w:tcW w:w="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20" w:type="dxa"/>
            <w:vAlign w:val="bottom"/>
          </w:tcPr>
          <w:p>
            <w:pPr>
              <w:jc w:val="right"/>
              <w:ind w:right="832"/>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2011</w:t>
            </w:r>
          </w:p>
        </w:tc>
        <w:tc>
          <w:tcPr>
            <w:tcW w:w="12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9"/>
              </w:rPr>
              <w:t>December 31, 2010</w:t>
            </w:r>
          </w:p>
        </w:tc>
        <w:tc>
          <w:tcPr>
            <w:tcW w:w="4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746,754</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1,093,614</w:t>
            </w:r>
          </w:p>
        </w:tc>
        <w:tc>
          <w:tcPr>
            <w:tcW w:w="20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1,069,965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331,294</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290,367</w:t>
            </w: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285,673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gridSpan w:val="4"/>
          </w:tcPr>
          <w:p>
            <w:pPr>
              <w:ind w:left="440"/>
              <w:spacing w:after="0"/>
              <w:rPr>
                <w:sz w:val="20"/>
                <w:szCs w:val="20"/>
                <w:color w:val="auto"/>
              </w:rPr>
            </w:pPr>
            <w:r>
              <w:rPr>
                <w:rFonts w:ascii="Arial" w:cs="Arial" w:eastAsia="Arial" w:hAnsi="Arial"/>
                <w:sz w:val="18"/>
                <w:szCs w:val="18"/>
                <w:color w:val="auto"/>
              </w:rPr>
              <w:t>Kaplan international</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712,898</w:t>
            </w: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675,122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671,249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131,041</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118,461</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88,291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gridSpan w:val="4"/>
          </w:tcPr>
          <w:p>
            <w:pPr>
              <w:ind w:left="440"/>
              <w:spacing w:after="0"/>
              <w:rPr>
                <w:sz w:val="20"/>
                <w:szCs w:val="20"/>
                <w:color w:val="auto"/>
              </w:rPr>
            </w:pPr>
            <w:r>
              <w:rPr>
                <w:rFonts w:ascii="Arial" w:cs="Arial" w:eastAsia="Arial" w:hAnsi="Arial"/>
                <w:sz w:val="18"/>
                <w:szCs w:val="18"/>
                <w:color w:val="auto"/>
              </w:rPr>
              <w:t>Kaplan corporate and other</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27,836</w:t>
            </w: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19,713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73,150</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1,949,823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2,197,277</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2,188,328</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3"/>
        </w:trPr>
        <w:tc>
          <w:tcPr>
            <w:tcW w:w="7960" w:type="dxa"/>
            <w:vAlign w:val="bottom"/>
            <w:gridSpan w:val="9"/>
          </w:tcPr>
          <w:p>
            <w:pPr>
              <w:spacing w:after="0"/>
              <w:rPr>
                <w:sz w:val="20"/>
                <w:szCs w:val="20"/>
                <w:color w:val="auto"/>
              </w:rPr>
            </w:pPr>
            <w:r>
              <w:rPr>
                <w:rFonts w:ascii="Arial" w:cs="Arial" w:eastAsia="Arial" w:hAnsi="Arial"/>
                <w:sz w:val="18"/>
                <w:szCs w:val="18"/>
                <w:color w:val="auto"/>
                <w:w w:val="88"/>
              </w:rPr>
              <w:t>For the fiscal year ended 2010 and 2009, the Company’s education division capital expenditures were as follows: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5120" w:type="dxa"/>
            <w:vAlign w:val="bottom"/>
            <w:gridSpan w:val="4"/>
          </w:tcPr>
          <w:p>
            <w:pPr>
              <w:ind w:left="4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8"/>
          </w:tcPr>
          <w:p>
            <w:pPr>
              <w:ind w:left="34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Higher education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$ 59,516</w:t>
            </w: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70,573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Test preparation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32,798</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15,900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Kaplan international</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14,163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13,900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Kaplan ventures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3,304</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Kaplan corporate and other</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5,109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114,890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106,337</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quarterly financial information related to the operating segments within the Company’s education division for 2010, as reported under Kaplan’s new organizational structure: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2010 Quarterly Operating Results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Operating revenues</w:t>
            </w:r>
          </w:p>
        </w:tc>
        <w:tc>
          <w:tcPr>
            <w:tcW w:w="2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478,751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507,448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495,595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Test preparation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85,238</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80,236</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133,985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151,208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17,825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16,228</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711,382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747,323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743,319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4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91,604</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127,067</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117,508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Test preparation</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(11,770)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14,904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(7,421)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(8,303)</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(12,360)</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(22,109)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(19,357)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99,100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Test preparation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3,025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3,054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19,129</w:t>
            </w:r>
          </w:p>
        </w:tc>
        <w:tc>
          <w:tcPr>
            <w:tcW w:w="5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19,060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21,524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4,998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gridSpan w:val="3"/>
          </w:tcPr>
          <w:p>
            <w:pPr>
              <w:ind w:left="420"/>
              <w:spacing w:after="0"/>
              <w:rPr>
                <w:sz w:val="20"/>
                <w:szCs w:val="20"/>
                <w:color w:val="auto"/>
              </w:rPr>
            </w:pPr>
            <w:r>
              <w:rPr>
                <w:rFonts w:ascii="Arial" w:cs="Arial" w:eastAsia="Arial" w:hAnsi="Arial"/>
                <w:sz w:val="18"/>
                <w:szCs w:val="18"/>
                <w:color w:val="auto"/>
              </w:rPr>
              <w:t>Kaplan stock-based incentive compensation expense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640"/>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535</w:t>
            </w:r>
          </w:p>
        </w:tc>
        <w:tc>
          <w:tcPr>
            <w:tcW w:w="34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w:t>
            </w:r>
          </w:p>
        </w:tc>
        <w:tc>
          <w:tcPr>
            <w:tcW w:w="5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 w:type="dxa"/>
            <w:vAlign w:val="bottom"/>
            <w:gridSpan w:val="2"/>
          </w:tcPr>
          <w:p>
            <w:pPr>
              <w:jc w:val="right"/>
              <w:ind w:right="472"/>
              <w:spacing w:after="0"/>
              <w:rPr>
                <w:sz w:val="20"/>
                <w:szCs w:val="20"/>
                <w:color w:val="auto"/>
              </w:rPr>
            </w:pPr>
            <w:r>
              <w:rPr>
                <w:rFonts w:ascii="Arial" w:cs="Arial" w:eastAsia="Arial" w:hAnsi="Arial"/>
                <w:sz w:val="18"/>
                <w:szCs w:val="18"/>
                <w:color w:val="auto"/>
                <w:w w:val="99"/>
              </w:rPr>
              <w:t>17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 reported net income available for common shares of $15.2 million ($1.87 per share) for its first quarter ended April 3, 2011, compared to net income available for common shares of $45.4 million ($4.91 per share) in the first quarter of last year. Net income includes $6.2 million ($0.67 per share) in losses from discontinued operations for the first quarter of 2010. Income from continuing operations available for common shares was $51.6 million ($5.58 per share) for the first quarter of 2010. As a result of the Company’s share repurchases, there were 12% fewer diluted average shares outstanding in 2011.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first quarter of 2011 included a $30.7 million write-down of a marketable equity security (after-tax impact of $19.8 million, or $2.44 per share).</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Revenue for the first quarter of 2011 was $1,063.6 million, down 7% from $1,142.0 million in 2010. The Company reported operating income of $52.0 million in the first quarter of 2011, compared to operating income of $103.1 million in 2010. Revenues were down at the education and television broadcasting divisions, while revenues at the cable television and newspaper publishing divisions were about even with 2010. Operating results declined at all of the Company’s divisions for the quarter, except for a small improvement at the newspaper publishing division.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Kaplan Higher Education (KHE) results declined significantly in the first quarter of 2011, due primarily to lower student enrollments. The Company expects KHE’s operating income to continue to decline very substantially for the remainder of 2011 versus prior year performance, due to lower student enrollment levels. Kaplan is formulating plans that are expected to result in restructuring and other costs that may be material in 2011, but should establish lower cost levels in future periods.</w:t>
      </w:r>
    </w:p>
    <w:p>
      <w:pPr>
        <w:spacing w:after="0" w:line="137"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$640.6 million for the first quarter of 2011, a 10% decline from revenue of $711.4 million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2010. Kaplan reported first quarter 2011 operating income of $15.5 million, down from $57.9 million in the first quarter of 2010.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first quarter operating results compared to 2010 is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390,279</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478,751</w:t>
            </w:r>
          </w:p>
        </w:tc>
        <w:tc>
          <w:tcPr>
            <w:tcW w:w="5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73,815</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148,687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133,985</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27,169</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1,291</w:t>
            </w:r>
          </w:p>
        </w:tc>
        <w:tc>
          <w:tcPr>
            <w:tcW w:w="5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640,629</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711,382</w:t>
            </w:r>
          </w:p>
        </w:tc>
        <w:tc>
          <w:tcPr>
            <w:tcW w:w="5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w w:val="91"/>
              </w:rPr>
              <w:t>Higher education</w:t>
            </w: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50,483</w:t>
            </w: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91,604</w:t>
            </w:r>
          </w:p>
        </w:tc>
        <w:tc>
          <w:tcPr>
            <w:tcW w:w="5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(12,676)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(11,770)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4,527</w:t>
            </w:r>
          </w:p>
        </w:tc>
        <w:tc>
          <w:tcPr>
            <w:tcW w:w="5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(7,421)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(12,443)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(13,190)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(5,276)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15,499</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57,948</w:t>
            </w:r>
          </w:p>
        </w:tc>
        <w:tc>
          <w:tcPr>
            <w:tcW w:w="5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first quarter of 2011, Kaplan made several changes to its operating and reporting structure. Kaplan’s domestic professional training business moved from Test Preparation to Kaplan Higher Education (KHE), and Kaplan Continuing Education moved from Kaplan Ventures to KHE. These businesses were integrated with Kaplan University to become part of the Kaplan University School of Continuing and Professional Education. The comparative division results presented above reflect these changes.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KHE includes Kaplan’s domestic postsecondary education businesses, made up of fixed-facility colleges and online postsecondary and career programs. KHE also now includes the domestic professional training and other continuing education businesses. In the first quarter of 2011, higher education revenue declined 18% due to a decline in average enrollment. Operating income decreased 45% due to lower revenue and increased regulatory compliance costs, offset by a reduction in advertising costs and other expense reductions associated with lower enrollments.</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fourth quarter of 2010, KHE implemented a number of marketing and admissions changes to increase student selectivity. These changes will help KHE comply with pending and proposed regulations. In addition, KHE implemented the Kaplan Commitment program, which provides most first-time students with a risk-free trial period (returning students are not eligible for this program). Under the Kaplan Commitment program, KHE also monitors academic progress and conducts academic assessments to help determine whether students are likely to be successful in their chosen course of study. Students who withdraw or are subject to academic dismissal during the risk-free trial period do not incur any significant financial obligation. These changes, along with improving economic conditions and falling unemployment, which generally reduces demand, have resulted in a 48% decline in new enrollments versus the prior year. Management estimates that without the Kaplan Commitment, this decline would have been approximately 41%. Management also estimates that revenue for the first quarter of 2011 would have been approximately $13.0 million higher if the Kaplan Commitment had not been implemented. KHE does not recognize tuition revenue for students during the risk-free period.</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result of these factors, KHE’s operating results declined significantly in the first quarter of 2011. KHE revenues and operating results are expected to continue to be adversely impacted by the move to increase student selectivity, changes in regulations and other business practices, the Kaplan Commitment and overall economic conditions.</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those first-time students enrolled to date under the Kaplan Commitment, the attrition rate during the risk-free period has been approximately 25%, of which about 60% is due to Kaplan’s dismissal of students from the program because of the student’s lack of academic progress during the period and the remainder due to students who have elected not to continue their studies. Given that the Kaplan Commitment program has only been in place for a short period of time, management is unable to estimate with confidence to what degree the program will cause student retention patterns to differ from historical levels. However, based on limited preliminary data, it appears that most of the historical early term attrition has been accelerated into the commitment period, having the desired effect of providing these students with a risk-free trial period and ultimately improving student outcome results for the institution. Management believes the Kaplan Commitment program is unique and reflects Kaplan’s commitment to student success.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summary of KHE student enrollments, excluding the Kaplan University School of Continuing and Professional Education, at March 31, 2011, and March 31, 2010,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0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Student Enrollments</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rPr>
              <w:t>As of March 31,</w:t>
            </w:r>
          </w:p>
        </w:tc>
        <w:tc>
          <w:tcPr>
            <w:tcW w:w="46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6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Kaplan University</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61,724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30,569</w:t>
            </w:r>
          </w:p>
        </w:tc>
        <w:tc>
          <w:tcPr>
            <w:tcW w:w="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92,293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119,293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included 7,928 and 8,244 campus-based students as of March 31, 2011, and March 31, 2010, respectively.</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Kaplan University and Kaplan Higher Education Campuses enrollments at March 31, 2011, and March 31, 2010, by degree and certificate programs,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5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26.2%</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Associate’s</w:t>
            </w:r>
          </w:p>
        </w:tc>
        <w:tc>
          <w:tcPr>
            <w:tcW w:w="5580" w:type="dxa"/>
            <w:vAlign w:val="bottom"/>
            <w:gridSpan w:val="3"/>
          </w:tcPr>
          <w:p>
            <w:pPr>
              <w:jc w:val="right"/>
              <w:ind w:right="440"/>
              <w:spacing w:after="0"/>
              <w:rPr>
                <w:sz w:val="20"/>
                <w:szCs w:val="20"/>
                <w:color w:val="auto"/>
              </w:rPr>
            </w:pPr>
            <w:r>
              <w:rPr>
                <w:rFonts w:ascii="Arial" w:cs="Arial" w:eastAsia="Arial" w:hAnsi="Arial"/>
                <w:sz w:val="18"/>
                <w:szCs w:val="18"/>
                <w:color w:val="auto"/>
              </w:rPr>
              <w:t>33.4%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34.1%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5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33.5%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Master’s</w:t>
            </w:r>
          </w:p>
        </w:tc>
        <w:tc>
          <w:tcPr>
            <w:tcW w:w="46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620" w:type="dxa"/>
            <w:vAlign w:val="bottom"/>
            <w:vMerge w:val="restart"/>
          </w:tcPr>
          <w:p>
            <w:pPr>
              <w:jc w:val="right"/>
              <w:ind w:right="2632"/>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5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Refer to KHE Regulatory Matters below for additional information.</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Test preparation includes Kaplan’s standardized test preparation and tutoring offerings and other businesses. In the first quarter of 2010, the Company discontinued certain offerings of the K12 business; $4.6 million in severance and other closure costs were recorded in the first quarter of 2010 in connection with this plan. In the fourth quarter of 2010, Kaplan Test Preparation began implementing a plan to reorganize its business consistent with the migration of students to Kaplan’s online and hybrid test preparation offerings, reducing the number of leased test preparation centers. In the first quarter of 2011, implementation of the plan continued and $2.3 million in additional costs were incurred. This plan is expected to be largely completed by the end of 2011, and the Company estimates that approximately $10.0 million in additional costs will be incurred.</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Test preparation revenue declined 1% in the first quarter of 2011 due to the termination of certain K12 offerings. Revenue at the traditional test preparation programs in 2011 was essentially flat. Strong enrollment increases, particularly in the Pre-College and Nursing programs, were offset by reduced prices for many programs related to increased competition and a shift in demand to lower priced online test preparation offerings.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Test preparation operating results were down in the first quarter of 2011 due to $2.3 million in 2011 restructuring-related charges and reduced prices at the traditional test preparation programs and higher spending to expand online offerings and innovate various programs, offset by $4.6 million in K12-related closure costs in the first quarter of 2010.</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Kaplan International includes professional training and postsecondary education businesses outside the United States, as well as English-language programs. Kaplan International revenue increased 11% in 2011 due to enrollment growth in the pathways and other higher education programs in Singapore. The rise in revenue is also due to increased English-language program revenue and favorable exchange rates in the United Kingdom, Singapore and Australia. Kaplan International operating income declined in the first quarter of 2011 due to up-front spending for admission and occupancy at its Asian and United Kingdom businesses to support expanding operations. In May 2011, Kaplan Australia announced the acquisition of Franklyn Scholar, a leading national provider of work-based vocational training in Australia.</w:t>
      </w:r>
    </w:p>
    <w:p>
      <w:pPr>
        <w:spacing w:after="0" w:line="14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Kaplan Ventures is made up of a number of businesses in various stages of development that are managed separately from the other education businesses. Revenue at Kaplan Ventures increased 7% in the first quarter of 2011. Kaplan Ventures reported an operating loss of $5.5 million in the first quarter of 2011, compared to an operating loss of $7.4 million in the first quarter of 2010,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shared activities.</w:t>
      </w:r>
    </w:p>
    <w:p>
      <w:pPr>
        <w:spacing w:after="0" w:line="16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television division revenue increased slightly in the first quarter of 2011 to $190.3 million, from $189.4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2010. The revenue increase in 2011 is due to continued growth of the division’s cable modem and telephone revenues, offset by an increase in promotional discounts.</w:t>
      </w:r>
    </w:p>
    <w:p>
      <w:pPr>
        <w:spacing w:after="0" w:line="13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Cable television division operating income in the first quarter of 2011 decreased to $37.7 million, from $42.5 million in the first quarter of 2010. The division’s operating income declined primarily due to increased programming, technical and sales costs.</w:t>
      </w:r>
    </w:p>
    <w:p>
      <w:pPr>
        <w:spacing w:after="0" w:line="132"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At March 31, 2011, Revenue Generating Units (RGUs) were up 5% from the prior year due to growth in high-speed data and telephony subscribers, offset by a decrease in basic and digital subscribers. RGUs include about 6,200 subscribers who receive free basic cable service, primarily local governments, schools and other organizations as required by the various franchise agreements. A summary of RGUs is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w w:val="89"/>
              </w:rPr>
              <w:t>Cable Television Division Subscribers</w:t>
            </w:r>
          </w:p>
        </w:tc>
        <w:tc>
          <w:tcPr>
            <w:tcW w:w="48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2011</w:t>
            </w:r>
          </w:p>
        </w:tc>
        <w:tc>
          <w:tcPr>
            <w:tcW w:w="1580" w:type="dxa"/>
            <w:vAlign w:val="bottom"/>
            <w:gridSpan w:val="3"/>
          </w:tcPr>
          <w:p>
            <w:pPr>
              <w:ind w:left="580"/>
              <w:spacing w:after="0"/>
              <w:rPr>
                <w:sz w:val="20"/>
                <w:szCs w:val="20"/>
                <w:color w:val="auto"/>
              </w:rPr>
            </w:pPr>
            <w:r>
              <w:rPr>
                <w:rFonts w:ascii="Arial" w:cs="Arial" w:eastAsia="Arial" w:hAnsi="Arial"/>
                <w:sz w:val="14"/>
                <w:szCs w:val="14"/>
                <w:b w:val="1"/>
                <w:bCs w:val="1"/>
                <w:color w:val="auto"/>
                <w:w w:val="98"/>
              </w:rPr>
              <w:t>March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39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647,471</w:t>
            </w:r>
          </w:p>
        </w:tc>
        <w:tc>
          <w:tcPr>
            <w:tcW w:w="5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Digital</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217,714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219,699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440,215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Telephony</w:t>
            </w:r>
          </w:p>
        </w:tc>
        <w:tc>
          <w:tcPr>
            <w:tcW w:w="39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166,559</w:t>
            </w:r>
          </w:p>
        </w:tc>
        <w:tc>
          <w:tcPr>
            <w:tcW w:w="5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1,471,959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900" w:type="dxa"/>
            <w:vAlign w:val="bottom"/>
            <w:vMerge w:val="restart"/>
          </w:tcPr>
          <w:p>
            <w:pPr>
              <w:jc w:val="right"/>
              <w:ind w:right="1696"/>
              <w:spacing w:after="0"/>
              <w:rPr>
                <w:sz w:val="20"/>
                <w:szCs w:val="20"/>
                <w:color w:val="auto"/>
              </w:rPr>
            </w:pPr>
            <w:r>
              <w:rPr>
                <w:rFonts w:ascii="Arial" w:cs="Arial" w:eastAsia="Arial" w:hAnsi="Arial"/>
                <w:sz w:val="18"/>
                <w:szCs w:val="18"/>
                <w:color w:val="auto"/>
              </w:rPr>
              <w:t>20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2011 and 2010,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Commercial</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Line Extensions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Support Capital</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w:t>
            </w:r>
          </w:p>
        </w:tc>
        <w:tc>
          <w:tcPr>
            <w:tcW w:w="10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$155.0 million for the first quarter of 2011, down slightly from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$155.8 million for the first quarter of 2010. Print advertising revenue at The Washington Post decreased 8% to $63.2 million, from $68.7 million in 2010. The decline is largely due to reductions in retail and classified advertising. Revenue generated by the Company’s newspaper online publishing activities, primarily washingtonpost.com and Slate, increased 8% to $25.7 million for the first quarter of 2011, versus $23.7 million for the first quarter of 2010. Display online advertising revenue grew 9%, and online classified advertising revenue on washingtonpost.com was up 6%.</w:t>
      </w:r>
    </w:p>
    <w:p>
      <w:pPr>
        <w:spacing w:after="0" w:line="11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first quarter of 2011, Post daily circulation decreased 2.9% and Post Sunday circulation decreased 3.4%, compared to the first quarter of 2010. Average daily circulation in the first quarter of 2011 totaled 545,900, and average Sunday circulation totaled 753,400.</w:t>
      </w:r>
    </w:p>
    <w:p>
      <w:pPr>
        <w:spacing w:after="0" w:line="13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newspaper division reported an operating loss of $12.8 million in the first quarter of 2011, compared to an operating loss of $13.8 million in the first quarter of 2010. Operating results improved in the first quarter of 2011 due to a $3.1 million loss recorded on an office lease in the first quarter of 2010, offset by a small increase in overall costs. Newsprint expense was even in the first quarter of 2011 compared to the first quarter of 2010.</w:t>
      </w:r>
    </w:p>
    <w:p>
      <w:pPr>
        <w:spacing w:after="0" w:line="10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broadcast division declined 2% in the first quarter of 2011 to $72.2 million, from $73.5 million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for the first quarter of 2011 decreased 6% to $19.6 million, from $20.9 million in the first quarter of 2010. The decline in revenue and operating income is due to the absence of $4.7 million in incremental winter Olympics-related advertising at the Company’s NBC affiliates in the first quarter of 2010, and a $1.8 million decrease in political advertising revenue, offset by increases in other categories.</w:t>
      </w:r>
    </w:p>
    <w:p>
      <w:pPr>
        <w:spacing w:after="0" w:line="103"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 xml:space="preserve">Other Businesses and Corporate Office. </w:t>
      </w:r>
      <w:r>
        <w:rPr>
          <w:rFonts w:ascii="Arial" w:cs="Arial" w:eastAsia="Arial" w:hAnsi="Arial"/>
          <w:sz w:val="15"/>
          <w:szCs w:val="15"/>
          <w:color w:val="auto"/>
        </w:rPr>
        <w:t>Other businesses includes the operating results of Avenue100 Media Solutions and other small businesses. In the first</w:t>
      </w:r>
      <w:r>
        <w:rPr>
          <w:rFonts w:ascii="Arial" w:cs="Arial" w:eastAsia="Arial" w:hAnsi="Arial"/>
          <w:sz w:val="15"/>
          <w:szCs w:val="15"/>
          <w:b w:val="1"/>
          <w:bCs w:val="1"/>
          <w:color w:val="auto"/>
        </w:rPr>
        <w:t xml:space="preserve"> </w:t>
      </w:r>
      <w:r>
        <w:rPr>
          <w:rFonts w:ascii="Arial" w:cs="Arial" w:eastAsia="Arial" w:hAnsi="Arial"/>
          <w:sz w:val="15"/>
          <w:szCs w:val="15"/>
          <w:color w:val="auto"/>
        </w:rPr>
        <w:t>quarter of 2011, revenues declined substantially due to volume declines as a result of changes implemented at Avenue100 Media Solutions to improve lead quality. Operating results decreased due to these revenue declines, along with increased costs at the Company’s digital businesses managed at the corporate office.</w:t>
      </w:r>
    </w:p>
    <w:p>
      <w:pPr>
        <w:spacing w:after="0" w:line="7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Equity in Earnings (Losses) of Affiliates. </w:t>
      </w:r>
      <w:r>
        <w:rPr>
          <w:rFonts w:ascii="Arial" w:cs="Arial" w:eastAsia="Arial" w:hAnsi="Arial"/>
          <w:sz w:val="16"/>
          <w:szCs w:val="16"/>
          <w:color w:val="auto"/>
        </w:rPr>
        <w:t>The Company’s equity in earnings for the first quarter of 2011 was $3.7 million, compared with losses of $8.1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first quarter of 2010. The change is due to improved results at the Company’s Bowater Mersey Paper Company affiliate.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affiliates.</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Other Non-Operating Income (Expense). </w:t>
      </w:r>
      <w:r>
        <w:rPr>
          <w:rFonts w:ascii="Arial" w:cs="Arial" w:eastAsia="Arial" w:hAnsi="Arial"/>
          <w:sz w:val="16"/>
          <w:szCs w:val="16"/>
          <w:color w:val="auto"/>
        </w:rPr>
        <w:t>The Company recorded other non-operating expense, net, of $24.0 million for the first quarter of 2011,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other non-operating expense, net, of $3.3 million for the first quarter of 2010. The 2011 non-operating expense, net, included a $30.7 million write-down of a marketable equity security (Corinthian Colleges, Inc.), offset by a $3.8 million gain on the sale of a cost method investment and $2.7 million in unrealized foreign currency gains and other items. The 2010 non-operating expense, net, included $3.3 million in unrealized foreign currency losses.</w:t>
      </w:r>
    </w:p>
    <w:p>
      <w:pPr>
        <w:spacing w:after="0" w:line="10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$7.0 million for the first quarter of 2011, compared to $7.3 million for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2010. At April 3, 2011, the Company had $399.8 million in borrowings outstanding, at an average interest rate of 7.2%.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first quarter of 2011 was 36.8%, compared to 38.4% for the first quarter of 2010.</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On September 30, 2010, the Company completed the sale of Newsweek. Consequently, the Company’s income from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for the prior year excludes magazine publishing operations, which have been reclassified to discontinued operations, net of tax.</w:t>
      </w:r>
    </w:p>
    <w:p>
      <w:pPr>
        <w:spacing w:after="0" w:line="7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 xml:space="preserve">Earnings (Loss) Per Share. </w:t>
      </w:r>
      <w:r>
        <w:rPr>
          <w:rFonts w:ascii="Arial" w:cs="Arial" w:eastAsia="Arial" w:hAnsi="Arial"/>
          <w:sz w:val="18"/>
          <w:szCs w:val="18"/>
          <w:color w:val="auto"/>
        </w:rPr>
        <w:t>The calculation of diluted earnings per share for the first quarter of 2011 was based on 8,119,373 weighted average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compared to 9,240,951 for the first quarter of 2010. In the first quarter of 2011, the Company repurchased 281,754 shares of its Class B common stock at a cost of $121.4 million. At April 3, 2011, there were 7,954,157 shares outstanding.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KHE Regulatory Matters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October 2010, the U.S. Department of Education released rules that address program integrity issues for postsecondary education institutions that participate in Title IV programs. The rules include, among other items, state approval processes, Department of Education program approval processes, revised standards governing the payment of incentive compensation to admissions and financial aid advisors, standards around misrepresentation and the definition of “credit hour.” In March 2011, the Department of Education issued “Dear Colleague Letters” to provide guidance on these regulations, including incentive compensation related to admissions. The Company has taken steps to fully comply with these rules, but cannot currently predict the impact that these rules will have on its operations in the future and related operating results.</w:t>
      </w:r>
    </w:p>
    <w:p>
      <w:pPr>
        <w:spacing w:after="0" w:line="12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July 2010, the Department of Education released a notice of proposed rulemaking addressing substantive measurements for whether an educational program leads to gainful employment in a recognized occupation for purposes of that program’s eligibility for Title IV funds. The proposed rulemaking addressing the definition of gainful employment includes provisions whereby students at a program level must demonstrate certain levels of student loan repayment and/or a program’s graduates must achieve certain debt-to-income ratios for the institution’s program to remain eligible for participation in the Title IV program. If a program fails to meet some or all of these proposed requirements, then the program’s eligibility to participate in the Title IV program may be restricted or lost entirely. Some of the data needed to compute program eligibility under this proposed regulation are not readily accessible to the institutions, but are compiled by the Department of Education.</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cannot currently predict the final form of the gainful employment rule; however, the Department of Education has indicated that the rule will be modified in its final form. The Company cannot currently predict with reasonable accuracy the impact the final regulation would have on its program offerings. However, the final regulation could significantly impact Kaplan’s operating results as some or all institutions owned by Kaplan might be required to limit program offerings to ensure compliance with the final restrictions of the proposed gainful employment rule, which would likely result in reduced enrollments and increased costs. The Company has filed public comments related to the proposed rulemaking on gainful employment. The Department of Education has previously indicated that it plans to issue final rules in 2011 for an effective date on July 1, 2012.</w:t>
      </w:r>
    </w:p>
    <w:p>
      <w:pPr>
        <w:spacing w:after="0" w:line="12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April 2011, the Department of Education issued revised unofficial trial three-year cohort default rates for the 2008 federal fiscal year. The revised trial rate for Kaplan University was 28%. For the remaining KHE reporting institutions, the revised rates ranged from 17% to 37%. These revised rates are for informational purposes only and no federal sanctions will be imposed based on these rates.</w:t>
      </w:r>
    </w:p>
    <w:p>
      <w:pPr>
        <w:spacing w:after="0" w:line="14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Under regulations referred to as the 90/10 rule, a Kaplan Higher Education OPEID unit would lose its eligibility to participate in the Title IV 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exceeding 90% for a single fiscal year ending after August 14, 2008, would be placed on provisional certification and may be subject to other enforcement measures. In 2011, if current trends continue, management estimates that one OPEID unit of Kaplan Higher Education Campuses (KHEC), representing less than 1% of KHE revenue, would have a 90/10 ratio over 90.0%. However, for 2012, absent changes and if current trends continue, management estimates that 19 OPEID units of KHEC, representing approximately 18% of KHE revenue, would have a 90/10 ratio over 90.0%. Kaplan Higher Education is taking and considering various measures to reduce the percentage of its receipts attributable to Title IV funds, including emphasizing direct-pay and employer-paid education programs; encouraging students to carefully evaluate the amount of Title IV borrowing; and other measures. Although Kaplan is taking steps to address compliance with the 90/10 rule, there can be no guarantee that these measures will be adequate to prevent the 90/10 rule calculations from exceeding 90%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8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In the first quarter of 2011, Kaplan acquired one small business in its Kaplan Ventures division. In the first quarter of 2010,</w:t>
      </w:r>
      <w:r>
        <w:rPr>
          <w:rFonts w:ascii="Arial" w:cs="Arial" w:eastAsia="Arial" w:hAnsi="Arial"/>
          <w:sz w:val="18"/>
          <w:szCs w:val="18"/>
          <w:b w:val="1"/>
          <w:bCs w:val="1"/>
          <w:color w:val="auto"/>
        </w:rPr>
        <w:t xml:space="preserve"> </w:t>
      </w:r>
      <w:r>
        <w:rPr>
          <w:rFonts w:ascii="Arial" w:cs="Arial" w:eastAsia="Arial" w:hAnsi="Arial"/>
          <w:sz w:val="18"/>
          <w:szCs w:val="18"/>
          <w:color w:val="auto"/>
        </w:rPr>
        <w:t>Kaplan also made one small acquisition in its Kaplan Ventures division.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In May 2011, Kaplan Australia announced the acquisition of Franklyn Scholar, a leading national provider of work-based vocational training in Australia.</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April 2010, Kaplan sold Education Connection, which was part of the Kaplan Ventures division.</w:t>
      </w:r>
    </w:p>
    <w:p>
      <w:pPr>
        <w:spacing w:after="0" w:line="16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three months of 2011, the Company’s capital expenditures totaled $39.3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$250 million to $275 million in 2011.</w:t>
      </w:r>
    </w:p>
    <w:p>
      <w:pPr>
        <w:spacing w:after="0" w:line="12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increased by $0.1 million, to $399.8 million at April 3, 2011, as compared to borrowings of $399.7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 2011</w:t>
      </w:r>
      <w:r>
        <w:rPr>
          <w:rFonts w:ascii="Arial" w:cs="Arial" w:eastAsia="Arial" w:hAnsi="Arial"/>
          <w:sz w:val="18"/>
          <w:szCs w:val="18"/>
          <w:i w:val="1"/>
          <w:iCs w:val="1"/>
          <w:color w:val="auto"/>
        </w:rPr>
        <w:t>.</w:t>
      </w:r>
      <w:r>
        <w:rPr>
          <w:rFonts w:ascii="Arial" w:cs="Arial" w:eastAsia="Arial" w:hAnsi="Arial"/>
          <w:sz w:val="18"/>
          <w:szCs w:val="18"/>
          <w:color w:val="auto"/>
        </w:rPr>
        <w:t xml:space="preserve"> At April 3, 2011, the Company has $329.2 million in cash and cash equivalents, compared to $437.7 million at January 2, 2011. The Company had money market investments of $187.4 million and $308.9 million that are classified as cash and cash equivalents in the Company’s condensed consolidated Balance Sheet as of April 3, 2011 and January 2, 2011, respectively.</w:t>
      </w:r>
    </w:p>
    <w:p>
      <w:pPr>
        <w:spacing w:after="0" w:line="14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Company’s total debt outstanding of $399.8 million at April 3, 2011 included $396.8 million of 7.25% unsecured notes due February 1, 2019 and $3.0 million in other debt.</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has a $500 million revolving credit facility that expires in August 2011, which supports the issuance of the Company’s short-term commercial paper and provides for general corporate purposes. The Company did not borrow funds under its commercial paper program or its revolving credit facility in the first quarter of 2011. The Company expects to replace the revolving credit facility with a new revolving credit facility before the end of the second quarter of 2011.</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August 2010, Standard &amp; Poor’s revised the Company’s long-term outlook to negative from stable; the Company’s “A” long-term corporate credit and senior unsecured ratings and “A-1” short-term commercial rating remained unchanged. Moody’s lowered the Company’s long-term rating in October 2010 to “A2” from “A1”, confirmed the “Prime-1” commercial paper rating and changed the ratings outlook to negative. The Company’s current credit ratings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Standard</w:t>
            </w:r>
          </w:p>
        </w:tc>
      </w:tr>
      <w:tr>
        <w:trPr>
          <w:trHeight w:val="161"/>
        </w:trPr>
        <w:tc>
          <w:tcPr>
            <w:tcW w:w="69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Moody’s</w:t>
            </w:r>
          </w:p>
        </w:tc>
        <w:tc>
          <w:tcPr>
            <w:tcW w:w="5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&amp; Poor’s</w:t>
            </w:r>
          </w:p>
        </w:tc>
        <w:tc>
          <w:tcPr>
            <w:tcW w:w="10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Short-term</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Prime-1</w:t>
            </w:r>
          </w:p>
        </w:tc>
        <w:tc>
          <w:tcPr>
            <w:tcW w:w="5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A-1</w:t>
            </w:r>
          </w:p>
        </w:tc>
      </w:tr>
    </w:tbl>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quarter of 2011 and 2010, the Company had average borrowings outstanding of approximately $399.7 million and $399.3 million, respectively, at average annual interest rates of approximately 7.2%. During the first quarter of 2011 and 2010, the Company incurred net interest expense of $7.0 million and $7.3 million, respectively.</w:t>
      </w:r>
    </w:p>
    <w:p>
      <w:pPr>
        <w:spacing w:after="0" w:line="14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At April 3, 2011 and January 2, 2011, the Company had working capital of $221.7 million and $353.6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through commercial paper borrowings. In management’s opinion, the Company will have ample liquidity to meet its various cash needs throughout 2011.</w:t>
      </w:r>
    </w:p>
    <w:p>
      <w:pPr>
        <w:spacing w:after="0" w:line="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2,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2, 2011.</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2010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as of April 3, 2011.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April 3, 2011 that has materially affected, or is reasonably likely to materially affect, the Company’s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April 3, 2011, the Company purchased shares of its Class B Common Stock as set forth in the following table: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Total Number</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of Shares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Part 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5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Publicly</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5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Paid per</w:t>
            </w: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Announced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5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5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Plan*</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3 - Feb. 6, 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$431.81</w:t>
            </w:r>
          </w:p>
        </w:tc>
        <w:tc>
          <w:tcPr>
            <w:tcW w:w="1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66,783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Feb. 7 - Mar. 6, 2011</w:t>
            </w:r>
          </w:p>
        </w:tc>
        <w:tc>
          <w:tcPr>
            <w:tcW w:w="820" w:type="dxa"/>
            <w:vAlign w:val="bottom"/>
          </w:tcPr>
          <w:p>
            <w:pPr>
              <w:jc w:val="right"/>
              <w:spacing w:after="0"/>
              <w:rPr>
                <w:sz w:val="20"/>
                <w:szCs w:val="20"/>
                <w:color w:val="auto"/>
              </w:rPr>
            </w:pPr>
            <w:r>
              <w:rPr>
                <w:rFonts w:ascii="Arial" w:cs="Arial" w:eastAsia="Arial" w:hAnsi="Arial"/>
                <w:sz w:val="18"/>
                <w:szCs w:val="18"/>
                <w:color w:val="auto"/>
              </w:rPr>
              <w:t>34,184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428.70</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34,184</w:t>
            </w:r>
          </w:p>
        </w:tc>
        <w:tc>
          <w:tcPr>
            <w:tcW w:w="700" w:type="dxa"/>
            <w:vAlign w:val="bottom"/>
          </w:tcPr>
          <w:p>
            <w:pPr>
              <w:jc w:val="right"/>
              <w:spacing w:after="0"/>
              <w:rPr>
                <w:sz w:val="20"/>
                <w:szCs w:val="20"/>
                <w:color w:val="auto"/>
              </w:rPr>
            </w:pPr>
            <w:r>
              <w:rPr>
                <w:rFonts w:ascii="Arial" w:cs="Arial" w:eastAsia="Arial" w:hAnsi="Arial"/>
                <w:sz w:val="18"/>
                <w:szCs w:val="18"/>
                <w:color w:val="auto"/>
              </w:rPr>
              <w:t>324,823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7 - Apr. 3, 2011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174,582</w:t>
            </w: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5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174,582</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281,754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$430.81</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275,549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September 23, 2010, the Company’s Board of Directors authorized the Company to purchase, on the open market or otherwise, up to 750,000 shares of its Class B Common Stock. There is no expiration date for that authorization. In the first quarter of 2011, 6,205 shares were purchased from recipients of vested awards of restricted shares at market price. Under the Company’s Incentive Compensation Plan, the Compensation Committee may permit the recipient of a vested award of restricted shares of the Company’s Class B Common Stock to receive some or all of the value of the award in cash rather than in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2"/>
              </w:rPr>
              <w:t>Restated Certificate of Incorporation of the Company dated November 13, 2003 (incorporated by reference to Exhibit 3.1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Annual Report on Form 10-K for the fiscal year ended December 28, 2003).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2"/>
              </w:rPr>
              <w:t>By-Laws of the Company as amended and restated through November 8, 2007 (incorporated by reference to Exhibit 3.1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Current Report on Form 8-K dated November 14, 2007).</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Second Supplemental Indenture dated January 30, 2009, between the Company and The Bank of New York Mellon Trust Company, N.A., as</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8-K dated January 30, 2009).</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Five Year Credit Agreement dated as of August 8, 2006, among the Company, Citibank, N.A., JPMorgan Chase Bank, N.A., Wachovia Bank,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0"/>
              </w:rPr>
              <w:t>National Association, SunTrust Bank, The Bank of New York, PNC Bank, National Association, Bank of America, N.A. and Wells Fargo Bank,</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7"/>
              </w:rPr>
              <w:t>N.A. (incorporated by reference to Exhibit 4.4 to the Company’s Quarterly Report on Form 10-Q for the quarter ended July 2, 2006).</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tcPr>
          <w:p>
            <w:pPr>
              <w:ind w:left="4760"/>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Donald E. Graham,</w:t>
      </w:r>
    </w:p>
    <w:p>
      <w:pPr>
        <w:jc w:val="center"/>
        <w:ind w:left="5840"/>
        <w:spacing w:after="0" w:line="223" w:lineRule="auto"/>
        <w:rPr>
          <w:sz w:val="20"/>
          <w:szCs w:val="20"/>
          <w:color w:val="auto"/>
        </w:rPr>
      </w:pPr>
      <w:r>
        <w:rPr>
          <w:rFonts w:ascii="Arial" w:cs="Arial" w:eastAsia="Arial" w:hAnsi="Arial"/>
          <w:sz w:val="14"/>
          <w:szCs w:val="14"/>
          <w:b w:val="1"/>
          <w:bCs w:val="1"/>
          <w:color w:val="auto"/>
        </w:rPr>
        <w:t>Chairman &amp; Chief Executive Officer</w:t>
      </w:r>
    </w:p>
    <w:p>
      <w:pPr>
        <w:jc w:val="center"/>
        <w:ind w:left="584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Hal S. Jones,</w:t>
      </w:r>
    </w:p>
    <w:p>
      <w:pPr>
        <w:jc w:val="center"/>
        <w:ind w:left="5840"/>
        <w:spacing w:after="0" w:line="223" w:lineRule="auto"/>
        <w:rPr>
          <w:sz w:val="20"/>
          <w:szCs w:val="20"/>
          <w:color w:val="auto"/>
        </w:rPr>
      </w:pPr>
      <w:r>
        <w:rPr>
          <w:rFonts w:ascii="Arial" w:cs="Arial" w:eastAsia="Arial" w:hAnsi="Arial"/>
          <w:sz w:val="14"/>
          <w:szCs w:val="14"/>
          <w:b w:val="1"/>
          <w:bCs w:val="1"/>
          <w:color w:val="auto"/>
        </w:rPr>
        <w:t>Senior Vice President-Finance</w:t>
      </w:r>
    </w:p>
    <w:p>
      <w:pPr>
        <w:jc w:val="center"/>
        <w:ind w:left="58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240" w:top="459" w:right="7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April 3, 2011 (the “Report”), Donald E. Graham, Chief Executive Officer (principal executive officer) of the Company, and Hal S. Jones, Senior Vice President–Finance (principal financial officer) of the Company, each hereby certifies, pursuant to 18 U.S.C. § 1350, as adopted pursuant to §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2019-12-10T03:32:04Z</dcterms:created>
  <dcterms:modified xsi:type="dcterms:W3CDTF">2019-12-10T03:32:04Z</dcterms:modified>
</cp:coreProperties>
</file>