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1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-168275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21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5379085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4063365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4088130</wp:posOffset>
            </wp:positionH>
            <wp:positionV relativeFrom="paragraph">
              <wp:posOffset>-594995</wp:posOffset>
            </wp:positionV>
            <wp:extent cx="1274445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-1546225</wp:posOffset>
            </wp:positionH>
            <wp:positionV relativeFrom="paragraph">
              <wp:posOffset>29845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00" w:space="340"/>
            <w:col w:w="86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O'Shaughnessy Timothy J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3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C/O GRAHAM HOLDINGS COMPANY 1300 NORTH 17TH STREET,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GHC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0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186690</wp:posOffset>
            </wp:positionV>
            <wp:extent cx="6967220" cy="19278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92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12,642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4,099.025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4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20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48,626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-2423160</wp:posOffset>
            </wp:positionV>
            <wp:extent cx="7033260" cy="24657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65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not a beneficiary of such trust. The reporting person disclaims beneficial ownership of the reported securities.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Forfeiture of Class B shares previously awarded to Laura O'Shaughnessy, spouse of the reporting person, as restricted stock under incentive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Nicole M. Maddrey for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Timothy J. O'Shaughnessy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21362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2020-08-05T15:47:46Z</dcterms:created>
  <dcterms:modified xsi:type="dcterms:W3CDTF">2020-08-05T15:47:46Z</dcterms:modified>
</cp:coreProperties>
</file>