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6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9"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64" w:hanging="564"/>
        <w:spacing w:after="0"/>
        <w:tabs>
          <w:tab w:leader="none" w:pos="5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5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 w:lineRule="exact"/>
        <w:rPr>
          <w:sz w:val="24"/>
          <w:szCs w:val="24"/>
          <w:color w:val="auto"/>
        </w:rPr>
      </w:pPr>
    </w:p>
    <w:p>
      <w:pPr>
        <w:ind w:left="336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    Title of each class of securities to which the transaction applies: N/A</w:t>
      </w:r>
    </w:p>
    <w:p>
      <w:pPr>
        <w:spacing w:after="0" w:line="2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 Aggregate number of securities to which the transaction applies: N/A</w:t>
      </w:r>
    </w:p>
    <w:p>
      <w:pPr>
        <w:spacing w:after="0" w:line="9" w:lineRule="exact"/>
        <w:rPr>
          <w:rFonts w:ascii="MS PGothic" w:cs="MS PGothic" w:eastAsia="MS PGothic" w:hAnsi="MS PGothic"/>
          <w:sz w:val="18"/>
          <w:szCs w:val="18"/>
          <w:color w:val="auto"/>
        </w:rPr>
      </w:pPr>
    </w:p>
    <w:p>
      <w:pPr>
        <w:ind w:left="924" w:hanging="360"/>
        <w:spacing w:after="0" w:line="250"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    Per unit price or other underlying value of the transaction computed pursuant to Exchange Act Rule 0-11 (set forth the amount on which the filing fee is calculated and state how it was determined): N/A</w:t>
      </w: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(4)    Proposed maximum aggregate value of the transaction: N/A</w:t>
      </w:r>
    </w:p>
    <w:p>
      <w:pPr>
        <w:spacing w:after="0" w:line="9"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(5)    Total fee paid: N/A</w:t>
      </w:r>
    </w:p>
    <w:p>
      <w:pPr>
        <w:spacing w:after="0" w:line="220"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right="260" w:hanging="564"/>
        <w:spacing w:after="0" w:line="282" w:lineRule="auto"/>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    Amount Previously Paid:</w:t>
      </w:r>
    </w:p>
    <w:p>
      <w:pPr>
        <w:spacing w:after="0" w:line="2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 Form, Schedule or Registration Statement No.:</w:t>
      </w:r>
    </w:p>
    <w:p>
      <w:pPr>
        <w:spacing w:after="0" w:line="9"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    Filing Party:</w:t>
      </w:r>
    </w:p>
    <w:p>
      <w:pPr>
        <w:spacing w:after="0" w:line="9"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511"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210883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71805"/>
                    </a:xfrm>
                    <a:prstGeom prst="rect">
                      <a:avLst/>
                    </a:prstGeom>
                    <a:noFill/>
                  </pic:spPr>
                </pic:pic>
              </a:graphicData>
            </a:graphic>
          </wp:anchor>
        </w:drawing>
        <w:t xml:space="preserve">1812 NORTH MOORE STREET, SUITE 2100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ARLINGTON, VA 22209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24,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UR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You are cordially invited to the 2026 Annual Meeting of Shareholders of Graham Holdings Company (the “Company”) which will be held at The Hamilton, 600 14th Street, N.W., Washington, D.C. 20005, on Tuesday, May 5, 2026, at 8:30 a.m., Eastern Daylight Time.</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At the Company’s 2026 Annual Meeting of Shareholders (the “Meeting”), there will be a report on the Company’s activities and Directors will be elected for the ensuing year. In addition, the Class A Shareholders will have an advisory vote on whether to approve the compensation awarded to the Company’s named executive officers for 2025.</w:t>
      </w:r>
    </w:p>
    <w:p>
      <w:pPr>
        <w:spacing w:after="0" w:line="176"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We encourage you to review this Proxy Statement to learn more about the Company’s Board, management and compensation programs. Your vote is important. You may cast your vote online or by telephone, or if you requested to receive printed Proxy materials, by mailing a Proxy or voting direction card. If you plan to attend the Meeting in person, kindly so indicate in the space provided on the Proxy. Please review the instructions on each of your voting options described in this Proxy Statement and in the Notice of Internet Availability of Proxy Materials that you received in the mail.</w:t>
      </w:r>
    </w:p>
    <w:p>
      <w:pPr>
        <w:spacing w:after="0" w:line="18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171450</wp:posOffset>
            </wp:positionV>
            <wp:extent cx="183451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NNE</w:t>
      </w:r>
      <w:r>
        <w:rPr>
          <w:rFonts w:ascii="Times New Roman" w:cs="Times New Roman" w:eastAsia="Times New Roman" w:hAnsi="Times New Roman"/>
          <w:sz w:val="18"/>
          <w:szCs w:val="18"/>
          <w:color w:val="auto"/>
        </w:rPr>
        <w:t xml:space="preserve"> M. M</w:t>
      </w:r>
      <w:r>
        <w:rPr>
          <w:rFonts w:ascii="Times New Roman" w:cs="Times New Roman" w:eastAsia="Times New Roman" w:hAnsi="Times New Roman"/>
          <w:sz w:val="14"/>
          <w:szCs w:val="14"/>
          <w:color w:val="auto"/>
        </w:rPr>
        <w:t>ULCAHY</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i w:val="1"/>
          <w:iCs w:val="1"/>
          <w:color w:val="auto"/>
        </w:rPr>
        <w:t>Chair</w:t>
      </w:r>
    </w:p>
    <w:p>
      <w:pPr>
        <w:sectPr>
          <w:pgSz w:w="11900" w:h="16838" w:orient="portrait"/>
          <w:cols w:equalWidth="0" w:num="1">
            <w:col w:w="11020"/>
          </w:cols>
          <w:pgMar w:left="440" w:top="125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 — May 5, 2026</w:t>
      </w:r>
    </w:p>
    <w:p>
      <w:pPr>
        <w:spacing w:after="0" w:line="200" w:lineRule="exact"/>
        <w:rPr>
          <w:sz w:val="20"/>
          <w:szCs w:val="20"/>
          <w:color w:val="auto"/>
        </w:rPr>
      </w:pPr>
    </w:p>
    <w:p>
      <w:pPr>
        <w:spacing w:after="0" w:line="235"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The 2026 Annual Meeting of Shareholders of Graham Holdings Company will be held at The Hamilton, 600 14th Street, N.W., Washington, D.C. 20005, on Tuesday, May 5, 2026, at 8:30 a.m., Eastern Daylight Time, for the following purposes:</w:t>
      </w:r>
    </w:p>
    <w:p>
      <w:pPr>
        <w:spacing w:after="0" w:line="67" w:lineRule="exact"/>
        <w:rPr>
          <w:sz w:val="20"/>
          <w:szCs w:val="20"/>
          <w:color w:val="auto"/>
        </w:rPr>
      </w:pPr>
    </w:p>
    <w:p>
      <w:pPr>
        <w:ind w:left="2500" w:hanging="641"/>
        <w:spacing w:after="0"/>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for the ensuing year, as more fully described in the accompanying Proxy Statement.</w:t>
      </w:r>
    </w:p>
    <w:p>
      <w:pPr>
        <w:spacing w:after="0" w:line="130" w:lineRule="exact"/>
        <w:rPr>
          <w:rFonts w:ascii="Times New Roman" w:cs="Times New Roman" w:eastAsia="Times New Roman" w:hAnsi="Times New Roman"/>
          <w:sz w:val="18"/>
          <w:szCs w:val="18"/>
          <w:color w:val="auto"/>
        </w:rPr>
      </w:pPr>
    </w:p>
    <w:p>
      <w:pPr>
        <w:ind w:left="2500" w:right="160" w:hanging="641"/>
        <w:spacing w:after="0" w:line="282" w:lineRule="auto"/>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A Shareholders, on an advisory basis, to vote on whether to approve the compensation awarded to the named executive officers of the Company for 2025.</w:t>
      </w:r>
    </w:p>
    <w:p>
      <w:pPr>
        <w:spacing w:after="0" w:line="67" w:lineRule="exact"/>
        <w:rPr>
          <w:rFonts w:ascii="Times New Roman" w:cs="Times New Roman" w:eastAsia="Times New Roman" w:hAnsi="Times New Roman"/>
          <w:sz w:val="18"/>
          <w:szCs w:val="18"/>
          <w:color w:val="auto"/>
        </w:rPr>
      </w:pPr>
    </w:p>
    <w:p>
      <w:pPr>
        <w:ind w:left="2500" w:hanging="641"/>
        <w:spacing w:after="0"/>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thereof.</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has fixed the close of business on March 11, 2026, as the record date for the determination of shareholders entitled to notice of and to vote at the Meeting.</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are represented at the Meeting. You may cast your vote online or by telephone, or if you requested to receive printed Proxy materials, by mailing a Proxy or voting direction card. Instructions on each of your voting options are described in this Proxy Statement and in the Notice of Internet Availability of Proxy Materials that you received in the mail. You may revoke your Proxy at any time before it has been voted at the Meeting. You may vote in person at the Meeting even if you returned a Proxy, provided that you first revoke your previously voted Proxy.</w:t>
      </w:r>
    </w:p>
    <w:p>
      <w:pPr>
        <w:spacing w:after="0" w:line="18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NICOLE M. MADDREY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VA</w:t>
      </w:r>
    </w:p>
    <w:p>
      <w:pPr>
        <w:spacing w:after="0" w:line="31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5, 2026. This Proxy Statement and the Annual Report to Shareholders are available at www.ghco.com/2026-annual-meeting-shareholders.</w:t>
      </w:r>
    </w:p>
    <w:p>
      <w:pPr>
        <w:sectPr>
          <w:pgSz w:w="11900" w:h="16838" w:orient="portrait"/>
          <w:cols w:equalWidth="0" w:num="1">
            <w:col w:w="10980"/>
          </w:cols>
          <w:pgMar w:left="440" w:top="28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GRAHAM HOLDINGS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1812 N. Moore Street, Suite 2100, Arlington, VA 22209</w:t>
      </w:r>
    </w:p>
    <w:p>
      <w:pPr>
        <w:spacing w:after="0" w:line="207"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March 24, 2026</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relating to the 2026 Annual Meeting of Shareholders of Graham Holdings Company to be held at The Hamilton, 600 14th Street, N.W., Washington, D.C. 20005, on Tuesday, May 5, 2026, at 8:30 a.m., Eastern Daylight Time, or any adjournments thereof, for the purposes set forth in the accompanying Notice of the 2026 Annual Meeting of Shareholders. This Proxy Statement and the accompanying forms of Proxy and voting instructions are being delivered to shareholders on or about March 24, 2026. The Board of Directors of the Company is making this Proxy solicitation.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ectPr>
          <w:pgSz w:w="11900" w:h="16838" w:orient="portrait"/>
          <w:cols w:equalWidth="0" w:num="1">
            <w:col w:w="11020"/>
          </w:cols>
          <w:pgMar w:left="440" w:top="293" w:right="4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am I voting on?</w:t>
      </w:r>
    </w:p>
    <w:p>
      <w:pPr>
        <w:spacing w:after="0" w:line="200" w:lineRule="exact"/>
        <w:rPr>
          <w:sz w:val="20"/>
          <w:szCs w:val="20"/>
          <w:color w:val="auto"/>
        </w:rPr>
      </w:pPr>
    </w:p>
    <w:p>
      <w:pPr>
        <w:sectPr>
          <w:pgSz w:w="11900" w:h="16838" w:orient="portrait"/>
          <w:cols w:equalWidth="0" w:num="2">
            <w:col w:w="240" w:space="140"/>
            <w:col w:w="10640"/>
          </w:cols>
          <w:pgMar w:left="440" w:top="293"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You are voting on the election of Directors for a term of one year. A Board of ten Directors is to be elected, seven by the holders of Class A</w:t>
      </w:r>
    </w:p>
    <w:p>
      <w:pPr>
        <w:sectPr>
          <w:pgSz w:w="11900" w:h="16838" w:orient="portrait"/>
          <w:cols w:equalWidth="0" w:num="1">
            <w:col w:w="11020"/>
          </w:cols>
          <w:pgMar w:left="440" w:top="293" w:right="439" w:bottom="1440" w:gutter="0" w:footer="0" w:header="0"/>
          <w:type w:val="continuous"/>
        </w:sectPr>
      </w:pPr>
    </w:p>
    <w:p>
      <w:pPr>
        <w:spacing w:after="0" w:line="3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Common 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8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 the event that any nominee withdraws or for any reason is not able to serve as a Director and you have submitted a Proxy, Timothy J. O’Shaughnessy, Wallace R. Cooney, Jacob M. Maas and Nicole M. Maddrey, acting as your proxies, may vote for such other person as the Board may nominate.</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you are a holder of Class A Common Stock, you are also voting on whether to approve the compensation awarded to the Company’s named executive officers for 2025. In accordance with the rules of the U.S. Securities and Exchange Commission (the “SEC”), this vote is advisory in nature and non-binding.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your shares entitles you to one vote with respect to each matter on which you may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are the voting recommendations of the Board?</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The Board recommends voting for each of the nominated Directors listed on the Proxy card. The Board knows of no reason that would cause any nominee to be unable to act or to refuse to accept nomination or election.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also recommends voting for the approval of the compensation awarded to the Company’s named executive officers for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any other matters be voted on?</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A:  We are not aware of any matters to be voted on other than the election of Directors and the Class A Shareholder advisory vote on compensation awarded to the Company’s named executive officers for 2025. If any other matter is properly brought before the Meeting and you have submitted a Proxy, Timothy J. O’Shaughnessy, Wallace R. Cooney, Jacob M. Maas and Nicole M. Maddrey, acting as your proxies, will vote for you at their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There are four ways to vote:</w:t>
      </w:r>
    </w:p>
    <w:p>
      <w:pPr>
        <w:spacing w:after="0" w:line="77" w:lineRule="exact"/>
        <w:rPr>
          <w:sz w:val="20"/>
          <w:szCs w:val="20"/>
          <w:color w:val="auto"/>
        </w:rPr>
      </w:pPr>
    </w:p>
    <w:p>
      <w:pPr>
        <w:ind w:left="1080" w:right="120" w:hanging="99"/>
        <w:spacing w:after="0" w:line="257"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For shares registered on the books of the Company via Computershare, go to www.envisionreports.com/GHC to vote. For shares held through your bank or brokerage account, please see the instructions on the Notice of Internet Availability of Proxy Materials for the website to vote your shares. We encourage you to vote this way;</w:t>
      </w:r>
    </w:p>
    <w:p>
      <w:pPr>
        <w:spacing w:after="0" w:line="1" w:lineRule="exact"/>
        <w:rPr>
          <w:rFonts w:ascii="Times New Roman" w:cs="Times New Roman" w:eastAsia="Times New Roman" w:hAnsi="Times New Roman"/>
          <w:sz w:val="18"/>
          <w:szCs w:val="18"/>
          <w:color w:val="auto"/>
        </w:rPr>
      </w:pPr>
    </w:p>
    <w:p>
      <w:pPr>
        <w:ind w:left="1080" w:hanging="99"/>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1-800-652-8683;</w:t>
      </w:r>
    </w:p>
    <w:p>
      <w:pPr>
        <w:spacing w:after="0" w:line="9" w:lineRule="exact"/>
        <w:rPr>
          <w:rFonts w:ascii="Times New Roman" w:cs="Times New Roman" w:eastAsia="Times New Roman" w:hAnsi="Times New Roman"/>
          <w:sz w:val="18"/>
          <w:szCs w:val="18"/>
          <w:color w:val="auto"/>
        </w:rPr>
      </w:pPr>
    </w:p>
    <w:p>
      <w:pPr>
        <w:ind w:left="1080" w:hanging="99"/>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your Proxy card if you received a printed copy of the Proxy materials; or</w:t>
      </w:r>
    </w:p>
    <w:p>
      <w:pPr>
        <w:spacing w:after="0" w:line="9" w:lineRule="exact"/>
        <w:rPr>
          <w:rFonts w:ascii="Times New Roman" w:cs="Times New Roman" w:eastAsia="Times New Roman" w:hAnsi="Times New Roman"/>
          <w:sz w:val="18"/>
          <w:szCs w:val="18"/>
          <w:color w:val="auto"/>
        </w:rPr>
      </w:pPr>
    </w:p>
    <w:p>
      <w:pPr>
        <w:ind w:left="1080" w:hanging="99"/>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Meeting.</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you vote by internet or telephone, your vote must be received by 5:00 p.m., Eastern Daylight Time, on the day before the Annual Meeting. Your shares will be voted as you indicate. If you are a Class B Shareholder (other than as a participant in one of the Company’s 401(k) plans with Graham Holdings Company Class B Common Stock allocated to your account) and do not</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93" w:right="439" w:bottom="1440" w:gutter="0" w:footer="0" w:header="0"/>
          <w:type w:val="continuous"/>
        </w:sectPr>
      </w:pPr>
    </w:p>
    <w:bookmarkStart w:id="4" w:name="page5"/>
    <w:bookmarkEnd w:id="4"/>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indicate your voting preferences, Timothy J. O’Shaughnessy, Wallace R. Cooney, Jacob M. Maas and Nicole M. Maddrey, acting as your proxies, will vote your shares in favor of the applicable nominated Directors. If you are a participant in one of the Company’s 401(k) plans with Graham Holdings Company Class B Common Stock allocated to your account, please see the Question below, “How do I vote if I participate in one of the Company’s 401(k) plans?” Please note that for participants in these plans, </w:t>
      </w:r>
      <w:r>
        <w:rPr>
          <w:rFonts w:ascii="Times New Roman" w:cs="Times New Roman" w:eastAsia="Times New Roman" w:hAnsi="Times New Roman"/>
          <w:sz w:val="18"/>
          <w:szCs w:val="18"/>
          <w:b w:val="1"/>
          <w:bCs w:val="1"/>
          <w:i w:val="1"/>
          <w:iCs w:val="1"/>
          <w:color w:val="auto"/>
        </w:rPr>
        <w:t>your voting direction must be received no later than 10:00 a.m., Eastern Daylight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on May 1, 2026, which is earlier than the time at which votes must be received for shares held outside of these plans.</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you are a Class A Shareholder and do not indicate your voting preferences, Timothy J. O’Shaughnessy, Wallace R. Cooney, Jacob M. Maas and Nicole M. Maddrey, acting as your proxies, will vote your shares in favor of the applicable nominated Directors and for approval of the compensation awarded to the Company’s named executive officers for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 if I participate in one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401(k) plans?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A:  As a participant in one of the Company’s 401(k) plans with Graham Holdings Company Class B Common Stock allocated to your account, you can direct the Plan Trustee on how to vote Graham Holdings Company Class B Common Stock allocated to your account(s) on a Proxy voting direction card, electronically through the internet or by telephone. These plans are the Savings Plan for Graham Holdings Company, the Kaplan, Inc. Tax Deferred Savings Plan for Salaried Employees and the 401(k) Savings Plan for GHC Affiliates (the “Plan(s)”). Vanguard Fiduciary Trust Company serves as the trustee (the “Plan Trustee”) with respect to the Class B Common Stock allocated to accounts in the Plans. If you do not provide timely direction to the Plan Trustee or if you submit a Proxy voting direction card and do not indicate your voting preferences, shares allocated to your account(s) will be voted by the Plan Trustee in the same proportion to those shares allocated to accounts of participants for which timely direction was received, unless contrary to the Employee Retirement Income Security Act of 1974, as amended (“ERISA”). Plan participants may join the Annual Meeting, but may not vote Plan shares at the Annual Meeting. If you wish to vote, whether you plan to join the Annual Meeting or not, you should direct the Plan Trustee how you wish to vote your Plan shares </w:t>
      </w:r>
      <w:r>
        <w:rPr>
          <w:rFonts w:ascii="Times New Roman" w:cs="Times New Roman" w:eastAsia="Times New Roman" w:hAnsi="Times New Roman"/>
          <w:sz w:val="18"/>
          <w:szCs w:val="18"/>
          <w:b w:val="1"/>
          <w:bCs w:val="1"/>
          <w:i w:val="1"/>
          <w:iCs w:val="1"/>
          <w:color w:val="auto"/>
        </w:rPr>
        <w:t>no later than 10:00 a.m., Eastern Daylight Time, on May 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vote?</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A:  You can vote if you were a shareholder of record as of the close of business on March 11, 2026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Both Class A Shareholders and Class B Shareholders are entitled to vote on Proposal 1: Election of Directors. In accordance with the Company’s constitutive documents and under Delaware corporate law, only Class A Shareholders are entitled to vote on Proposal 2: Advisory Vote to Approve 2025 Compensation Awarded to Named Executive Officers.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are a participant in one of the Company’s 401(k) plans with Graham Holdings Company Class B Common Stock allocated to your account, you will be eligible to vote Class B Common Stock allocated to your account on Proposal 1: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change my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Yes. You can change your vote or revoke your Proxy at any time before the Meeting:</w:t>
      </w:r>
    </w:p>
    <w:p>
      <w:pPr>
        <w:spacing w:after="0" w:line="131" w:lineRule="exact"/>
        <w:rPr>
          <w:sz w:val="20"/>
          <w:szCs w:val="20"/>
          <w:color w:val="auto"/>
        </w:rPr>
      </w:pPr>
    </w:p>
    <w:p>
      <w:pPr>
        <w:ind w:left="1080" w:hanging="99"/>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a new vote by internet or telephone;</w:t>
      </w:r>
    </w:p>
    <w:p>
      <w:pPr>
        <w:spacing w:after="0" w:line="27" w:lineRule="exact"/>
        <w:rPr>
          <w:rFonts w:ascii="Times New Roman" w:cs="Times New Roman" w:eastAsia="Times New Roman" w:hAnsi="Times New Roman"/>
          <w:sz w:val="18"/>
          <w:szCs w:val="18"/>
          <w:color w:val="auto"/>
        </w:rPr>
      </w:pPr>
    </w:p>
    <w:p>
      <w:pPr>
        <w:ind w:left="1080" w:hanging="99"/>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returning a later-dated Proxy card; or</w:t>
      </w:r>
    </w:p>
    <w:p>
      <w:pPr>
        <w:spacing w:after="0" w:line="9" w:lineRule="exact"/>
        <w:rPr>
          <w:rFonts w:ascii="Times New Roman" w:cs="Times New Roman" w:eastAsia="Times New Roman" w:hAnsi="Times New Roman"/>
          <w:sz w:val="18"/>
          <w:szCs w:val="18"/>
          <w:color w:val="auto"/>
        </w:rPr>
      </w:pPr>
    </w:p>
    <w:p>
      <w:pPr>
        <w:ind w:left="1080" w:hanging="99"/>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Meeting, provided you first revoke your previously voted Proxy.</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If you are a participant in one of the Company’s 401(k) plans with Graham Holdings Company Class B Common Stock allocated to your account and wish to change your vote or revoke your Proxy, you must do so </w:t>
      </w:r>
      <w:r>
        <w:rPr>
          <w:rFonts w:ascii="Times New Roman" w:cs="Times New Roman" w:eastAsia="Times New Roman" w:hAnsi="Times New Roman"/>
          <w:sz w:val="18"/>
          <w:szCs w:val="18"/>
          <w:b w:val="1"/>
          <w:bCs w:val="1"/>
          <w:i w:val="1"/>
          <w:iCs w:val="1"/>
          <w:color w:val="auto"/>
        </w:rPr>
        <w:t>no later than 10:00 a.m., Eastern Daylight Time, on May 1, 2026,</w:t>
      </w:r>
      <w:r>
        <w:rPr>
          <w:rFonts w:ascii="Times New Roman" w:cs="Times New Roman" w:eastAsia="Times New Roman" w:hAnsi="Times New Roman"/>
          <w:sz w:val="18"/>
          <w:szCs w:val="18"/>
          <w:color w:val="auto"/>
        </w:rPr>
        <w:t xml:space="preserve"> by instructing the Plan Trustee in a manner described in the Question “How do I vote if I participate in one of the Company’s 401(k) plans?” above</w:t>
      </w:r>
      <w:r>
        <w:rPr>
          <w:rFonts w:ascii="Times New Roman" w:cs="Times New Roman" w:eastAsia="Times New Roman" w:hAnsi="Times New Roman"/>
          <w:sz w:val="18"/>
          <w:szCs w:val="18"/>
          <w:b w:val="1"/>
          <w:bCs w:val="1"/>
          <w:i w:val="1"/>
          <w:i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vote is required to approve a proposal?</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Directors will be elected by the affirmative vote of a majority of the shareholders present or represented at the Meeting and entitled to vote on the election of such Directors. This means that each of the seven Class A Shareholder nominees receiving more “FOR” than “AGAINST” votes from the Class A Shareholders present or represented at the Meeting and each of the three Class B Shareholder nominees receiving more “FOR” than “AGAINST” votes from the Class B Shareholders present or represented at the Meeting will be elected. You do not have the right to cumulate votes in the election of Directors.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7" w:right="459" w:bottom="1440" w:gutter="0" w:footer="0" w:header="0"/>
        </w:sectPr>
      </w:pPr>
    </w:p>
    <w:bookmarkStart w:id="5" w:name="page6"/>
    <w:bookmarkEnd w:id="5"/>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While Proposal 2 to approve the 2025 compensation awarded to the Company’s named executive officers is non-binding and advisory in nature, it will be approved only on the affirmative vote of a majority of the Class A Shareholders present or represented at the Meeting.</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Votes to “ABSTAIN” will have the effect of a vote against each of Proposals 1 and 2. Only “FOR” and “AGAINST” votes (counting “ABSTAIN” votes as votes “AGAINST”) are counted for purposes of determining votes received in connection with Proposals 1 and 2. For participants in one of the Company’s 401(k) plans with Graham Holdings Company Class B Common Stock allocated to your account, if no timely voting direction is received or if the Proxy voting direction card is returned unsigned or if you submit a Proxy voting direction card and do not indicate your voting preferences, the Plan Trustee will vote the shares allocated to the accounts in the same proportion to those shares allocated to accounts of participants for which timely direction was received, unless contrary to ERISA.</w:t>
      </w:r>
    </w:p>
    <w:p>
      <w:pPr>
        <w:sectPr>
          <w:pgSz w:w="11900" w:h="16838" w:orient="portrait"/>
          <w:cols w:equalWidth="0" w:num="1">
            <w:col w:w="10960"/>
          </w:cols>
          <w:pgMar w:left="440" w:top="297" w:right="49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will count the vote?</w:t>
      </w:r>
    </w:p>
    <w:p>
      <w:pPr>
        <w:spacing w:after="0" w:line="200" w:lineRule="exact"/>
        <w:rPr>
          <w:sz w:val="20"/>
          <w:szCs w:val="20"/>
          <w:color w:val="auto"/>
        </w:rPr>
      </w:pPr>
    </w:p>
    <w:p>
      <w:pPr>
        <w:sectPr>
          <w:pgSz w:w="11900" w:h="16838" w:orient="portrait"/>
          <w:cols w:equalWidth="0" w:num="2">
            <w:col w:w="240" w:space="140"/>
            <w:col w:w="10580"/>
          </w:cols>
          <w:pgMar w:left="440" w:top="297" w:right="499" w:bottom="1440" w:gutter="0" w:footer="0" w:header="0"/>
          <w:type w:val="continuous"/>
        </w:sectPr>
      </w:pPr>
    </w:p>
    <w:p>
      <w:pPr>
        <w:spacing w:after="0" w:line="4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Computershare, the Company’s transfer agent and registrar, will count the vote. One of its representatives will be included among the persons authorized to certify the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attend the Meeting?</w:t>
      </w:r>
    </w:p>
    <w:p>
      <w:pPr>
        <w:sectPr>
          <w:pgSz w:w="11900" w:h="16838" w:orient="portrait"/>
          <w:cols w:equalWidth="0" w:num="1">
            <w:col w:w="10960"/>
          </w:cols>
          <w:pgMar w:left="440" w:top="297" w:right="49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shareholders of record as of the close of business on March 11, 2026, can attend.</w:t>
      </w:r>
    </w:p>
    <w:p>
      <w:pPr>
        <w:spacing w:after="0" w:line="200" w:lineRule="exact"/>
        <w:rPr>
          <w:sz w:val="20"/>
          <w:szCs w:val="20"/>
          <w:color w:val="auto"/>
        </w:rPr>
      </w:pPr>
    </w:p>
    <w:p>
      <w:pPr>
        <w:sectPr>
          <w:pgSz w:w="11900" w:h="16838" w:orient="portrait"/>
          <w:cols w:equalWidth="0" w:num="2">
            <w:col w:w="220" w:space="120"/>
            <w:col w:w="10620"/>
          </w:cols>
          <w:pgMar w:left="440" w:top="297" w:right="49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do I need to do to attend the Meeting?</w:t>
      </w:r>
    </w:p>
    <w:p>
      <w:pPr>
        <w:spacing w:after="0" w:line="200" w:lineRule="exact"/>
        <w:rPr>
          <w:sz w:val="20"/>
          <w:szCs w:val="20"/>
          <w:color w:val="auto"/>
        </w:rPr>
      </w:pPr>
    </w:p>
    <w:p>
      <w:pPr>
        <w:sectPr>
          <w:pgSz w:w="11900" w:h="16838" w:orient="portrait"/>
          <w:cols w:equalWidth="0" w:num="2">
            <w:col w:w="240" w:space="140"/>
            <w:col w:w="10580"/>
          </w:cols>
          <w:pgMar w:left="440" w:top="297" w:right="4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 attend the Meeting, please follow these instructions:</w:t>
      </w:r>
    </w:p>
    <w:p>
      <w:pPr>
        <w:spacing w:after="0" w:line="131" w:lineRule="exact"/>
        <w:rPr>
          <w:sz w:val="20"/>
          <w:szCs w:val="20"/>
          <w:color w:val="auto"/>
        </w:rPr>
      </w:pPr>
    </w:p>
    <w:p>
      <w:pPr>
        <w:ind w:left="1080" w:hanging="99"/>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using the Proxy card, check the appropriate box on the card.</w:t>
      </w:r>
    </w:p>
    <w:p>
      <w:pPr>
        <w:spacing w:after="0" w:line="27" w:lineRule="exact"/>
        <w:rPr>
          <w:rFonts w:ascii="Times New Roman" w:cs="Times New Roman" w:eastAsia="Times New Roman" w:hAnsi="Times New Roman"/>
          <w:sz w:val="18"/>
          <w:szCs w:val="18"/>
          <w:color w:val="auto"/>
        </w:rPr>
      </w:pPr>
    </w:p>
    <w:p>
      <w:pPr>
        <w:ind w:left="1080" w:hanging="99"/>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internet or telephone, follow the instructions provided for attendance.</w:t>
      </w:r>
    </w:p>
    <w:p>
      <w:pPr>
        <w:spacing w:after="0" w:line="9" w:lineRule="exact"/>
        <w:rPr>
          <w:rFonts w:ascii="Times New Roman" w:cs="Times New Roman" w:eastAsia="Times New Roman" w:hAnsi="Times New Roman"/>
          <w:sz w:val="18"/>
          <w:szCs w:val="18"/>
          <w:color w:val="auto"/>
        </w:rPr>
      </w:pPr>
    </w:p>
    <w:p>
      <w:pPr>
        <w:ind w:left="1080" w:hanging="99"/>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bring proof of your ownership with you to the Meeting.</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Seating at the Meeting will be on a first-come, first-served basis upon arrival at the Meeting. Participants in the Company’s 401(k) plans with Graham Holdings Company Class B Common Stock allocated to their accounts may attend the Meeting, but may not vote Plan shares at the Meeting and should instead rely on the procedures described in the Question “How do I vote if I participate in one of the Company’s 401(k) plans?”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bring a guest?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 The Meeting is for shareholders only.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quorum requirement of the Meeting?</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A majority of the outstanding shares on March 11, 2026, constitutes a quorum for voting at the Annual Meeting, except that (i) for purposes of the election of seven Directors by the holders of Class A Common Stock (Proposal 1) and the advisory vote on whether to approve the compensation awarded to the named executive officers of the Company in 2025 (Proposal 2), a quorum requires a majority of the outstanding shares of Class A Common Stock on March 11, 2026, and (ii) for purposes of the election of three Directors by the holders of Class B Common Stock (Proposal 1), a quorum requires a majority of the outstanding shares of Class B Common Stock on March 11, 2026. If you vote, your shares will be part of the quorum. All Class B Common Stock allocated to the accounts of participants in one of the Company’s 401(k) plans will be voted and will be counted in determining a quorum, unless contrary to ERISA. Abstentions will be counted in determining the quorum. As there are no routine proposals to be considered at the Meeting, the Company does not anticipate any broker non-votes.If you do not instruct your bank, broker, trust or other nominee on how to vote your shares with respect to any proposal or any particular proposal, your shares will not be considered entitled to vote or present or represented by proxy at the Meeting for purposes of such proposal(s). On March 11, 2026, there were 964,001 shares of Class A Common Stock and 3,385,088 shares of Class B Common Stock, in each case, outstanding and entitled to vote.</w:t>
      </w:r>
    </w:p>
    <w:p>
      <w:pPr>
        <w:sectPr>
          <w:pgSz w:w="11900" w:h="16838" w:orient="portrait"/>
          <w:cols w:equalWidth="0" w:num="1">
            <w:col w:w="10960"/>
          </w:cols>
          <w:pgMar w:left="440" w:top="297" w:right="49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is soliciting Proxies?</w:t>
      </w:r>
    </w:p>
    <w:p>
      <w:pPr>
        <w:spacing w:after="0" w:line="200" w:lineRule="exact"/>
        <w:rPr>
          <w:sz w:val="20"/>
          <w:szCs w:val="20"/>
          <w:color w:val="auto"/>
        </w:rPr>
      </w:pPr>
    </w:p>
    <w:p>
      <w:pPr>
        <w:sectPr>
          <w:pgSz w:w="11900" w:h="16838" w:orient="portrait"/>
          <w:cols w:equalWidth="0" w:num="2">
            <w:col w:w="240" w:space="140"/>
            <w:col w:w="10580"/>
          </w:cols>
          <w:pgMar w:left="440" w:top="297" w:right="4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Solicitation of Proxies is being made by the Company’s management through the mail, at the Meeting, on the internet or by telephone, without any</w:t>
      </w:r>
    </w:p>
    <w:p>
      <w:pPr>
        <w:sectPr>
          <w:pgSz w:w="11900" w:h="16838" w:orient="portrait"/>
          <w:cols w:equalWidth="0" w:num="1">
            <w:col w:w="10960"/>
          </w:cols>
          <w:pgMar w:left="440" w:top="297" w:right="499" w:bottom="1440" w:gutter="0" w:footer="0" w:header="0"/>
          <w:type w:val="continuous"/>
        </w:sectPr>
      </w:pPr>
    </w:p>
    <w:p>
      <w:pPr>
        <w:spacing w:after="0" w:line="3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additional compensation being paid to such members of the Company’s management. The cost of such solicitation will be borne by the Company. In addition, the Company has requested brokers and other custodians, nominees and</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97" w:right="499" w:bottom="1440" w:gutter="0" w:footer="0" w:header="0"/>
          <w:type w:val="continuous"/>
        </w:sectPr>
      </w:pPr>
    </w:p>
    <w:bookmarkStart w:id="6" w:name="page7"/>
    <w:bookmarkEnd w:id="6"/>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fiduciaries to forward Proxy cards and Proxy soliciting material to shareholders, and the Company will pay their fees and reimburse them for their expenses.</w:t>
      </w:r>
    </w:p>
    <w:p>
      <w:pPr>
        <w:sectPr>
          <w:pgSz w:w="11900" w:h="16838" w:orient="portrait"/>
          <w:cols w:equalWidth="0" w:num="1">
            <w:col w:w="10960"/>
          </w:cols>
          <w:pgMar w:left="440" w:top="297" w:right="49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are the shareholder proposals due for the Company’s 2027 Annual Meeting of Shareholders?</w:t>
      </w:r>
    </w:p>
    <w:p>
      <w:pPr>
        <w:spacing w:after="0" w:line="200" w:lineRule="exact"/>
        <w:rPr>
          <w:sz w:val="20"/>
          <w:szCs w:val="20"/>
          <w:color w:val="auto"/>
        </w:rPr>
      </w:pPr>
    </w:p>
    <w:p>
      <w:pPr>
        <w:sectPr>
          <w:pgSz w:w="11900" w:h="16838" w:orient="portrait"/>
          <w:cols w:equalWidth="0" w:num="2">
            <w:col w:w="240" w:space="140"/>
            <w:col w:w="10580"/>
          </w:cols>
          <w:pgMar w:left="440" w:top="297" w:right="4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Shareholder proposals submitted by shareholders entitled to vote on such matters, meeting the requirements of the SEC’s proxy rules, must be in</w:t>
      </w:r>
    </w:p>
    <w:p>
      <w:pPr>
        <w:sectPr>
          <w:pgSz w:w="11900" w:h="16838" w:orient="portrait"/>
          <w:cols w:equalWidth="0" w:num="1">
            <w:col w:w="10960"/>
          </w:cols>
          <w:pgMar w:left="440" w:top="297" w:right="499" w:bottom="1440" w:gutter="0" w:footer="0" w:header="0"/>
          <w:type w:val="continuous"/>
        </w:sectPr>
      </w:pPr>
    </w:p>
    <w:p>
      <w:pPr>
        <w:spacing w:after="0" w:line="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writing, received by November 24, 2026, and addressed to the Secretary of the Company at 1812 North Moore Street, Suite 2100, Arlington, VA 22209. Shareholder proposals submitted by shareholders entitled to vote in such matters and submitted outside the processes of Rule 14a-8 of the Exchange Act must provide notice required by our By-laws no later than February 4, 2027, and no earlier than January 5, 2027, to be considered a timely submission.</w:t>
      </w:r>
    </w:p>
    <w:p>
      <w:pPr>
        <w:ind w:right="160"/>
        <w:spacing w:after="0" w:line="273" w:lineRule="auto"/>
        <w:rPr>
          <w:sz w:val="20"/>
          <w:szCs w:val="20"/>
          <w:color w:val="auto"/>
        </w:rPr>
      </w:pPr>
      <w:r>
        <w:rPr>
          <w:rFonts w:ascii="Times New Roman" w:cs="Times New Roman" w:eastAsia="Times New Roman" w:hAnsi="Times New Roman"/>
          <w:sz w:val="17"/>
          <w:szCs w:val="17"/>
          <w:color w:val="auto"/>
        </w:rPr>
        <w:t>However, if the date of the 2027 Annual Meeting of Shareholders is more than 30 days before, or more than 60 days after, the anniversary of the 2026 Annual Meeting, shareholders must provide the notice required by our By-laws not earlier than the close of the 120th day before the 2027 Annual Meeting of Shareholders and not later than the close of business on the later of (1) the 90th day prior to the 2027 Annual Meeting of Shareholders and (2) the 10th day following the day for which public announcement of the date of the 2027 Annual Meeting of Shareholders is first made.</w:t>
      </w:r>
    </w:p>
    <w:p>
      <w:pPr>
        <w:spacing w:after="0" w:line="17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Holders of Class B Common Stock are entitled to vote for the election of 30% of the members of the Board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2027 Annual Meeting of Shareholders.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comply with the foregoing advance notice deadlines and information requirements set forth in our By-laws, shareholders who intend to solicit proxies in support of Director nominees other than the Company’s nominees must comply with the additional requirements prescribed by Rule 14a-19 under the Securities Exchange Act of 1934.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other information about Graham Holdings Company is available?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information is available:</w:t>
      </w:r>
    </w:p>
    <w:p>
      <w:pPr>
        <w:spacing w:after="0" w:line="77" w:lineRule="exact"/>
        <w:rPr>
          <w:sz w:val="20"/>
          <w:szCs w:val="20"/>
          <w:color w:val="auto"/>
        </w:rPr>
      </w:pPr>
    </w:p>
    <w:p>
      <w:pPr>
        <w:ind w:left="960" w:right="140" w:hanging="424"/>
        <w:spacing w:after="0" w:line="257"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on its website, www.ghco.com, copies of the Annual Report on Form 10-K, the Annual Report to Shareholders, the Company’s Corporate Governance Guidelines, the Statement of Ethical Principles, the Code of Business Conduct, the Audit Committee Charter, the Compensation Committee Charter and other information about the Company.</w:t>
      </w:r>
    </w:p>
    <w:p>
      <w:pPr>
        <w:spacing w:after="0" w:line="1" w:lineRule="exact"/>
        <w:rPr>
          <w:rFonts w:ascii="Times New Roman" w:cs="Times New Roman" w:eastAsia="Times New Roman" w:hAnsi="Times New Roman"/>
          <w:sz w:val="18"/>
          <w:szCs w:val="18"/>
          <w:color w:val="auto"/>
        </w:rPr>
      </w:pPr>
    </w:p>
    <w:p>
      <w:pPr>
        <w:ind w:left="960" w:right="120" w:hanging="424"/>
        <w:spacing w:after="0" w:line="253"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printed copies of the Annual Report on Form 10-K and the Annual Report to Shareholders, the Company’s Corporate Governance Guidelines, the Statement of Ethical Principles, the Code of Business Conduct, the Audit Committee Charter and the Compensation Committee Charter will be furnished without charge to any shareholder upon written request addressed to the Treasurer of the Company at 1812 North Moore Street, Suite 2100, Arlington, VA 22209, (703) 345-6300.</w:t>
      </w:r>
    </w:p>
    <w:p>
      <w:pPr>
        <w:sectPr>
          <w:pgSz w:w="11900" w:h="16838" w:orient="portrait"/>
          <w:cols w:equalWidth="0" w:num="1">
            <w:col w:w="10960"/>
          </w:cols>
          <w:pgMar w:left="440" w:top="297" w:right="49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did I receive a Notice of Internet Availability of Proxy Materials in the mail instead of a printed set of Proxy materials?</w:t>
      </w:r>
    </w:p>
    <w:p>
      <w:pPr>
        <w:spacing w:after="0" w:line="200" w:lineRule="exact"/>
        <w:rPr>
          <w:sz w:val="20"/>
          <w:szCs w:val="20"/>
          <w:color w:val="auto"/>
        </w:rPr>
      </w:pPr>
    </w:p>
    <w:p>
      <w:pPr>
        <w:sectPr>
          <w:pgSz w:w="11900" w:h="16838" w:orient="portrait"/>
          <w:cols w:equalWidth="0" w:num="2">
            <w:col w:w="240" w:space="140"/>
            <w:col w:w="10580"/>
          </w:cols>
          <w:pgMar w:left="440" w:top="297" w:right="4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Pursuant to rules adopted by the SEC, we may provide you with access to Proxy materials over the internet rather than by mailing the materials to</w:t>
      </w:r>
    </w:p>
    <w:p>
      <w:pPr>
        <w:sectPr>
          <w:pgSz w:w="11900" w:h="16838" w:orient="portrait"/>
          <w:cols w:equalWidth="0" w:num="1">
            <w:col w:w="10960"/>
          </w:cols>
          <w:pgMar w:left="440" w:top="297" w:right="499" w:bottom="1440" w:gutter="0" w:footer="0" w:header="0"/>
          <w:type w:val="continuous"/>
        </w:sectPr>
      </w:pPr>
    </w:p>
    <w:p>
      <w:pPr>
        <w:spacing w:after="0" w:line="3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you. To reduce costs and conserve resources, we are sending a Notice of Internet Availability of Proxy Materials to our shareholders. The notice provides instructions for accessing this Proxy Statement and our 2025 Annual Report. The notice also explains how shareholders may request printed Proxy materials for the Annual Meeting.</w:t>
      </w:r>
    </w:p>
    <w:p>
      <w:pPr>
        <w:sectPr>
          <w:pgSz w:w="11900" w:h="16838" w:orient="portrait"/>
          <w:cols w:equalWidth="0" w:num="1">
            <w:col w:w="10960"/>
          </w:cols>
          <w:pgMar w:left="440" w:top="297" w:right="49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householding?</w:t>
      </w:r>
    </w:p>
    <w:p>
      <w:pPr>
        <w:spacing w:after="0" w:line="200" w:lineRule="exact"/>
        <w:rPr>
          <w:sz w:val="20"/>
          <w:szCs w:val="20"/>
          <w:color w:val="auto"/>
        </w:rPr>
      </w:pPr>
    </w:p>
    <w:p>
      <w:pPr>
        <w:sectPr>
          <w:pgSz w:w="11900" w:h="16838" w:orient="portrait"/>
          <w:cols w:equalWidth="0" w:num="2">
            <w:col w:w="240" w:space="140"/>
            <w:col w:w="10580"/>
          </w:cols>
          <w:pgMar w:left="440" w:top="297" w:right="4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Beneficial holders who share a single address may receive only one copy of the notice or the Proxy materials, as the case may be, unless their</w:t>
      </w:r>
    </w:p>
    <w:p>
      <w:pPr>
        <w:sectPr>
          <w:pgSz w:w="11900" w:h="16838" w:orient="portrait"/>
          <w:cols w:equalWidth="0" w:num="1">
            <w:col w:w="10960"/>
          </w:cols>
          <w:pgMar w:left="440" w:top="297" w:right="499" w:bottom="1440" w:gutter="0" w:footer="0" w:header="0"/>
          <w:type w:val="continuous"/>
        </w:sectPr>
      </w:pPr>
    </w:p>
    <w:p>
      <w:pPr>
        <w:spacing w:after="0" w:line="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broker, bank or other nominee has received contrary instructions from any beneficial holder at that address. This is known as householding. If any beneficial holder sharing a single address wishes to discontinue householding and/or receive a separate copy of the notice or the Proxy materials, as the case may be, or wishes to enroll in householding, they should contact their broker, bank or other nominee directly. Alternatively, if any such beneficial holder wishes to receive a separate copy of the Proxy materials, we will deliver them promptly upon written request addressed to the Treasurer of the Company at 1812 North Moore Street, Suite 2100, Arlington, VA 22209.</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97" w:right="4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1: ELECTION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FOR BOARD OF DIRECTORS</w:t>
      </w:r>
    </w:p>
    <w:p>
      <w:pPr>
        <w:spacing w:after="0" w:line="22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88"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The Company is a diversified holding company whose operations include educational services, television broadcasting, manufacturing, healthcare, automotive dealerships and other businesses. The Company serves customers in a rapidly evolving, highly regulated, competitive and technologically advanced environment. The Directors’ expertise and experience encompass the areas of education, media, technology, marketing, international business and finance, journalism, law, government and public policy. All of the Directors have held senior positions as leaders of government, complex organizations (both for-profit and non-profit), and law firms and gained expertise in core management skills, such as strategy and business development, innovation, line operations, brand management, finance, compensation and leadership development, inclusion strategies, and compliance and risk management. They have significant experience in corporate governance and oversight through their positions as senior executives and as Directors (or Trustees) of public companies and other institutions, and as partners in law firms,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S. Gayner</w:t>
      </w:r>
    </w:p>
    <w:p>
      <w:pPr>
        <w:spacing w:after="0" w:line="229"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8"/>
          <w:szCs w:val="18"/>
          <w:color w:val="auto"/>
        </w:rPr>
        <w:t>Mr. Gayner, age 64, has served as Chief Executive Officer of Markel Corporation, a publicly traded financial holding company headquartered in Glen Allen, VA, since January 2023. He was co-CEO from 2016-2023. Prior to that, he served as President and Chief Investment Officer of Markel Corporation since May 2010. Mr. Gayner has served as a Director of the Company since January 2007. He is Chairman of the Audit Committee and a member of the Finance Committee. Since 1990, he served as a Director of Markel Corporation from 1998 to 2003 and since 2016. Previously, he was a certified public accountant at PricewaterhouseCoopers LLP and a Vice President of Davenport &amp; Company of Virginia. Mr. Gayner serves on the Board of Directors of The Coca-Cola Company. He also serves as a member of the Investment Advisory Committee of the Virginia Retirement System. Mr. Gayner previously served as a director of Davis Series Mutual Funds.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Donald E. Graham</w:t>
      </w:r>
    </w:p>
    <w:p>
      <w:pPr>
        <w:spacing w:after="0" w:line="229"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8"/>
          <w:szCs w:val="18"/>
          <w:color w:val="auto"/>
        </w:rPr>
        <w:t>Mr. Graham, age 80, is Chairman Emeritus of the Company. He served as Chairman of the Board from September 1993 until May 2023, and served as Chief Executive Officer from May 1991 until November 2015. Mr. Graham served as President of the Company between May 1991 and September 1993. He also was Publisher of The Washington Post newspaper for 21 years, a position he held between 1979 and 2000. Mr. Graham has been a Director of the Company since 1974 and is a member of the Executive and Finance Committees of the Board.</w:t>
      </w:r>
    </w:p>
    <w:p>
      <w:pPr>
        <w:spacing w:after="0" w:line="3" w:lineRule="exact"/>
        <w:rPr>
          <w:sz w:val="20"/>
          <w:szCs w:val="20"/>
          <w:color w:val="auto"/>
        </w:rPr>
      </w:pPr>
    </w:p>
    <w:p>
      <w:pPr>
        <w:ind w:left="760" w:right="60"/>
        <w:spacing w:after="0" w:line="260" w:lineRule="auto"/>
        <w:rPr>
          <w:sz w:val="20"/>
          <w:szCs w:val="20"/>
          <w:color w:val="auto"/>
        </w:rPr>
      </w:pPr>
      <w:r>
        <w:rPr>
          <w:rFonts w:ascii="Times New Roman" w:cs="Times New Roman" w:eastAsia="Times New Roman" w:hAnsi="Times New Roman"/>
          <w:sz w:val="18"/>
          <w:szCs w:val="18"/>
          <w:color w:val="auto"/>
        </w:rPr>
        <w:t>Mr. Graham was a Director of Facebook, Inc. from December 2008 until June 2015. Mr. Graham is a Trustee of the Federal City Council. He also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3" w:right="459" w:bottom="1440" w:gutter="0" w:footer="0" w:header="0"/>
        </w:sectPr>
      </w:pPr>
    </w:p>
    <w:bookmarkStart w:id="8" w:name="page9"/>
    <w:bookmarkEnd w:id="8"/>
    <w:p>
      <w:pPr>
        <w:ind w:left="760"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serves as a Director of the Gates Policy Initiative and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serve as members of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Jack Markell</w:t>
      </w:r>
    </w:p>
    <w:p>
      <w:pPr>
        <w:spacing w:after="0" w:line="229"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8"/>
          <w:szCs w:val="18"/>
          <w:color w:val="auto"/>
        </w:rPr>
        <w:t>Mr. Markell, age 65, served from 2023 to 2025 as U.S. Ambassador to the Italian Republic and the Republic of San Marino. From 2022 to 2023, he served as U.S. Ambassador to the Organization for Economic Cooperation and Development. From 2009 to 2017, he served as Governor of Delaware. Before he was elected Governor, Mr. Markell served 10 years as Delaware’s State Treasurer. Mr. Markell rejoined the Board as a Director in 2025 after having served as a Director of the Company from 2017 through 2021, including as a member of the Audit Committee from 2019 through 2021. He became a member of the Compensation Committee in January 2026. Prior to his public service, Mr. Markell held several executive leadership roles in corporate development, investor relations, strategic management and consulting with First Chicago Corporation, McKinsey &amp; Company, Comcast Corporation and Nextel. Mr. Markell serves on the boards of Upstream USA and Rush Street Interactive.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 M. Mulcahy</w:t>
      </w:r>
    </w:p>
    <w:p>
      <w:pPr>
        <w:spacing w:after="0" w:line="229"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8"/>
          <w:szCs w:val="18"/>
          <w:color w:val="auto"/>
        </w:rPr>
        <w:t>Mrs. Mulcahy, age 73,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 of the Board, the Executive Committee and the Compensation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LPL Financial, and was previously a Director of Johnson &amp; Johnson (retired 2025) and Williams Sonoma.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Timothy J. O’Shaughnessy</w:t>
      </w:r>
    </w:p>
    <w:p>
      <w:pPr>
        <w:spacing w:after="0" w:line="229" w:lineRule="exact"/>
        <w:rPr>
          <w:sz w:val="20"/>
          <w:szCs w:val="20"/>
          <w:color w:val="auto"/>
        </w:rPr>
      </w:pPr>
    </w:p>
    <w:p>
      <w:pPr>
        <w:ind w:left="760"/>
        <w:spacing w:after="0" w:line="256" w:lineRule="auto"/>
        <w:rPr>
          <w:sz w:val="20"/>
          <w:szCs w:val="20"/>
          <w:color w:val="auto"/>
        </w:rPr>
      </w:pPr>
      <w:r>
        <w:rPr>
          <w:rFonts w:ascii="Times New Roman" w:cs="Times New Roman" w:eastAsia="Times New Roman" w:hAnsi="Times New Roman"/>
          <w:sz w:val="18"/>
          <w:szCs w:val="18"/>
          <w:color w:val="auto"/>
        </w:rPr>
        <w:t>Mr. O’Shaughnessy, age 44,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Mr. O’Shaughnessy also worked at several media and technology companies, including AOL and Revolution Health. He is a graduate of Georgetown University and is an officer of the Federal City Council. He is married to Laura Graham O’Shaughnessy, a daughter of Donald E. Graham.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Richard Wagoner, Jr.</w:t>
      </w:r>
    </w:p>
    <w:p>
      <w:pPr>
        <w:spacing w:after="0" w:line="229"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8"/>
          <w:szCs w:val="18"/>
          <w:color w:val="auto"/>
        </w:rPr>
        <w:t>Mr. Wagoner, age 73,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Mr. Wagoner is Chair of the Board of Invesco Ltd., and privately held Excelitas Technologies, and a Director of ChargePoint Holdings, Inc. In addition, he advises finance firms, start-ups and early-stage ventures. Mr. Wagoner is a member of the Duke University Health Systems Board of Directors. He is a Trustee Emeritus of Duke University and a former Board Chair, and served on the Virginia Commonwealth University Board of Visitors. He is an honorary member of the Mayor of Shanghai, China’s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97" w:right="439" w:bottom="1440" w:gutter="0" w:footer="0" w:header="0"/>
        </w:sectPr>
      </w:pPr>
    </w:p>
    <w:bookmarkStart w:id="9" w:name="page10"/>
    <w:bookmarkEnd w:id="9"/>
    <w:p>
      <w:pPr>
        <w:ind w:left="760"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Katharine Weymouth</w:t>
      </w:r>
    </w:p>
    <w:p>
      <w:pPr>
        <w:spacing w:after="0" w:line="229" w:lineRule="exact"/>
        <w:rPr>
          <w:sz w:val="20"/>
          <w:szCs w:val="20"/>
          <w:color w:val="auto"/>
        </w:rPr>
      </w:pPr>
    </w:p>
    <w:p>
      <w:pPr>
        <w:ind w:left="760" w:right="40"/>
        <w:spacing w:after="0" w:line="253" w:lineRule="auto"/>
        <w:rPr>
          <w:sz w:val="20"/>
          <w:szCs w:val="20"/>
          <w:color w:val="auto"/>
        </w:rPr>
      </w:pPr>
      <w:r>
        <w:rPr>
          <w:rFonts w:ascii="Times New Roman" w:cs="Times New Roman" w:eastAsia="Times New Roman" w:hAnsi="Times New Roman"/>
          <w:sz w:val="18"/>
          <w:szCs w:val="18"/>
          <w:color w:val="auto"/>
        </w:rPr>
        <w:t>Ms. Weymouth, age 59, is a Partner at Blu Ventures, an early-stage venture capital group based in the DC area with a focus on cyber and innovation platforms. Ms. Weymouth has been a Director of the Company since 2010 and currently serves on the Finance Committee and the Compensation Committee of the Board. Ms. Weymouth is a niece of the Chairman Emeritus of the Board of the Company. Ms. Weymouth served as Publisher and Chief Executive Officer of The Washington Post, the newspaper division of The Washington Post Company, from 2008 through 2014. Prior to becoming Publisher and Chief Executive Officer, Ms. Weymouth worked in various roles in the Post’s advertising department, including serving as Vice President of the advertising department. She began her career as an attorney.</w:t>
      </w:r>
    </w:p>
    <w:p>
      <w:pPr>
        <w:spacing w:after="0" w:line="5"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8"/>
          <w:szCs w:val="18"/>
          <w:color w:val="auto"/>
        </w:rPr>
        <w:t>Ms. Weymouth serves on the Board of Republic Services, Xometry, Sequoia Mutual Fund and Cable One. She serves as a Trustee of the Philip L. Graham Fund, the DC Volunteer Lawyer Project and Meadow Reproductive Health and Wellness. She is also a Professorial Lecturer of Media and Public Affairs at George Washington University.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ELECTION BY CLASS B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Tony Allen</w:t>
      </w:r>
    </w:p>
    <w:p>
      <w:pPr>
        <w:spacing w:after="0" w:line="229" w:lineRule="exact"/>
        <w:rPr>
          <w:sz w:val="20"/>
          <w:szCs w:val="20"/>
          <w:color w:val="auto"/>
        </w:rPr>
      </w:pPr>
    </w:p>
    <w:p>
      <w:pPr>
        <w:ind w:left="760" w:right="40"/>
        <w:spacing w:after="0" w:line="244" w:lineRule="auto"/>
        <w:rPr>
          <w:sz w:val="20"/>
          <w:szCs w:val="20"/>
          <w:color w:val="auto"/>
        </w:rPr>
      </w:pPr>
      <w:r>
        <w:rPr>
          <w:rFonts w:ascii="Times New Roman" w:cs="Times New Roman" w:eastAsia="Times New Roman" w:hAnsi="Times New Roman"/>
          <w:sz w:val="18"/>
          <w:szCs w:val="18"/>
          <w:color w:val="auto"/>
        </w:rPr>
        <w:t>Dr. Allen, age 55, has served as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President of Delaware State University, a public historically black land grant research university founded in 1891, since January 2020. Prior to becoming President, Dr. Allen served as Provost beginning in June of 2017. Dr. Allen led the Biden Presidential Inaugural Committee, and served on the Advisory Board of the Biden Transition Team. Previously, Dr. Allen served as Managing Director, Corporate Reputation, at Bank of America from January 2006 until August 2017. He began his financial services career as an Executive Vice President at MBNA America. Dr. Allen is a former member of the Economic and Community Advisory Council for the Federal Reserve Bank of Philadelphia, the founding President of the Metropolitan Wilmington Urban League, Principal Advisor to the James H. Gilliam Fund for Social Justice &amp; Equity, Co-Founder of Public Allies Delaware, and Chair Emeritus of the National Urban Fellows and the White House Board of Advisors on Historically Black Colleges &amp; Universities. Dr. Allen is the recipient of numerous awards, including the National Urban League’s Whitney M. Young Award for Advancing Racial Equality, the Excellence in Education Award given by the Delaware Barristers Association, and Lifetime Achievement Awards from the National Urban Fellows and Public Allies. Dr. Allen became a Director in February 2021, and he became a member of the Compensation Committee in September 2021. Dr. Allen brings an understanding of the higher education landscape, corporate operations and communications expertise and deep knowledge of the financial services sector to his work on the Board.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Danielle Conley</w:t>
      </w:r>
    </w:p>
    <w:p>
      <w:pPr>
        <w:spacing w:after="0" w:line="229"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8"/>
          <w:szCs w:val="18"/>
          <w:color w:val="auto"/>
        </w:rPr>
        <w:t>Ms. Conley, age 47, is a partner in the law firm of Latham &amp; Watkins LLP where she advises companies, educational institutions, and other large organizations on challenging regulatory, enforcement, and internal matters that involve substantial reputational risk. Ms. Conley has served as a Director of the Company since September 2022. From January 2021 to June 2022, Ms. Conley served as Deputy Counsel to the President of the United States in the Office of the White House Counsel, where she advised the President, Vice President and other senior White House officials on legal matters pertaining to a wide array of domestic policy issues. She also worked closely with senior officials at the Department of Justice and agency general counsels on policy, regulatory matters, and litigation related to the administration’s equity agenda. From April 2017 to January 2021, Ms. Conley was a partner in the Washington, D.C. office of an international law firm where she led the firm’s anti-discrimination practice and represented multinational corporations and educational institutions in sensitive internal and government investigations and litigation matters. Prior to that, Ms. Conley served as Associate Deputy Attorney General at the United States Department of Justice, where she was a key advisor on civil rights litigation and enforcement matters. Ms. Conley’s significant experience in U.S. policy, litigation and investigatory challenges facing companies of comparable size and scope as the Company is highly valuable to the Company’s businesses which operate in highly regulated industries. Her deep experience conducting sensitive internal investigations, leading internal reviews and risk assessments on issues pertaining to racial and gender equity and counseling on best practices for developing and implementing anti-harassment compliance programs and corporate diversity, equity, and inclusion initiatives, serves to strengthen the Board’s role in risk oversight and its focus on ESG.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97"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Christopher C. Davis</w:t>
      </w:r>
    </w:p>
    <w:p>
      <w:pPr>
        <w:spacing w:after="0" w:line="229"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8"/>
          <w:szCs w:val="18"/>
          <w:color w:val="auto"/>
        </w:rPr>
        <w:t>Mr. Davis, age 60, has been a Director of Graham Holdings Company since January 2006 and is a member of the Audit and Executive Committees of the Board and Chairman of the Finance Committee. Mr. Davis is Chairman of Davis Selected Advisers, L.P., an independent investment management firm founded in 1969. The firm oversees approximately $30 billion in assets as of December 31, 2025. The firm employs a research-driven, long-term approach to investing. Mr. Davis joined Davis Selected Advisers, L.P. in 1989 as a financial analyst and became a portfolio manager of the firm’s flagship funds, Davis New York Venture Fund and Selected American Shares, in 1995, succeeding his father, Shelby M. C. Davis. Both the Davis New York Venture Fund and Selected American Shares receive high marks for stewardship and long-term results. The firm’s employees and their families are among the largest individual investors in the funds they manage. Mr. Davis is also a Director and officer of a number of mutual funds advised by Davis Selected Advisers, L.P., as well as other entities controlled by Davis Selected Advisers, L.P., and a Director of The Coca-Cola Company and Berkshire Hathaway, Inc. Mr. Davis is a Director of the Hudson Highland Land Trust, The Hudson Highland Fjord Trail and a Trustee of the American Museum of Natural History, the Shelby Cullom Davis Charitable Fund and the Christopher C. Davis Fund. Mr. Davis also served as an assistant to his grandfather, Shelby Cullom Davis, and as a Research Analyst at Tanaka Capital Management. He began his career as an accountant at State Street Bank and Trust Company.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NOMINATED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standing committees of the Board are the Audit Committee, Compensation Committee, Finance Committee and Executive Committee.</w:t>
      </w:r>
    </w:p>
    <w:p>
      <w:pPr>
        <w:spacing w:after="0" w:line="23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Given the ownership structure of the Company and its status as a “controlled company” (see page 10), the Board does not have a nominating committee. Decisions on nominees to the Board are made through consultation among the Chair of the Board and the other members of the Board. The Company has not utilized the services of any third party to assist in identifying and evaluating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Company’s information security and privacy program, including management of risks from cybersecurity threats; (v) the qualifications and independence of the Company’s outside auditor; (vi) the performance of the Company’s internal audit function; (vii) the outside auditor’s annual audit of the Company’s financial statements; and (viii) the preparation of certain reports required by the rules and regulations of the SEC. A current copy of the Audit Committee’s Charter is available on the Company’s website, www.ghco.com; a copy of such Charter will be furnished without charge to any shareholder upon written request addressed to the Treasurer, Graham Holdings Company at 1812 North Moore Street, Suite 2100, Arlington, VA 22209.</w:t>
      </w:r>
    </w:p>
    <w:p>
      <w:pPr>
        <w:spacing w:after="0" w:line="19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Christopher C. Davis, Thomas S. Gayner (Chairman) and G. Richard Wagoner, Jr. served on the Audit Committee in 2025. The Board of Directors has determined that all members of the Audit Committee are non-employee, “financially literate,” and “independent” within the meaning of the listing requirements of the New York Stock Exchange applicable to service on audit committees.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3" w:right="459" w:bottom="1440" w:gutter="0" w:footer="0" w:header="0"/>
        </w:sectPr>
      </w:pPr>
    </w:p>
    <w:bookmarkStart w:id="11" w:name="page12"/>
    <w:bookmarkEnd w:id="11"/>
    <w:p>
      <w:pPr>
        <w:jc w:val="both"/>
        <w:ind w:right="4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financial reporting, as well as an understanding of Audit Committee’s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the authority to obtain advice from internal or external legal or other advisers.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Audit Committee held seven meetings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functions of the Compensation Committee include (i) reviewing and approving the compensation of the Company’s Chief Executive Officer and President and other members of senior management and the Board (including, among other elements of compensation, annual base salary, annual incentive opportunities and long-term incentive opportunities); (ii) overseeing the administration and determination of awards under the Company’s compensation plans; (iii) preparing any report on executive compensation required by the rules and regulations of the SEC; (iv) reviewing the Company’s employee attraction, retention and inclusion goals to provide oversight and advice; and (v) performing a risk assessment of the Company’s compensation plans. A current copy of the Compensation Committee’s Charter is available on the Company’s website, www.ghco.com; a copy of such Charter will be furnished without charge to any shareholder upon written request addressed to the Treasurer, Graham Holdings Company at 1812 North Moore Street, Suite 2100, Arlington, VA 22209.</w:t>
      </w:r>
    </w:p>
    <w:p>
      <w:pPr>
        <w:spacing w:after="0" w:line="19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Anne M. Mulcahy (Chair), Katharine Weymouth and Tony Allen served on the Compensation Committee in 2025. All members of the Compensation Committee are non-employee Directors and have been determined to be “independent” within the meaning of the listing requirements of the New York Stock Exchange applicable to service on compensation committees.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Compensation Committee held six meetings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Committee</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Christopher C. Davis (Chairman), Thomas S. Gayner, Donald E. Graham, Timothy J. O’Shaughnessy and Katharine Weymouth served on the Finance Committee in 2025.</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Finance Committee held one meeting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22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Executive Committee has exercised and may exercise all of the powers of the Board that may be delegated by law in the management of the business and affairs of the Company and exercises the authority of the Board between meetings.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Christopher C. Davis, Donald E. Graham, Anne M. Mulcahy (Chair) and Timothy J. O’Shaughnessy served on the Executive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Executive Committee held no meetings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229"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Board held a total of five meetings in 2025. Each Director attended at least 75% of the meetings of the Board and the Committees of the Board on which the Director served.</w:t>
      </w:r>
    </w:p>
    <w:p>
      <w:pPr>
        <w:spacing w:after="0" w:line="162" w:lineRule="exact"/>
        <w:rPr>
          <w:sz w:val="20"/>
          <w:szCs w:val="20"/>
          <w:color w:val="auto"/>
        </w:rPr>
      </w:pPr>
    </w:p>
    <w:p>
      <w:pPr>
        <w:ind w:right="240" w:firstLine="991"/>
        <w:spacing w:after="0" w:line="312" w:lineRule="auto"/>
        <w:rPr>
          <w:sz w:val="20"/>
          <w:szCs w:val="20"/>
          <w:color w:val="auto"/>
        </w:rPr>
      </w:pPr>
      <w:r>
        <w:rPr>
          <w:rFonts w:ascii="Times New Roman" w:cs="Times New Roman" w:eastAsia="Times New Roman" w:hAnsi="Times New Roman"/>
          <w:sz w:val="17"/>
          <w:szCs w:val="17"/>
          <w:color w:val="auto"/>
        </w:rPr>
        <w:t>The Board does not have a policy of requiring Directors to attend annual meetings of shareholders and leaves it at the discretion of each Director as to whether he or she will attend the Meeting. In addition to the Chair, nine Directors joined the 2025 Annual Meeting of Shareholders.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7" w:right="45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Compensation</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During 2025, non-employee Directors received the following:</w:t>
      </w:r>
    </w:p>
    <w:p>
      <w:pPr>
        <w:spacing w:after="0" w:line="77" w:lineRule="exact"/>
        <w:rPr>
          <w:sz w:val="20"/>
          <w:szCs w:val="20"/>
          <w:color w:val="auto"/>
        </w:rPr>
      </w:pPr>
    </w:p>
    <w:p>
      <w:pPr>
        <w:ind w:left="2184" w:hanging="429"/>
        <w:spacing w:after="0"/>
        <w:tabs>
          <w:tab w:leader="none" w:pos="2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$180,000 annual retainer; and</w:t>
      </w:r>
    </w:p>
    <w:p>
      <w:pPr>
        <w:spacing w:after="0" w:line="49" w:lineRule="exact"/>
        <w:rPr>
          <w:rFonts w:ascii="Times New Roman" w:cs="Times New Roman" w:eastAsia="Times New Roman" w:hAnsi="Times New Roman"/>
          <w:sz w:val="18"/>
          <w:szCs w:val="18"/>
          <w:color w:val="auto"/>
        </w:rPr>
      </w:pPr>
    </w:p>
    <w:p>
      <w:pPr>
        <w:ind w:left="2184" w:hanging="429"/>
        <w:spacing w:after="0"/>
        <w:tabs>
          <w:tab w:leader="none" w:pos="2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for the meetings attended.</w:t>
      </w:r>
    </w:p>
    <w:p>
      <w:pPr>
        <w:spacing w:after="0" w:line="225" w:lineRule="exact"/>
        <w:rPr>
          <w:sz w:val="20"/>
          <w:szCs w:val="20"/>
          <w:color w:val="auto"/>
        </w:rPr>
      </w:pPr>
    </w:p>
    <w:p>
      <w:pPr>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t>Each non-employee Chair of a Committee of the Board received an additional $20,000 annual retainer for such service. Members of the Audit Committee received an additional $20,000 annual retainer for such service. Employee Directors received no compensation for serving on the Board.</w:t>
      </w:r>
    </w:p>
    <w:p>
      <w:pPr>
        <w:spacing w:after="0" w:line="176" w:lineRule="exact"/>
        <w:rPr>
          <w:sz w:val="20"/>
          <w:szCs w:val="20"/>
          <w:color w:val="auto"/>
        </w:rPr>
      </w:pPr>
    </w:p>
    <w:p>
      <w:pPr>
        <w:jc w:val="both"/>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Although the default is that annual retainers will be paid in cash, under the Company’s Director Share Purchase Program, Directors are eligible to elect to receive up to 50% of their quarterly Director fees in the form of fully vested shares of the Company’s Class B Common Stock. The Company does not otherwise provide equity-based compensation to non-employee Directors.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total 2025 compensation of non-employee Directors is shown in the following table:</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137"/>
        </w:trPr>
        <w:tc>
          <w:tcPr>
            <w:tcW w:w="4520" w:type="dxa"/>
            <w:vAlign w:val="bottom"/>
            <w:tcBorders>
              <w:top w:val="single" w:sz="8" w:color="auto"/>
              <w:left w:val="single" w:sz="8" w:color="auto"/>
              <w:right w:val="single" w:sz="8" w:color="auto"/>
            </w:tcBorders>
          </w:tcPr>
          <w:p>
            <w:pPr>
              <w:spacing w:after="0"/>
              <w:rPr>
                <w:sz w:val="11"/>
                <w:szCs w:val="11"/>
                <w:color w:val="auto"/>
              </w:rPr>
            </w:pPr>
          </w:p>
        </w:tc>
        <w:tc>
          <w:tcPr>
            <w:tcW w:w="1280" w:type="dxa"/>
            <w:vAlign w:val="bottom"/>
            <w:tcBorders>
              <w:top w:val="single" w:sz="8" w:color="auto"/>
              <w:right w:val="single" w:sz="8" w:color="auto"/>
            </w:tcBorders>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Fees Earned or</w:t>
            </w:r>
          </w:p>
        </w:tc>
        <w:tc>
          <w:tcPr>
            <w:tcW w:w="2040" w:type="dxa"/>
            <w:vAlign w:val="bottom"/>
            <w:tcBorders>
              <w:top w:val="single" w:sz="8" w:color="auto"/>
              <w:right w:val="single" w:sz="8" w:color="auto"/>
            </w:tcBorders>
          </w:tcPr>
          <w:p>
            <w:pPr>
              <w:jc w:val="center"/>
              <w:ind w:left="248"/>
              <w:spacing w:after="0" w:line="137" w:lineRule="exact"/>
              <w:rPr>
                <w:sz w:val="20"/>
                <w:szCs w:val="20"/>
                <w:color w:val="auto"/>
              </w:rPr>
            </w:pPr>
            <w:r>
              <w:rPr>
                <w:rFonts w:ascii="Times New Roman" w:cs="Times New Roman" w:eastAsia="Times New Roman" w:hAnsi="Times New Roman"/>
                <w:sz w:val="14"/>
                <w:szCs w:val="14"/>
                <w:b w:val="1"/>
                <w:bCs w:val="1"/>
                <w:color w:val="auto"/>
              </w:rPr>
              <w:t>Change in Pension Value</w:t>
            </w:r>
          </w:p>
        </w:tc>
        <w:tc>
          <w:tcPr>
            <w:tcW w:w="1460" w:type="dxa"/>
            <w:vAlign w:val="bottom"/>
            <w:tcBorders>
              <w:top w:val="single" w:sz="8" w:color="auto"/>
              <w:right w:val="single" w:sz="8" w:color="auto"/>
            </w:tcBorders>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20" w:type="dxa"/>
            <w:vAlign w:val="bottom"/>
            <w:tcBorders>
              <w:top w:val="single" w:sz="8" w:color="auto"/>
            </w:tcBorders>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w w:val="87"/>
              </w:rPr>
              <w:t>Total </w:t>
            </w:r>
          </w:p>
        </w:tc>
        <w:tc>
          <w:tcPr>
            <w:tcW w:w="32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6"/>
        </w:trPr>
        <w:tc>
          <w:tcPr>
            <w:tcW w:w="4520" w:type="dxa"/>
            <w:vAlign w:val="bottom"/>
            <w:tcBorders>
              <w:left w:val="single" w:sz="8" w:color="auto"/>
              <w:right w:val="single" w:sz="8" w:color="auto"/>
            </w:tcBorders>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tcBorders>
              <w:right w:val="single" w:sz="8" w:color="auto"/>
            </w:tcBorders>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40" w:type="dxa"/>
            <w:vAlign w:val="bottom"/>
            <w:tcBorders>
              <w:right w:val="single" w:sz="8" w:color="auto"/>
            </w:tcBorders>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and non-qualified Deferred</w:t>
            </w:r>
          </w:p>
        </w:tc>
        <w:tc>
          <w:tcPr>
            <w:tcW w:w="1460" w:type="dxa"/>
            <w:vAlign w:val="bottom"/>
            <w:tcBorders>
              <w:right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or Stock ($)</w:t>
            </w:r>
            <w:r>
              <w:rPr>
                <w:rFonts w:ascii="Times New Roman" w:cs="Times New Roman" w:eastAsia="Times New Roman" w:hAnsi="Times New Roman"/>
                <w:sz w:val="10"/>
                <w:szCs w:val="10"/>
                <w:b w:val="1"/>
                <w:bCs w:val="1"/>
                <w:color w:val="auto"/>
              </w:rPr>
              <w:t>(1)</w:t>
            </w:r>
          </w:p>
        </w:tc>
        <w:tc>
          <w:tcPr>
            <w:tcW w:w="2040" w:type="dxa"/>
            <w:vAlign w:val="bottom"/>
            <w:tcBorders>
              <w:bottom w:val="single" w:sz="8" w:color="auto"/>
              <w:right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Compensation Earnings ($)</w:t>
            </w:r>
          </w:p>
        </w:tc>
        <w:tc>
          <w:tcPr>
            <w:tcW w:w="1460" w:type="dxa"/>
            <w:vAlign w:val="bottom"/>
            <w:tcBorders>
              <w:bottom w:val="single" w:sz="8" w:color="auto"/>
              <w:right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4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52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Tony Allen</w:t>
            </w:r>
          </w:p>
        </w:tc>
        <w:tc>
          <w:tcPr>
            <w:tcW w:w="1280" w:type="dxa"/>
            <w:vAlign w:val="bottom"/>
            <w:tcBorders>
              <w:bottom w:val="single" w:sz="8" w:color="CCEEFF"/>
              <w:right w:val="single" w:sz="8" w:color="auto"/>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180,000</w:t>
            </w:r>
          </w:p>
        </w:tc>
        <w:tc>
          <w:tcPr>
            <w:tcW w:w="2040" w:type="dxa"/>
            <w:vAlign w:val="bottom"/>
            <w:tcBorders>
              <w:bottom w:val="single" w:sz="8" w:color="CCEEFF"/>
              <w:right w:val="single" w:sz="8" w:color="auto"/>
            </w:tcBorders>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bottom w:val="single" w:sz="8" w:color="CCEEFF"/>
              <w:right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w w:val="87"/>
              </w:rPr>
              <w:t>180,000 </w:t>
            </w:r>
          </w:p>
        </w:tc>
        <w:tc>
          <w:tcPr>
            <w:tcW w:w="32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9"/>
        </w:trPr>
        <w:tc>
          <w:tcPr>
            <w:tcW w:w="452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Danielle Conley</w:t>
            </w:r>
          </w:p>
        </w:tc>
        <w:tc>
          <w:tcPr>
            <w:tcW w:w="1280" w:type="dxa"/>
            <w:vAlign w:val="bottom"/>
            <w:tcBorders>
              <w:top w:val="single" w:sz="8" w:color="auto"/>
              <w:right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color w:val="auto"/>
              </w:rPr>
              <w:t>180,000</w:t>
            </w:r>
          </w:p>
        </w:tc>
        <w:tc>
          <w:tcPr>
            <w:tcW w:w="2040" w:type="dxa"/>
            <w:vAlign w:val="bottom"/>
            <w:tcBorders>
              <w:top w:val="single" w:sz="8" w:color="auto"/>
              <w:right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top w:val="single" w:sz="8" w:color="auto"/>
              <w:right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180,000</w:t>
            </w:r>
          </w:p>
        </w:tc>
        <w:tc>
          <w:tcPr>
            <w:tcW w:w="3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52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Christopher C. Davis</w:t>
            </w:r>
          </w:p>
        </w:tc>
        <w:tc>
          <w:tcPr>
            <w:tcW w:w="1280" w:type="dxa"/>
            <w:vAlign w:val="bottom"/>
            <w:tcBorders>
              <w:bottom w:val="single" w:sz="8" w:color="CCEEFF"/>
              <w:right w:val="single" w:sz="8" w:color="auto"/>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220,000</w:t>
            </w:r>
          </w:p>
        </w:tc>
        <w:tc>
          <w:tcPr>
            <w:tcW w:w="2040" w:type="dxa"/>
            <w:vAlign w:val="bottom"/>
            <w:tcBorders>
              <w:bottom w:val="single" w:sz="8" w:color="CCEEFF"/>
              <w:right w:val="single" w:sz="8" w:color="auto"/>
            </w:tcBorders>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bottom w:val="single" w:sz="8" w:color="CCEEFF"/>
              <w:right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220,000</w:t>
            </w:r>
          </w:p>
        </w:tc>
        <w:tc>
          <w:tcPr>
            <w:tcW w:w="32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52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Thomas S. Gayner</w:t>
            </w:r>
          </w:p>
        </w:tc>
        <w:tc>
          <w:tcPr>
            <w:tcW w:w="1280" w:type="dxa"/>
            <w:vAlign w:val="bottom"/>
            <w:tcBorders>
              <w:top w:val="single" w:sz="8" w:color="auto"/>
              <w:right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color w:val="auto"/>
              </w:rPr>
              <w:t>220,000</w:t>
            </w:r>
          </w:p>
        </w:tc>
        <w:tc>
          <w:tcPr>
            <w:tcW w:w="2040" w:type="dxa"/>
            <w:vAlign w:val="bottom"/>
            <w:tcBorders>
              <w:top w:val="single" w:sz="8" w:color="auto"/>
              <w:right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top w:val="single" w:sz="8" w:color="auto"/>
              <w:right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220,000</w:t>
            </w:r>
          </w:p>
        </w:tc>
        <w:tc>
          <w:tcPr>
            <w:tcW w:w="3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52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Jack Markell</w:t>
            </w:r>
          </w:p>
        </w:tc>
        <w:tc>
          <w:tcPr>
            <w:tcW w:w="1280" w:type="dxa"/>
            <w:vAlign w:val="bottom"/>
            <w:tcBorders>
              <w:bottom w:val="single" w:sz="8" w:color="CCEEFF"/>
              <w:right w:val="single" w:sz="8" w:color="auto"/>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180,000</w:t>
            </w:r>
          </w:p>
        </w:tc>
        <w:tc>
          <w:tcPr>
            <w:tcW w:w="2040" w:type="dxa"/>
            <w:vAlign w:val="bottom"/>
            <w:tcBorders>
              <w:bottom w:val="single" w:sz="8" w:color="CCEEFF"/>
              <w:right w:val="single" w:sz="8" w:color="auto"/>
            </w:tcBorders>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bottom w:val="single" w:sz="8" w:color="CCEEFF"/>
              <w:right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180,000</w:t>
            </w:r>
          </w:p>
        </w:tc>
        <w:tc>
          <w:tcPr>
            <w:tcW w:w="32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52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Anne M. Mulcahy</w:t>
            </w:r>
          </w:p>
        </w:tc>
        <w:tc>
          <w:tcPr>
            <w:tcW w:w="1280" w:type="dxa"/>
            <w:vAlign w:val="bottom"/>
            <w:tcBorders>
              <w:top w:val="single" w:sz="8" w:color="auto"/>
              <w:right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color w:val="auto"/>
              </w:rPr>
              <w:t>200,000</w:t>
            </w:r>
          </w:p>
        </w:tc>
        <w:tc>
          <w:tcPr>
            <w:tcW w:w="2040" w:type="dxa"/>
            <w:vAlign w:val="bottom"/>
            <w:tcBorders>
              <w:top w:val="single" w:sz="8" w:color="auto"/>
              <w:right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top w:val="single" w:sz="8" w:color="auto"/>
              <w:right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200,000</w:t>
            </w:r>
          </w:p>
        </w:tc>
        <w:tc>
          <w:tcPr>
            <w:tcW w:w="3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52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 Richard Wagoner, Jr.</w:t>
            </w:r>
          </w:p>
        </w:tc>
        <w:tc>
          <w:tcPr>
            <w:tcW w:w="1280" w:type="dxa"/>
            <w:vAlign w:val="bottom"/>
            <w:tcBorders>
              <w:bottom w:val="single" w:sz="8" w:color="CCEEFF"/>
              <w:right w:val="single" w:sz="8" w:color="auto"/>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200,000</w:t>
            </w:r>
          </w:p>
        </w:tc>
        <w:tc>
          <w:tcPr>
            <w:tcW w:w="2040" w:type="dxa"/>
            <w:vAlign w:val="bottom"/>
            <w:tcBorders>
              <w:bottom w:val="single" w:sz="8" w:color="CCEEFF"/>
              <w:right w:val="single" w:sz="8" w:color="auto"/>
            </w:tcBorders>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bottom w:val="single" w:sz="8" w:color="CCEEFF"/>
              <w:right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200,000</w:t>
            </w:r>
          </w:p>
        </w:tc>
        <w:tc>
          <w:tcPr>
            <w:tcW w:w="32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52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Katharine Weymouth</w:t>
            </w:r>
          </w:p>
        </w:tc>
        <w:tc>
          <w:tcPr>
            <w:tcW w:w="1280" w:type="dxa"/>
            <w:vAlign w:val="bottom"/>
            <w:tcBorders>
              <w:top w:val="single" w:sz="8" w:color="auto"/>
              <w:right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color w:val="auto"/>
              </w:rPr>
              <w:t>180,000</w:t>
            </w:r>
          </w:p>
        </w:tc>
        <w:tc>
          <w:tcPr>
            <w:tcW w:w="2040" w:type="dxa"/>
            <w:vAlign w:val="bottom"/>
            <w:tcBorders>
              <w:top w:val="single" w:sz="8" w:color="auto"/>
              <w:right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top w:val="single" w:sz="8" w:color="auto"/>
              <w:right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180,000</w:t>
            </w:r>
          </w:p>
        </w:tc>
        <w:tc>
          <w:tcPr>
            <w:tcW w:w="3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24" w:right="120" w:hanging="424"/>
        <w:spacing w:after="0" w:line="236" w:lineRule="auto"/>
        <w:tabs>
          <w:tab w:leader="none" w:pos="4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Director Share Purchase Program, Directors may elect to receive a portion of the quarterly fees received for service as a Director in stock in lieu of cash. The number of shares of common stock awarded in 2025 to each of the Directors under the Director Share Purchase Program in respect of each calendar quarter are as follows (with grant date fair values, determined in accordance with FASB ASC Topic 718, of $871.87, $970.97, $954.49, and $1,165.25, respectively): Ms. Conley 25, 23, 23 and 19 shares; Mr. Davis, 31, 28, 28 and 23 shares; Mr. Markell (starting in Q2) 9, 9 and 7 shares; Ms. Mulcahy, 28, 25, 26 and 21 shares; and Mr. Wagoner 28, 25, 26 and 21 shares.</w:t>
      </w:r>
    </w:p>
    <w:p>
      <w:pPr>
        <w:spacing w:after="0" w:line="181"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The Company has a voluntary Deferred Compensation Plan for Directors of the Company that was closed to new participants and new deferrals for existing participants as of December 2015. This plan provided an opportunity for participants to elect to defer the receipt of either all or a portion of the fees received for service as a Director. Deferred amounts earn investment credits in accordance with participant elections from a choice of investment funds (based on the funds available under the Company’s 401(k) plan), none of which provides above-market interest. Deferred amounts are payable upon separation from service or such other future date as specified by the participant at the time of election.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The descendants of Katharine Graham (including the Company’s Chairman Emeritus) and trusts for the benefit of those descendants own the majority of the shares of Class A Common Stock and have the right to vote for 70% of the Board;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Tony Allen, Danielle Conley, Christopher C. Davis, Thomas S. Gayner, Jack Markell, Anne M. Mulcahy, G. Richard Wagoner, Jr. and Katharine Weymouth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and the provision of, services in the ordinary course of business that were made on arm’s-length terms under circumstances and in amounts that did not affect the relevant Directors’ independence.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93"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Meetings of the Non-Management Directors</w:t>
      </w:r>
    </w:p>
    <w:p>
      <w:pPr>
        <w:spacing w:after="0" w:line="229"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listing requirements of the New York Stock Exchange call for the non-management Directors of the Company to meet regularly in executive session without management. The Board has appointed Christopher C. Davis as Lead Independent Director and has authorized him to preside at the executive sessions. The non-management Directors met in executive session twice in 2025 and expect to meet in executive session in 2026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Anne M. Mulcahy (Chair), Tony Allen and Katharine Weymouth served as members of the Compensation Committee in 2025.</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Mrs. Mulcahy and Dr. Allen have never been employees of the Company. Katharine Weymouth was employed at The Washington Post as CEO and Publisher until its sale on October 1, 2013. No executive officer of the Company serves on the compensation committee of any other entity that has, or has had, one or more of its executive officers serving on the Company’s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While as a “controlled company,” the Company is not legally required to have a majority of independent directors, the majority of the Board, in fact, comprises independent Directors and the Chair of the Board, Anne Mulcahy, is an independent director. The Board also appoints a Lead Independent Director and Christopher C. Davis serves in this capacity. The Lead Independent Director typically chairs the executive sessions of Board meetings and consults with Mr. O’Shaughnessy and senior management regarding issues to be included in Board meeting agendas. The Lead Independent Director is also expected to collaborate with Mr. O’Shaughnessy in reviewing key operational and other matters and to act as a liaison between Mr. O’Shaughnessy and the independent Directors. The Board believes its current leadership structure, in which the roles of Chair and CEO are separated and the Board appoints a Lead Independent Director, best serves the Board’s ability to provide oversight of management and corporate governance matters.</w:t>
      </w:r>
    </w:p>
    <w:p>
      <w:pPr>
        <w:spacing w:after="0" w:line="19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The Board as a whole actively considers strategic decisions proposed by management, including matters affecting the business strategy and competitive and financial positions of the Company, monitors the Company’s risk profile, and reviews and discusses significant risks affecting the Company’s businesses, including matters escalated by its committees.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 The Audit Committee reviews and assesses significant risk events, emerging risks and drivers of risks; reviews risk control issues and reports identified by the internal audit, Sarbanes-Oxley compliance, and information security and privacy groups; oversees privacy programs and cybersecurity programs including threats, defenses, response capabilities and company-wide metrics relating to information security controls; oversees the Code of Business Conduct; addresses material conflicts of interests; and provides escalation of risks to the full Board. 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Kaplan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Directors</w:t>
      </w:r>
    </w:p>
    <w:p>
      <w:pPr>
        <w:spacing w:after="0" w:line="22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Interested parties may communicate concerns to the Lead Independent Director or to the other Directors of the Company through NAVEX Global, the Company’s third-party-managed hotline, via telephone at 1-866-687-8972 or online at ghco.ethicspoint.com.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93" w:right="479" w:bottom="1440" w:gutter="0" w:footer="0" w:header="0"/>
        </w:sectPr>
      </w:pPr>
    </w:p>
    <w:bookmarkStart w:id="14" w:name="page15"/>
    <w:bookmarkEnd w:id="1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 HOLDINGS OF CERTAIN BENEFICIAL OWNERS AND MANAGEMENT</w:t>
      </w:r>
    </w:p>
    <w:p>
      <w:pPr>
        <w:spacing w:after="0" w:line="229"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The information in the following two tables relates to each person who, on February 1, 2025,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substantial duplication in the numbers of shares and percentages shown in the following table. The number of shares and the percentages of beneficial ownership set forth below are calculated as of February 1, 2026, unless otherwise noted, based on 964,001 shares of Class A Stock outstanding and 3,397,834 shares of Class B Stock outstanding.</w:t>
      </w:r>
    </w:p>
    <w:p>
      <w:pPr>
        <w:spacing w:after="0" w:line="1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Principal Holders of Stock</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584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0" w:type="dxa"/>
            <w:vAlign w:val="bottom"/>
          </w:tcPr>
          <w:p>
            <w:pPr>
              <w:spacing w:after="0"/>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Class A Stock</w:t>
            </w:r>
          </w:p>
        </w:tc>
        <w:tc>
          <w:tcPr>
            <w:tcW w:w="130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Class B Stock</w:t>
            </w:r>
          </w:p>
        </w:tc>
        <w:tc>
          <w:tcPr>
            <w:tcW w:w="0" w:type="dxa"/>
            <w:vAlign w:val="bottom"/>
          </w:tcPr>
          <w:p>
            <w:pPr>
              <w:spacing w:after="0"/>
              <w:rPr>
                <w:sz w:val="1"/>
                <w:szCs w:val="1"/>
                <w:color w:val="auto"/>
              </w:rPr>
            </w:pPr>
          </w:p>
        </w:tc>
      </w:tr>
      <w:tr>
        <w:trPr>
          <w:trHeight w:val="203"/>
        </w:trPr>
        <w:tc>
          <w:tcPr>
            <w:tcW w:w="8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Donald E. Graham</w:t>
            </w:r>
            <w:r>
              <w:rPr>
                <w:rFonts w:ascii="Times New Roman" w:cs="Times New Roman" w:eastAsia="Times New Roman" w:hAnsi="Times New Roman"/>
                <w:sz w:val="21"/>
                <w:szCs w:val="21"/>
                <w:color w:val="auto"/>
                <w:vertAlign w:val="superscript"/>
              </w:rPr>
              <w:t>(a)</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538,694 (55.9%)</w:t>
            </w:r>
          </w:p>
        </w:tc>
        <w:tc>
          <w:tcPr>
            <w:tcW w:w="2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553,485 (14.1%)*</w:t>
            </w:r>
          </w:p>
        </w:tc>
        <w:tc>
          <w:tcPr>
            <w:tcW w:w="0" w:type="dxa"/>
            <w:vAlign w:val="bottom"/>
          </w:tcPr>
          <w:p>
            <w:pPr>
              <w:spacing w:after="0"/>
              <w:rPr>
                <w:sz w:val="1"/>
                <w:szCs w:val="1"/>
                <w:color w:val="auto"/>
              </w:rPr>
            </w:pPr>
          </w:p>
        </w:tc>
      </w:tr>
      <w:tr>
        <w:trPr>
          <w:trHeight w:val="193"/>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1812 North Moore Street, Suite 2100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60" w:type="dxa"/>
            <w:vAlign w:val="bottom"/>
            <w:gridSpan w:val="2"/>
          </w:tcPr>
          <w:p>
            <w:pPr>
              <w:spacing w:after="0" w:line="220" w:lineRule="exact"/>
              <w:rPr>
                <w:sz w:val="20"/>
                <w:szCs w:val="20"/>
                <w:color w:val="auto"/>
              </w:rPr>
            </w:pPr>
            <w:r>
              <w:rPr>
                <w:rFonts w:ascii="Times New Roman" w:cs="Times New Roman" w:eastAsia="Times New Roman" w:hAnsi="Times New Roman"/>
                <w:sz w:val="14"/>
                <w:szCs w:val="14"/>
                <w:color w:val="auto"/>
              </w:rPr>
              <w:t>Laura G. O’Shaughnessy</w:t>
            </w:r>
            <w:r>
              <w:rPr>
                <w:rFonts w:ascii="Times New Roman" w:cs="Times New Roman" w:eastAsia="Times New Roman" w:hAnsi="Times New Roman"/>
                <w:sz w:val="21"/>
                <w:szCs w:val="21"/>
                <w:color w:val="auto"/>
                <w:vertAlign w:val="superscript"/>
              </w:rPr>
              <w:t>(b)</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410,035 (42.5%)</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437,511 (11.5%)*</w:t>
            </w:r>
          </w:p>
        </w:tc>
        <w:tc>
          <w:tcPr>
            <w:tcW w:w="0" w:type="dxa"/>
            <w:vAlign w:val="bottom"/>
          </w:tcPr>
          <w:p>
            <w:pPr>
              <w:spacing w:after="0"/>
              <w:rPr>
                <w:sz w:val="1"/>
                <w:szCs w:val="1"/>
                <w:color w:val="auto"/>
              </w:rPr>
            </w:pPr>
          </w:p>
        </w:tc>
      </w:tr>
      <w:tr>
        <w:trPr>
          <w:trHeight w:val="188"/>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1812 North Moore Street, Suite 2100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Timothy J. O’Shaughnessy</w:t>
            </w:r>
            <w:r>
              <w:rPr>
                <w:rFonts w:ascii="Times New Roman" w:cs="Times New Roman" w:eastAsia="Times New Roman" w:hAnsi="Times New Roman"/>
                <w:sz w:val="21"/>
                <w:szCs w:val="21"/>
                <w:color w:val="auto"/>
                <w:vertAlign w:val="superscript"/>
              </w:rPr>
              <w:t>(c)</w:t>
            </w:r>
          </w:p>
        </w:tc>
        <w:tc>
          <w:tcPr>
            <w:tcW w:w="12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54,126 (5.6%)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145,377 (4.1%)*</w:t>
            </w:r>
          </w:p>
        </w:tc>
        <w:tc>
          <w:tcPr>
            <w:tcW w:w="0" w:type="dxa"/>
            <w:vAlign w:val="bottom"/>
          </w:tcPr>
          <w:p>
            <w:pPr>
              <w:spacing w:after="0"/>
              <w:rPr>
                <w:sz w:val="1"/>
                <w:szCs w:val="1"/>
                <w:color w:val="auto"/>
              </w:rPr>
            </w:pPr>
          </w:p>
        </w:tc>
      </w:tr>
      <w:tr>
        <w:trPr>
          <w:trHeight w:val="193"/>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1812 North Moore Street, Suite 2100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60" w:type="dxa"/>
            <w:vAlign w:val="bottom"/>
            <w:gridSpan w:val="2"/>
          </w:tcPr>
          <w:p>
            <w:pPr>
              <w:spacing w:after="0" w:line="220" w:lineRule="exact"/>
              <w:rPr>
                <w:sz w:val="20"/>
                <w:szCs w:val="20"/>
                <w:color w:val="auto"/>
              </w:rPr>
            </w:pPr>
            <w:r>
              <w:rPr>
                <w:rFonts w:ascii="Times New Roman" w:cs="Times New Roman" w:eastAsia="Times New Roman" w:hAnsi="Times New Roman"/>
                <w:sz w:val="14"/>
                <w:szCs w:val="14"/>
                <w:color w:val="auto"/>
              </w:rPr>
              <w:t>Daniel L. Mosley</w:t>
            </w:r>
            <w:r>
              <w:rPr>
                <w:rFonts w:ascii="Times New Roman" w:cs="Times New Roman" w:eastAsia="Times New Roman" w:hAnsi="Times New Roman"/>
                <w:sz w:val="21"/>
                <w:szCs w:val="21"/>
                <w:color w:val="auto"/>
                <w:vertAlign w:val="superscript"/>
              </w:rPr>
              <w:t>(d)</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875,701 (90.8%)</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931,470 (21.8%)*</w:t>
            </w:r>
          </w:p>
        </w:tc>
        <w:tc>
          <w:tcPr>
            <w:tcW w:w="0" w:type="dxa"/>
            <w:vAlign w:val="bottom"/>
          </w:tcPr>
          <w:p>
            <w:pPr>
              <w:spacing w:after="0"/>
              <w:rPr>
                <w:sz w:val="1"/>
                <w:szCs w:val="1"/>
                <w:color w:val="auto"/>
              </w:rPr>
            </w:pPr>
          </w:p>
        </w:tc>
      </w:tr>
      <w:tr>
        <w:trPr>
          <w:trHeight w:val="188"/>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375 Ninth Avenue</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BlackRock, Inc.</w:t>
            </w:r>
            <w:r>
              <w:rPr>
                <w:rFonts w:ascii="Times New Roman" w:cs="Times New Roman" w:eastAsia="Times New Roman" w:hAnsi="Times New Roman"/>
                <w:sz w:val="21"/>
                <w:szCs w:val="21"/>
                <w:color w:val="auto"/>
                <w:vertAlign w:val="superscript"/>
              </w:rPr>
              <w:t>(e)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397,150 (11.7%)^</w:t>
            </w:r>
          </w:p>
        </w:tc>
        <w:tc>
          <w:tcPr>
            <w:tcW w:w="0" w:type="dxa"/>
            <w:vAlign w:val="bottom"/>
          </w:tcPr>
          <w:p>
            <w:pPr>
              <w:spacing w:after="0"/>
              <w:rPr>
                <w:sz w:val="1"/>
                <w:szCs w:val="1"/>
                <w:color w:val="auto"/>
              </w:rPr>
            </w:pPr>
          </w:p>
        </w:tc>
      </w:tr>
      <w:tr>
        <w:trPr>
          <w:trHeight w:val="193"/>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55 East 52nd Street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60" w:type="dxa"/>
            <w:vAlign w:val="bottom"/>
            <w:gridSpan w:val="2"/>
          </w:tcPr>
          <w:p>
            <w:pPr>
              <w:spacing w:after="0" w:line="220" w:lineRule="exact"/>
              <w:rPr>
                <w:sz w:val="20"/>
                <w:szCs w:val="20"/>
                <w:color w:val="auto"/>
              </w:rPr>
            </w:pPr>
            <w:r>
              <w:rPr>
                <w:rFonts w:ascii="Times New Roman" w:cs="Times New Roman" w:eastAsia="Times New Roman" w:hAnsi="Times New Roman"/>
                <w:sz w:val="14"/>
                <w:szCs w:val="14"/>
                <w:color w:val="auto"/>
              </w:rPr>
              <w:t>The Vanguard Group</w:t>
            </w:r>
            <w:r>
              <w:rPr>
                <w:rFonts w:ascii="Times New Roman" w:cs="Times New Roman" w:eastAsia="Times New Roman" w:hAnsi="Times New Roman"/>
                <w:sz w:val="21"/>
                <w:szCs w:val="21"/>
                <w:color w:val="auto"/>
                <w:vertAlign w:val="superscript"/>
              </w:rPr>
              <w:t>(f)</w:t>
            </w:r>
          </w:p>
        </w:tc>
        <w:tc>
          <w:tcPr>
            <w:tcW w:w="10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352,934 (10.09%)^</w:t>
            </w:r>
          </w:p>
        </w:tc>
        <w:tc>
          <w:tcPr>
            <w:tcW w:w="0" w:type="dxa"/>
            <w:vAlign w:val="bottom"/>
          </w:tcPr>
          <w:p>
            <w:pPr>
              <w:spacing w:after="0"/>
              <w:rPr>
                <w:sz w:val="1"/>
                <w:szCs w:val="1"/>
                <w:color w:val="auto"/>
              </w:rPr>
            </w:pPr>
          </w:p>
        </w:tc>
      </w:tr>
      <w:tr>
        <w:trPr>
          <w:trHeight w:val="188"/>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100 Vanguard Boulevard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Malvern, PA</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Dimensional Fund Advisors LP</w:t>
            </w:r>
            <w:r>
              <w:rPr>
                <w:rFonts w:ascii="Times New Roman" w:cs="Times New Roman" w:eastAsia="Times New Roman" w:hAnsi="Times New Roman"/>
                <w:sz w:val="21"/>
                <w:szCs w:val="21"/>
                <w:color w:val="auto"/>
                <w:vertAlign w:val="superscript"/>
              </w:rPr>
              <w:t>(g)</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237,617 (7%)^</w:t>
            </w:r>
          </w:p>
        </w:tc>
        <w:tc>
          <w:tcPr>
            <w:tcW w:w="0" w:type="dxa"/>
            <w:vAlign w:val="bottom"/>
          </w:tcPr>
          <w:p>
            <w:pPr>
              <w:spacing w:after="0"/>
              <w:rPr>
                <w:sz w:val="1"/>
                <w:szCs w:val="1"/>
                <w:color w:val="auto"/>
              </w:rPr>
            </w:pPr>
          </w:p>
        </w:tc>
      </w:tr>
      <w:tr>
        <w:trPr>
          <w:trHeight w:val="193"/>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6300 Bee Cave Road, Building 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Austin, TX</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60" w:type="dxa"/>
            <w:vAlign w:val="bottom"/>
            <w:gridSpan w:val="2"/>
          </w:tcPr>
          <w:p>
            <w:pPr>
              <w:spacing w:after="0" w:line="220" w:lineRule="exact"/>
              <w:rPr>
                <w:sz w:val="20"/>
                <w:szCs w:val="20"/>
                <w:color w:val="auto"/>
              </w:rPr>
            </w:pPr>
            <w:r>
              <w:rPr>
                <w:rFonts w:ascii="Times New Roman" w:cs="Times New Roman" w:eastAsia="Times New Roman" w:hAnsi="Times New Roman"/>
                <w:sz w:val="14"/>
                <w:szCs w:val="14"/>
                <w:color w:val="auto"/>
              </w:rPr>
              <w:t>Madison Avenue International LP</w:t>
            </w:r>
            <w:r>
              <w:rPr>
                <w:rFonts w:ascii="Times New Roman" w:cs="Times New Roman" w:eastAsia="Times New Roman" w:hAnsi="Times New Roman"/>
                <w:sz w:val="21"/>
                <w:szCs w:val="21"/>
                <w:color w:val="auto"/>
                <w:vertAlign w:val="superscript"/>
              </w:rPr>
              <w:t>(h)</w:t>
            </w:r>
          </w:p>
        </w:tc>
        <w:tc>
          <w:tcPr>
            <w:tcW w:w="10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223,226 (6.4%)^</w:t>
            </w:r>
          </w:p>
        </w:tc>
        <w:tc>
          <w:tcPr>
            <w:tcW w:w="0" w:type="dxa"/>
            <w:vAlign w:val="bottom"/>
          </w:tcPr>
          <w:p>
            <w:pPr>
              <w:spacing w:after="0"/>
              <w:rPr>
                <w:sz w:val="1"/>
                <w:szCs w:val="1"/>
                <w:color w:val="auto"/>
              </w:rPr>
            </w:pPr>
          </w:p>
        </w:tc>
      </w:tr>
      <w:tr>
        <w:trPr>
          <w:trHeight w:val="188"/>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150 East 58th St, 14th Fl</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0" w:lineRule="exact"/>
        <w:rPr>
          <w:sz w:val="20"/>
          <w:szCs w:val="20"/>
          <w:color w:val="auto"/>
        </w:rPr>
      </w:pPr>
    </w:p>
    <w:p>
      <w:pPr>
        <w:ind w:left="4" w:right="760" w:hanging="4"/>
        <w:spacing w:after="0" w:line="261" w:lineRule="auto"/>
        <w:tabs>
          <w:tab w:leader="none" w:pos="1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calculations set forth in this table, including footnotes, relating to percentage ownership of Class B Stock for Messrs. Graham, O’Shaughnessy, and Mosley and Mrs. O’Shaughnessy include shares of Class B Stock issuable upon conversion of shares of Class A Common Stock and the exercise of stock options (if any) held by such person.</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 Number of shares and the percentages of beneficial ownership are based solely on the applicable Schedule 13G filings referred to in the footnotes.</w:t>
      </w:r>
    </w:p>
    <w:p>
      <w:pPr>
        <w:spacing w:after="0" w:line="55" w:lineRule="exact"/>
        <w:rPr>
          <w:sz w:val="20"/>
          <w:szCs w:val="20"/>
          <w:color w:val="auto"/>
        </w:rPr>
      </w:pPr>
    </w:p>
    <w:p>
      <w:pPr>
        <w:ind w:left="424" w:right="140" w:hanging="424"/>
        <w:spacing w:after="0" w:line="236" w:lineRule="auto"/>
        <w:tabs>
          <w:tab w:leader="none" w:pos="4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2026, and available to the Company, Mr. Donald Graham has voting and investment power with respect to shares of Class A Stock as follows: sole voting and investment power, 325,864 (33.8%) shares, which includes 150,469 shares in a trust that Mr. Donald Graham has the power to amend or revoke and 175,395 shares in certain trusts for which Mr. Donald Graham is a co-trustee and can exercise a casting vote; and shared investment power, 212,830 (22.1%) shares, which excludes the previously referenced 175,395 shares, in certain trusts for which Mr. Donald Graham is a co-trustee.</w:t>
      </w:r>
    </w:p>
    <w:p>
      <w:pPr>
        <w:spacing w:after="0" w:line="28" w:lineRule="exact"/>
        <w:rPr>
          <w:sz w:val="20"/>
          <w:szCs w:val="20"/>
          <w:color w:val="auto"/>
        </w:rPr>
      </w:pPr>
    </w:p>
    <w:p>
      <w:pPr>
        <w:ind w:left="424" w:right="100" w:hanging="424"/>
        <w:spacing w:after="0" w:line="233" w:lineRule="auto"/>
        <w:tabs>
          <w:tab w:leader="none" w:pos="4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Graham also has voting and investment power with respect to shares of Class B Stock as follows: sole voting and investment power, 4,131 (less than 1%) shares which includes 3,087 shares in a trust that Mr. Donald Graham has the power to amend or revoke and 1,044 shares in certain trusts for which Mr. Donald Graham is a co-trustee and can exercise a casting vote; shared voting and investment power, 10,660 (less than 1%) shares, which excludes the previously referenced 1,044 shares in certain trusts for which Mr. Donald Graham is a co-trustee and can exercise a casting vote; and includes 60 shares held by Mr. Graham’s spouse; and 538,694 (13.7%) shares issuable upon conversion of shares of Class A Stock deemed to be beneficially owned by Mr. Graham.</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93" w:right="439" w:bottom="1440" w:gutter="0" w:footer="0" w:header="0"/>
        </w:sectPr>
      </w:pPr>
    </w:p>
    <w:bookmarkStart w:id="15" w:name="page16"/>
    <w:bookmarkEnd w:id="15"/>
    <w:p>
      <w:pPr>
        <w:ind w:left="424" w:right="300" w:hanging="424"/>
        <w:spacing w:after="0" w:line="229"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According to information as of February 1, 2026, including a Schedule 13D filed on June 7, 2024, Mrs. O’Shaughnessy has voting and investment power with respect to shares of Class A Stock as follows: shared voting power and investment power, 5,500 (less than 1%) shares; shared voting power, 143,079 (14.8%) shares held in trust for siblings of Mrs. O’Shaughnessy for which Mrs. O’Shaughnessy has voting control by virtue of a revocable voting proxy granted by Mr. Daniel Mosley, trustee; shared voting power, 48,626</w:t>
      </w:r>
    </w:p>
    <w:p>
      <w:pPr>
        <w:ind w:left="424"/>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shares held in trust for Mrs. O’Shaughnessy for which Mrs. O’Shaughnessy has voting control by virtue of a revocable proxy granted by Mr. Daniel Mosley, as trustee; and sole voting power, 212,830 (22.1%) shares held in trusts for the benefit of Mr. Donald Graham for which Mrs. O’Shaughnessy has voting control by virtue of a revocable proxy granted by Mr. Daniel Mosley and Mr. Donald Graham.</w:t>
      </w:r>
    </w:p>
    <w:p>
      <w:pPr>
        <w:spacing w:after="0" w:line="28" w:lineRule="exact"/>
        <w:rPr>
          <w:sz w:val="20"/>
          <w:szCs w:val="20"/>
          <w:color w:val="auto"/>
        </w:rPr>
      </w:pPr>
    </w:p>
    <w:p>
      <w:pPr>
        <w:jc w:val="both"/>
        <w:ind w:left="424" w:right="240" w:hanging="424"/>
        <w:spacing w:after="0" w:line="233"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Mrs. O’Shaughnessy also has voting and investment power with respect to shares of Class B Stock as follows: shared voting and investment power, 27,476 shares held jointly by Mrs. O’Shaughnessy and her spouse. The holdings of Class B Stock recorded for Mrs. O’Shaughnessy also includes 410,035 (10.8%) shares issuable upon conversion of shares of Class A Stock deemed to be beneficially owned by Mrs. O’Shaughnessy. The holdings of Class B Stock recorded for Mrs. O’Shaughnessy does not include (i) 5,600 (less than 1%) shares of Class B Stock held in trust for the benefit of Mrs. O’Shaughnessy or (ii) 58,167 shares of Class B Stock Mrs. O’Shaughnessy’s spouse has the right to purchase, pursuant to stock options, for each of which Mrs. O’Shaughnessy has no voting or investment power and expressly disclaims beneficial ownership.</w:t>
      </w:r>
    </w:p>
    <w:p>
      <w:pPr>
        <w:spacing w:after="0" w:line="29" w:lineRule="exact"/>
        <w:rPr>
          <w:sz w:val="20"/>
          <w:szCs w:val="20"/>
          <w:color w:val="auto"/>
        </w:rPr>
      </w:pPr>
    </w:p>
    <w:p>
      <w:pPr>
        <w:jc w:val="both"/>
        <w:ind w:left="424" w:right="380" w:hanging="424"/>
        <w:spacing w:after="0" w:line="241"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2026, and available to the Company, and a Schedule 13D/A filed on February 28, 2025, Mr. Timothy O’Shaughnessy has voting and investment power with respect to shares of Class A Stock as follows: shared voting and investment power, 5,500 (less than 1%) shares held by Mr. O’Shaughnessy’s spouse; and shared voting power, 48,626 (5.0%) shares held in a trust for Mr. O’Shaughnessy’s spouse.</w:t>
      </w:r>
    </w:p>
    <w:p>
      <w:pPr>
        <w:spacing w:after="0" w:line="28" w:lineRule="exact"/>
        <w:rPr>
          <w:sz w:val="20"/>
          <w:szCs w:val="20"/>
          <w:color w:val="auto"/>
        </w:rPr>
      </w:pPr>
    </w:p>
    <w:p>
      <w:pPr>
        <w:ind w:left="424" w:hanging="424"/>
        <w:spacing w:after="0" w:line="226" w:lineRule="auto"/>
        <w:tabs>
          <w:tab w:leader="none" w:pos="4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Mr. O’Shaughnessy also has voting and investment power with respect to shares of Class B Stock as follows: sole voting and investment power, 58,175 (1.7%) shares, which includes 58,167 (1.7%) shares Mr. O’Shaughnessy has the right to purchase, pursuant to stock options, and shares held indirectly through Mr. O’Shaughnessy’s Company 401(k) account; shared voting and investment power, 33,076 (less than 1%) shares, which includes 24,476 shares held jointly by Mr. O’Shaughnessy and his spouse and 5,600 shares held in trusts for the benefit of Mr. O’Shaughnessy’s spouse and children. Mr. O’Shaughnessy is a trustee but not a beneficiary of such trusts and disclaims beneficial ownership. The holdings of Class B Stock recorded for Mr. O’Shaughnessy also includes 54,126 (1.5%) shares issuable upon conversion of shares of Class A Stock deemed to be beneficially owned by</w:t>
      </w:r>
    </w:p>
    <w:p>
      <w:pPr>
        <w:ind w:left="42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O’Shaughnessy.</w:t>
      </w:r>
    </w:p>
    <w:p>
      <w:pPr>
        <w:spacing w:after="0" w:line="39" w:lineRule="exact"/>
        <w:rPr>
          <w:sz w:val="20"/>
          <w:szCs w:val="20"/>
          <w:color w:val="auto"/>
        </w:rPr>
      </w:pPr>
    </w:p>
    <w:p>
      <w:pPr>
        <w:ind w:left="424" w:right="60" w:hanging="424"/>
        <w:spacing w:after="0" w:line="233" w:lineRule="auto"/>
        <w:tabs>
          <w:tab w:leader="none" w:pos="4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2026, and available to the Company, Mr. Daniel Mosley, as a trustee of various trusts, has voting and investment power with respect to shares of Class A Stock as follows: sole voting and investment power, 110,830 (11.5%) shares; shared voting and investment power, 360,336 (37.4%) shares, which includes 150,469 shares in a trust for which Mr. Daniel Mosley is a co-trustee with Mr. Donald Graham and Mr. Donald Graham has the power to amend or revoke and 175,395 shares in certain trusts for which Mr. Daniel Mosley is a co-trustee with Mr. Donald Graham and Mr. Donald Graham can exercise a casting vote; sole investment power, 191,705 (19.9%) shares; and shared investment power, 212,830 (22.1%) shares.</w:t>
      </w:r>
    </w:p>
    <w:p>
      <w:pPr>
        <w:spacing w:after="0" w:line="29" w:lineRule="exact"/>
        <w:rPr>
          <w:sz w:val="20"/>
          <w:szCs w:val="20"/>
          <w:color w:val="auto"/>
        </w:rPr>
      </w:pPr>
    </w:p>
    <w:p>
      <w:pPr>
        <w:ind w:left="424" w:right="180" w:hanging="424"/>
        <w:spacing w:after="0" w:line="233" w:lineRule="auto"/>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Mr. Mosley has voting and investment power, with respect to shares of Class B Stock as follows: sole voting and investment power, 46,638 (1.1%) shares; shared voting and investment power, 9,131 (less than 1%) shares, which includes 3,087 shares in a trust for which Mr. Daniel Mosley is a co-trustee with Mr. Donald Graham and Mr. Donald Graham has the power to amend or revoke and 1,044 shares in certain trusts for which Mr. Daniel Mosley is a co-trustee with Mr. Donald Graham and Mr. Donald Graham can exercise a casting vote. The holdings of Class B Stock recorded for Mr. Mosley include 875,701 (20.5%) shares issuable upon conversion of shares of Class A Stock deemed to be beneficially owned by Mr. Mosley as a trustee of various trusts.</w:t>
      </w:r>
    </w:p>
    <w:p>
      <w:pPr>
        <w:spacing w:after="0" w:line="29" w:lineRule="exact"/>
        <w:rPr>
          <w:sz w:val="20"/>
          <w:szCs w:val="20"/>
          <w:color w:val="auto"/>
        </w:rPr>
      </w:pPr>
    </w:p>
    <w:p>
      <w:pPr>
        <w:ind w:left="424" w:right="40" w:hanging="424"/>
        <w:spacing w:after="0" w:line="241"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solely to a Schedule 13G/A filed on April 29, 2025, BlackRock, Inc. (“BlackRock”), a parent holding company or control person, was deemed to be the beneficial owner of 397,150 (11.7% , as reported solely in such filing) shares of Class B Stock. According to the Schedule 13G/A, BlackRock has sole voting power over 391,068 shares and sole dispositive power over 397,150 shares.</w:t>
      </w:r>
    </w:p>
    <w:p>
      <w:pPr>
        <w:spacing w:after="0" w:line="28"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solely to a Schedule 13G/A filed on March 11, 2024, The Vanguard Group (“Vanguard”), an investment adviser, was deemed to be the beneficial owner of 352,934</w:t>
      </w:r>
    </w:p>
    <w:p>
      <w:pPr>
        <w:spacing w:after="0" w:line="3" w:lineRule="exact"/>
        <w:rPr>
          <w:rFonts w:ascii="Times New Roman" w:cs="Times New Roman" w:eastAsia="Times New Roman" w:hAnsi="Times New Roman"/>
          <w:sz w:val="14"/>
          <w:szCs w:val="14"/>
          <w:color w:val="auto"/>
        </w:rPr>
      </w:pPr>
    </w:p>
    <w:p>
      <w:pPr>
        <w:ind w:left="424" w:right="4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(10.09%, as reported solely in such filing) shares of Class B Stock. According to the Schedule 13G/A, Vanguard has sole voting power over no shares, shared voting power over 3,515 shares, shared dispositive power over 7,404 shares, and sole dispositive power over 345,530 shares.</w:t>
      </w:r>
    </w:p>
    <w:p>
      <w:pPr>
        <w:spacing w:after="0" w:line="27" w:lineRule="exact"/>
        <w:rPr>
          <w:rFonts w:ascii="Times New Roman" w:cs="Times New Roman" w:eastAsia="Times New Roman" w:hAnsi="Times New Roman"/>
          <w:sz w:val="14"/>
          <w:szCs w:val="14"/>
          <w:color w:val="auto"/>
        </w:rPr>
      </w:pPr>
    </w:p>
    <w:p>
      <w:pPr>
        <w:ind w:left="424" w:hanging="424"/>
        <w:spacing w:after="0" w:line="241"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solely to a Schedule 13G/A filed on January 21, 2026, Dimensional Fund Advisors LP (“Dimensional Fund”), an investment adviser, was deemed to be the beneficial owner of 237,617 (7%, as reported solely in such filing) shares of Class B Stock. According to the Schedule 13G/A, Dimensional Fund has sole voting power over 233,172 shares and sole dispositive power over 237,617 shares.</w:t>
      </w:r>
    </w:p>
    <w:p>
      <w:pPr>
        <w:spacing w:after="0" w:line="28" w:lineRule="exact"/>
        <w:rPr>
          <w:rFonts w:ascii="Times New Roman" w:cs="Times New Roman" w:eastAsia="Times New Roman" w:hAnsi="Times New Roman"/>
          <w:sz w:val="14"/>
          <w:szCs w:val="14"/>
          <w:color w:val="auto"/>
        </w:rPr>
      </w:pPr>
    </w:p>
    <w:p>
      <w:pPr>
        <w:ind w:left="424" w:hanging="424"/>
        <w:spacing w:after="0" w:line="236"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solely to a Schedule 13G filed on May 30, 2024, Madison Avenue International LP (“Madison Avenue”), an investment adviser, was the beneficial owner of 223,226 (6.4%, as reported solely in such filing) shares of Class B Stock, and Madison Avenue Partners, LP, EMAI Management, LLC, Madison Avenue GP, LLC, Caraway Jackson Investments LLC and Eli Samaha may also be deemed to be the beneficial owner of such shares. According to the Schedule 13G, Madison Avenue, Madison Avenue Partners, LP, EMAI Management, LLC, Madison Avenue GP, LLC, Caraway Jackson Investments LLC and Eli Samaha hold shared voting power and shared dispositive power over 223,226 shares.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92" w:right="459" w:bottom="1440" w:gutter="0" w:footer="0" w:header="0"/>
        </w:sectPr>
      </w:pPr>
    </w:p>
    <w:bookmarkStart w:id="16" w:name="page17"/>
    <w:bookmarkEnd w:id="16"/>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table below, which is based on information furnished to the Company by its Directors and officers, shows as of February 1, 2026, for each person nominated for election as a Director, each named executive officer and for all Directors and executive officers of the Company as a group, the number of shares of each class of Common Stock “beneficially owned” (as defined in the Securities and Exchange Commission proxy rules) and, in the case of each nominee for election as a Director, the nature of such “beneficial ownership.” For the reasons set forth in the first paragraph of this section of the Proxy Statement, there is substantial duplication in the numbers of shares and percentages shown in the following table.</w:t>
      </w:r>
    </w:p>
    <w:p>
      <w:pPr>
        <w:spacing w:after="0" w:line="1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Holdings of Directors and Officers*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580" w:type="dxa"/>
            <w:vAlign w:val="bottom"/>
          </w:tcPr>
          <w:p>
            <w:pPr>
              <w:spacing w:after="0"/>
              <w:rPr>
                <w:sz w:val="15"/>
                <w:szCs w:val="15"/>
                <w:color w:val="auto"/>
              </w:rPr>
            </w:pPr>
          </w:p>
        </w:tc>
      </w:tr>
      <w:tr>
        <w:trPr>
          <w:trHeight w:val="142"/>
        </w:trPr>
        <w:tc>
          <w:tcPr>
            <w:tcW w:w="73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56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Class B</w:t>
            </w:r>
            <w:r>
              <w:rPr>
                <w:rFonts w:ascii="Times New Roman" w:cs="Times New Roman" w:eastAsia="Times New Roman" w:hAnsi="Times New Roman"/>
                <w:sz w:val="10"/>
                <w:szCs w:val="10"/>
                <w:b w:val="1"/>
                <w:bCs w:val="1"/>
                <w:color w:val="auto"/>
                <w:w w:val="99"/>
              </w:rPr>
              <w:t>(a)</w:t>
            </w:r>
          </w:p>
        </w:tc>
        <w:tc>
          <w:tcPr>
            <w:tcW w:w="580" w:type="dxa"/>
            <w:vAlign w:val="bottom"/>
            <w:tcBorders>
              <w:bottom w:val="single" w:sz="8" w:color="CCEEFF"/>
            </w:tcBorders>
          </w:tcPr>
          <w:p>
            <w:pPr>
              <w:spacing w:after="0"/>
              <w:rPr>
                <w:sz w:val="12"/>
                <w:szCs w:val="12"/>
                <w:color w:val="auto"/>
              </w:rPr>
            </w:pPr>
          </w:p>
        </w:tc>
      </w:tr>
      <w:tr>
        <w:trPr>
          <w:trHeight w:val="142"/>
        </w:trPr>
        <w:tc>
          <w:tcPr>
            <w:tcW w:w="7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Tony Allen^</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580" w:type="dxa"/>
            <w:vAlign w:val="bottom"/>
            <w:shd w:val="clear" w:color="auto" w:fill="CCEEFF"/>
          </w:tcPr>
          <w:p>
            <w:pPr>
              <w:jc w:val="right"/>
              <w:ind w:right="371"/>
              <w:spacing w:after="0" w:line="121" w:lineRule="exact"/>
              <w:rPr>
                <w:sz w:val="20"/>
                <w:szCs w:val="20"/>
                <w:color w:val="auto"/>
              </w:rPr>
            </w:pPr>
            <w:r>
              <w:rPr>
                <w:rFonts w:ascii="Times New Roman" w:cs="Times New Roman" w:eastAsia="Times New Roman" w:hAnsi="Times New Roman"/>
                <w:sz w:val="11"/>
                <w:szCs w:val="11"/>
                <w:color w:val="auto"/>
                <w:w w:val="93"/>
              </w:rPr>
              <w:t>(b)</w:t>
            </w:r>
          </w:p>
        </w:tc>
      </w:tr>
      <w:tr>
        <w:trPr>
          <w:trHeight w:val="148"/>
        </w:trPr>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Danielle Conley^</w:t>
            </w:r>
            <w:r>
              <w:rPr>
                <w:rFonts w:ascii="Times New Roman" w:cs="Times New Roman" w:eastAsia="Times New Roman" w:hAnsi="Times New Roman"/>
                <w:sz w:val="10"/>
                <w:szCs w:val="10"/>
                <w:color w:val="auto"/>
              </w:rPr>
              <w:t>(i)</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gridSpan w:val="2"/>
          </w:tcPr>
          <w:p>
            <w:pPr>
              <w:jc w:val="right"/>
              <w:ind w:right="371"/>
              <w:spacing w:after="0" w:line="149" w:lineRule="exact"/>
              <w:rPr>
                <w:sz w:val="20"/>
                <w:szCs w:val="20"/>
                <w:color w:val="auto"/>
              </w:rPr>
            </w:pPr>
            <w:r>
              <w:rPr>
                <w:rFonts w:ascii="Times New Roman" w:cs="Times New Roman" w:eastAsia="Times New Roman" w:hAnsi="Times New Roman"/>
                <w:sz w:val="14"/>
                <w:szCs w:val="14"/>
                <w:color w:val="auto"/>
              </w:rPr>
              <w:t>421</w:t>
            </w:r>
            <w:r>
              <w:rPr>
                <w:rFonts w:ascii="Times New Roman" w:cs="Times New Roman" w:eastAsia="Times New Roman" w:hAnsi="Times New Roman"/>
                <w:sz w:val="10"/>
                <w:szCs w:val="10"/>
                <w:color w:val="auto"/>
              </w:rPr>
              <w:t>(b)</w:t>
            </w:r>
          </w:p>
        </w:tc>
      </w:tr>
      <w:tr>
        <w:trPr>
          <w:trHeight w:val="148"/>
        </w:trPr>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Wallace R. Cooney</w:t>
            </w:r>
            <w:r>
              <w:rPr>
                <w:rFonts w:ascii="Times New Roman" w:cs="Times New Roman" w:eastAsia="Times New Roman" w:hAnsi="Times New Roman"/>
                <w:sz w:val="10"/>
                <w:szCs w:val="10"/>
                <w:color w:val="auto"/>
              </w:rPr>
              <w:t>+(c)</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71"/>
              <w:spacing w:after="0" w:line="149" w:lineRule="exact"/>
              <w:rPr>
                <w:sz w:val="20"/>
                <w:szCs w:val="20"/>
                <w:color w:val="auto"/>
              </w:rPr>
            </w:pPr>
            <w:r>
              <w:rPr>
                <w:rFonts w:ascii="Times New Roman" w:cs="Times New Roman" w:eastAsia="Times New Roman" w:hAnsi="Times New Roman"/>
                <w:sz w:val="14"/>
                <w:szCs w:val="14"/>
                <w:color w:val="auto"/>
              </w:rPr>
              <w:t>5,524</w:t>
            </w:r>
            <w:r>
              <w:rPr>
                <w:rFonts w:ascii="Times New Roman" w:cs="Times New Roman" w:eastAsia="Times New Roman" w:hAnsi="Times New Roman"/>
                <w:sz w:val="10"/>
                <w:szCs w:val="10"/>
                <w:color w:val="auto"/>
              </w:rPr>
              <w:t>(b)</w:t>
            </w:r>
          </w:p>
        </w:tc>
      </w:tr>
      <w:tr>
        <w:trPr>
          <w:trHeight w:val="148"/>
        </w:trPr>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Christopher C. Davis^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gridSpan w:val="2"/>
          </w:tcPr>
          <w:p>
            <w:pPr>
              <w:jc w:val="right"/>
              <w:ind w:right="371"/>
              <w:spacing w:after="0" w:line="149" w:lineRule="exact"/>
              <w:rPr>
                <w:sz w:val="20"/>
                <w:szCs w:val="20"/>
                <w:color w:val="auto"/>
              </w:rPr>
            </w:pPr>
            <w:r>
              <w:rPr>
                <w:rFonts w:ascii="Times New Roman" w:cs="Times New Roman" w:eastAsia="Times New Roman" w:hAnsi="Times New Roman"/>
                <w:sz w:val="14"/>
                <w:szCs w:val="14"/>
                <w:color w:val="auto"/>
              </w:rPr>
              <w:t>5,566</w:t>
            </w:r>
            <w:r>
              <w:rPr>
                <w:rFonts w:ascii="Times New Roman" w:cs="Times New Roman" w:eastAsia="Times New Roman" w:hAnsi="Times New Roman"/>
                <w:sz w:val="10"/>
                <w:szCs w:val="10"/>
                <w:color w:val="auto"/>
              </w:rPr>
              <w:t>(b)</w:t>
            </w:r>
          </w:p>
        </w:tc>
      </w:tr>
      <w:tr>
        <w:trPr>
          <w:trHeight w:val="149"/>
        </w:trPr>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Thomas S. Gayner^</w:t>
            </w:r>
            <w:r>
              <w:rPr>
                <w:rFonts w:ascii="Times New Roman" w:cs="Times New Roman" w:eastAsia="Times New Roman" w:hAnsi="Times New Roman"/>
                <w:sz w:val="10"/>
                <w:szCs w:val="10"/>
                <w:color w:val="auto"/>
              </w:rPr>
              <w:t>(d)</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71"/>
              <w:spacing w:after="0" w:line="149" w:lineRule="exact"/>
              <w:rPr>
                <w:sz w:val="20"/>
                <w:szCs w:val="20"/>
                <w:color w:val="auto"/>
              </w:rPr>
            </w:pPr>
            <w:r>
              <w:rPr>
                <w:rFonts w:ascii="Times New Roman" w:cs="Times New Roman" w:eastAsia="Times New Roman" w:hAnsi="Times New Roman"/>
                <w:sz w:val="14"/>
                <w:szCs w:val="14"/>
                <w:color w:val="auto"/>
              </w:rPr>
              <w:t>5,900</w:t>
            </w:r>
            <w:r>
              <w:rPr>
                <w:rFonts w:ascii="Times New Roman" w:cs="Times New Roman" w:eastAsia="Times New Roman" w:hAnsi="Times New Roman"/>
                <w:sz w:val="10"/>
                <w:szCs w:val="10"/>
                <w:color w:val="auto"/>
              </w:rPr>
              <w:t>(b)</w:t>
            </w:r>
          </w:p>
        </w:tc>
      </w:tr>
      <w:tr>
        <w:trPr>
          <w:trHeight w:val="148"/>
        </w:trPr>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Donald E. Graham^</w:t>
            </w:r>
            <w:r>
              <w:rPr>
                <w:rFonts w:ascii="Times New Roman" w:cs="Times New Roman" w:eastAsia="Times New Roman" w:hAnsi="Times New Roman"/>
                <w:sz w:val="10"/>
                <w:szCs w:val="10"/>
                <w:color w:val="auto"/>
              </w:rPr>
              <w:t>(e)</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538,694</w:t>
            </w:r>
          </w:p>
        </w:tc>
        <w:tc>
          <w:tcPr>
            <w:tcW w:w="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553,485</w:t>
            </w:r>
          </w:p>
        </w:tc>
        <w:tc>
          <w:tcPr>
            <w:tcW w:w="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(14.1%)</w:t>
            </w:r>
          </w:p>
        </w:tc>
      </w:tr>
      <w:tr>
        <w:trPr>
          <w:trHeight w:val="148"/>
        </w:trPr>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Jacob M. Maas</w:t>
            </w:r>
            <w:r>
              <w:rPr>
                <w:rFonts w:ascii="Times New Roman" w:cs="Times New Roman" w:eastAsia="Times New Roman" w:hAnsi="Times New Roman"/>
                <w:sz w:val="10"/>
                <w:szCs w:val="10"/>
                <w:color w:val="auto"/>
              </w:rPr>
              <w:t>+(f)</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71"/>
              <w:spacing w:after="0" w:line="149" w:lineRule="exact"/>
              <w:rPr>
                <w:sz w:val="20"/>
                <w:szCs w:val="20"/>
                <w:color w:val="auto"/>
              </w:rPr>
            </w:pPr>
            <w:r>
              <w:rPr>
                <w:rFonts w:ascii="Times New Roman" w:cs="Times New Roman" w:eastAsia="Times New Roman" w:hAnsi="Times New Roman"/>
                <w:sz w:val="14"/>
                <w:szCs w:val="14"/>
                <w:color w:val="auto"/>
              </w:rPr>
              <w:t>5,657</w:t>
            </w:r>
            <w:r>
              <w:rPr>
                <w:rFonts w:ascii="Times New Roman" w:cs="Times New Roman" w:eastAsia="Times New Roman" w:hAnsi="Times New Roman"/>
                <w:sz w:val="10"/>
                <w:szCs w:val="10"/>
                <w:color w:val="auto"/>
              </w:rPr>
              <w:t>(b)</w:t>
            </w:r>
          </w:p>
        </w:tc>
      </w:tr>
      <w:tr>
        <w:trPr>
          <w:trHeight w:val="148"/>
        </w:trPr>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Nicole M. Maddrey</w:t>
            </w:r>
            <w:r>
              <w:rPr>
                <w:rFonts w:ascii="Times New Roman" w:cs="Times New Roman" w:eastAsia="Times New Roman" w:hAnsi="Times New Roman"/>
                <w:sz w:val="10"/>
                <w:szCs w:val="10"/>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gridSpan w:val="2"/>
          </w:tcPr>
          <w:p>
            <w:pPr>
              <w:jc w:val="right"/>
              <w:ind w:right="371"/>
              <w:spacing w:after="0" w:line="149" w:lineRule="exact"/>
              <w:rPr>
                <w:sz w:val="20"/>
                <w:szCs w:val="20"/>
                <w:color w:val="auto"/>
              </w:rPr>
            </w:pPr>
            <w:r>
              <w:rPr>
                <w:rFonts w:ascii="Times New Roman" w:cs="Times New Roman" w:eastAsia="Times New Roman" w:hAnsi="Times New Roman"/>
                <w:sz w:val="14"/>
                <w:szCs w:val="14"/>
                <w:color w:val="auto"/>
              </w:rPr>
              <w:t>4,223</w:t>
            </w:r>
            <w:r>
              <w:rPr>
                <w:rFonts w:ascii="Times New Roman" w:cs="Times New Roman" w:eastAsia="Times New Roman" w:hAnsi="Times New Roman"/>
                <w:sz w:val="10"/>
                <w:szCs w:val="10"/>
                <w:color w:val="auto"/>
              </w:rPr>
              <w:t>(b)</w:t>
            </w:r>
          </w:p>
        </w:tc>
      </w:tr>
      <w:tr>
        <w:trPr>
          <w:trHeight w:val="148"/>
        </w:trPr>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Jack Markell^</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580" w:type="dxa"/>
            <w:vAlign w:val="bottom"/>
            <w:shd w:val="clear" w:color="auto" w:fill="CCEEFF"/>
          </w:tcPr>
          <w:p>
            <w:pPr>
              <w:spacing w:after="0"/>
              <w:rPr>
                <w:sz w:val="12"/>
                <w:szCs w:val="12"/>
                <w:color w:val="auto"/>
              </w:rPr>
            </w:pPr>
          </w:p>
        </w:tc>
      </w:tr>
      <w:tr>
        <w:trPr>
          <w:trHeight w:val="149"/>
        </w:trPr>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Anne M. Mulcahy^</w:t>
            </w:r>
            <w:r>
              <w:rPr>
                <w:rFonts w:ascii="Times New Roman" w:cs="Times New Roman" w:eastAsia="Times New Roman" w:hAnsi="Times New Roman"/>
                <w:sz w:val="10"/>
                <w:szCs w:val="10"/>
                <w:color w:val="auto"/>
              </w:rPr>
              <w:t>(i)</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gridSpan w:val="2"/>
          </w:tcPr>
          <w:p>
            <w:pPr>
              <w:jc w:val="right"/>
              <w:ind w:right="371"/>
              <w:spacing w:after="0" w:line="149" w:lineRule="exact"/>
              <w:rPr>
                <w:sz w:val="20"/>
                <w:szCs w:val="20"/>
                <w:color w:val="auto"/>
              </w:rPr>
            </w:pPr>
            <w:r>
              <w:rPr>
                <w:rFonts w:ascii="Times New Roman" w:cs="Times New Roman" w:eastAsia="Times New Roman" w:hAnsi="Times New Roman"/>
                <w:sz w:val="14"/>
                <w:szCs w:val="14"/>
                <w:color w:val="auto"/>
              </w:rPr>
              <w:t>714</w:t>
            </w:r>
            <w:r>
              <w:rPr>
                <w:rFonts w:ascii="Times New Roman" w:cs="Times New Roman" w:eastAsia="Times New Roman" w:hAnsi="Times New Roman"/>
                <w:sz w:val="10"/>
                <w:szCs w:val="10"/>
                <w:color w:val="auto"/>
              </w:rPr>
              <w:t>(b)</w:t>
            </w:r>
          </w:p>
        </w:tc>
      </w:tr>
      <w:tr>
        <w:trPr>
          <w:trHeight w:val="148"/>
        </w:trPr>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Timothy J. O’Shaughnessy^</w:t>
            </w:r>
            <w:r>
              <w:rPr>
                <w:rFonts w:ascii="Times New Roman" w:cs="Times New Roman" w:eastAsia="Times New Roman" w:hAnsi="Times New Roman"/>
                <w:sz w:val="10"/>
                <w:szCs w:val="10"/>
                <w:color w:val="auto"/>
              </w:rPr>
              <w:t>+(g)</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54,126</w:t>
            </w:r>
          </w:p>
        </w:tc>
        <w:tc>
          <w:tcPr>
            <w:tcW w:w="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145,377</w:t>
            </w:r>
          </w:p>
        </w:tc>
        <w:tc>
          <w:tcPr>
            <w:tcW w:w="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48"/>
        </w:trPr>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Andrew S. Rosen</w:t>
            </w:r>
            <w:r>
              <w:rPr>
                <w:rFonts w:ascii="Times New Roman" w:cs="Times New Roman" w:eastAsia="Times New Roman" w:hAnsi="Times New Roman"/>
                <w:sz w:val="10"/>
                <w:szCs w:val="10"/>
                <w:color w:val="auto"/>
              </w:rPr>
              <w:t>+(h)</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40,773</w:t>
            </w:r>
          </w:p>
        </w:tc>
        <w:tc>
          <w:tcPr>
            <w:tcW w:w="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(1.1%)</w:t>
            </w:r>
          </w:p>
        </w:tc>
      </w:tr>
      <w:tr>
        <w:trPr>
          <w:trHeight w:val="148"/>
        </w:trPr>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 Richard Wagoner, Jr.^</w:t>
            </w:r>
            <w:r>
              <w:rPr>
                <w:rFonts w:ascii="Times New Roman" w:cs="Times New Roman" w:eastAsia="Times New Roman" w:hAnsi="Times New Roman"/>
                <w:sz w:val="10"/>
                <w:szCs w:val="10"/>
                <w:color w:val="auto"/>
              </w:rPr>
              <w:t>(i)</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71"/>
              <w:spacing w:after="0" w:line="149" w:lineRule="exact"/>
              <w:rPr>
                <w:sz w:val="20"/>
                <w:szCs w:val="20"/>
                <w:color w:val="auto"/>
              </w:rPr>
            </w:pPr>
            <w:r>
              <w:rPr>
                <w:rFonts w:ascii="Times New Roman" w:cs="Times New Roman" w:eastAsia="Times New Roman" w:hAnsi="Times New Roman"/>
                <w:sz w:val="14"/>
                <w:szCs w:val="14"/>
                <w:color w:val="auto"/>
              </w:rPr>
              <w:t>1,510</w:t>
            </w:r>
            <w:r>
              <w:rPr>
                <w:rFonts w:ascii="Times New Roman" w:cs="Times New Roman" w:eastAsia="Times New Roman" w:hAnsi="Times New Roman"/>
                <w:sz w:val="10"/>
                <w:szCs w:val="10"/>
                <w:color w:val="auto"/>
              </w:rPr>
              <w:t>(b)</w:t>
            </w:r>
          </w:p>
        </w:tc>
      </w:tr>
      <w:tr>
        <w:trPr>
          <w:trHeight w:val="148"/>
        </w:trPr>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Katharine Weymouth^</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37,615</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(1.0%)</w:t>
            </w:r>
            <w:r>
              <w:rPr>
                <w:rFonts w:ascii="Times New Roman" w:cs="Times New Roman" w:eastAsia="Times New Roman" w:hAnsi="Times New Roman"/>
                <w:sz w:val="10"/>
                <w:szCs w:val="10"/>
                <w:color w:val="auto"/>
                <w:w w:val="99"/>
              </w:rPr>
              <w:t>(b)</w:t>
            </w:r>
          </w:p>
        </w:tc>
      </w:tr>
      <w:tr>
        <w:trPr>
          <w:trHeight w:val="149"/>
        </w:trPr>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All Directors and executive officers as a group, eliminating duplications (16 individuals)</w:t>
            </w:r>
            <w:r>
              <w:rPr>
                <w:rFonts w:ascii="Times New Roman" w:cs="Times New Roman" w:eastAsia="Times New Roman" w:hAnsi="Times New Roman"/>
                <w:sz w:val="10"/>
                <w:szCs w:val="10"/>
                <w:color w:val="auto"/>
              </w:rPr>
              <w:t>(j)</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628,020</w:t>
            </w:r>
          </w:p>
        </w:tc>
        <w:tc>
          <w:tcPr>
            <w:tcW w:w="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1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808,570</w:t>
            </w:r>
          </w:p>
        </w:tc>
        <w:tc>
          <w:tcPr>
            <w:tcW w:w="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 Unless otherwise indicated, the Directors and officers listed have sole voting and investment power with respect to such securities. None of the securities has been pledged as security.</w:t>
      </w:r>
    </w:p>
    <w:p>
      <w:pPr>
        <w:spacing w:after="0" w:line="109" w:lineRule="exact"/>
        <w:rPr>
          <w:sz w:val="20"/>
          <w:szCs w:val="20"/>
          <w:color w:val="auto"/>
        </w:rPr>
      </w:pPr>
    </w:p>
    <w:p>
      <w:pPr>
        <w:ind w:left="324" w:hanging="324"/>
        <w:spacing w:after="0"/>
        <w:tabs>
          <w:tab w:leader="none" w:pos="3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w:t>
      </w:r>
    </w:p>
    <w:p>
      <w:pPr>
        <w:spacing w:after="0" w:line="55" w:lineRule="exact"/>
        <w:rPr>
          <w:sz w:val="20"/>
          <w:szCs w:val="20"/>
          <w:color w:val="auto"/>
        </w:rPr>
      </w:pPr>
    </w:p>
    <w:p>
      <w:pPr>
        <w:ind w:left="324" w:hanging="324"/>
        <w:spacing w:after="0"/>
        <w:tabs>
          <w:tab w:leader="none" w:pos="32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Named Executive Officer</w:t>
      </w:r>
    </w:p>
    <w:p>
      <w:pPr>
        <w:spacing w:after="0" w:line="55" w:lineRule="exact"/>
        <w:rPr>
          <w:sz w:val="20"/>
          <w:szCs w:val="20"/>
          <w:color w:val="auto"/>
        </w:rPr>
      </w:pPr>
    </w:p>
    <w:p>
      <w:pPr>
        <w:ind w:left="324" w:right="600" w:hanging="324"/>
        <w:spacing w:after="0" w:line="261" w:lineRule="auto"/>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calculations set forth in this table relating to percentage ownership of Class B stock for Messrs. Graham and O’Shaughnessy include shares of Class B Stock issuable upon conversion of shares of Class A Common Stock.</w:t>
      </w:r>
    </w:p>
    <w:p>
      <w:pPr>
        <w:spacing w:after="0" w:line="14"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55"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2,000 shares of Class B Stock that Mr. Cooney has the right to purchase, pursuant to stock options.</w:t>
      </w:r>
    </w:p>
    <w:p>
      <w:pPr>
        <w:spacing w:after="0" w:line="55"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5,200 shares of Class B Stock held for the account of a number of beneficial owners in which Mr. Gayner disclaims beneficial ownership.</w:t>
      </w:r>
    </w:p>
    <w:p>
      <w:pPr>
        <w:spacing w:after="0" w:line="55"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(a) to the Table of “Principal Holders of Stock” on page 12 for more information.</w:t>
      </w:r>
    </w:p>
    <w:p>
      <w:pPr>
        <w:spacing w:after="0" w:line="55" w:lineRule="exact"/>
        <w:rPr>
          <w:rFonts w:ascii="Times New Roman" w:cs="Times New Roman" w:eastAsia="Times New Roman" w:hAnsi="Times New Roman"/>
          <w:sz w:val="14"/>
          <w:szCs w:val="14"/>
          <w:color w:val="auto"/>
        </w:rPr>
      </w:pPr>
    </w:p>
    <w:p>
      <w:pPr>
        <w:ind w:left="324" w:right="20" w:hanging="324"/>
        <w:spacing w:after="0" w:line="236" w:lineRule="auto"/>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1,000 restricted stock units granted to Mr. Maas that are subject to a price-based vesting condition because the condition may not necessarily be satisfied within 60 days of February 1, 2026. In addition, following satisfaction of such price-based condition, Mr. Maas is eligible for vesting of additional restricted stock units with respect to Class B shares in 1,000 share increments if additional price-based vesting conditions are met on or before December 31, 2027, which are also not reflected in the table above because the price-based vesting condition was not achieved as of February 1, 2026.</w:t>
      </w:r>
    </w:p>
    <w:p>
      <w:pPr>
        <w:spacing w:after="0" w:line="28"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(c) to the Table of “Principal Holders of Stock” on page 12 for more information.</w:t>
      </w:r>
    </w:p>
    <w:p>
      <w:pPr>
        <w:spacing w:after="0" w:line="55" w:lineRule="exact"/>
        <w:rPr>
          <w:rFonts w:ascii="Times New Roman" w:cs="Times New Roman" w:eastAsia="Times New Roman" w:hAnsi="Times New Roman"/>
          <w:sz w:val="14"/>
          <w:szCs w:val="14"/>
          <w:color w:val="auto"/>
        </w:rPr>
      </w:pPr>
    </w:p>
    <w:p>
      <w:pPr>
        <w:ind w:left="324" w:right="340" w:hanging="324"/>
        <w:spacing w:after="0" w:line="261" w:lineRule="auto"/>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 shares of Class B Common Stock held in a family trust. Mr. Rosen disclaims beneficial ownership of the securities held by the trust. In addition to the stock set forth above, Mr. Rosen holds 7,206 shares of Kaplan Inc. stock, which represents less than 1% of the total outstanding stock of Kaplan, Inc.</w:t>
      </w:r>
    </w:p>
    <w:p>
      <w:pPr>
        <w:spacing w:after="0" w:line="14"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are held in a revocable trust.</w:t>
      </w:r>
    </w:p>
    <w:p>
      <w:pPr>
        <w:spacing w:after="0" w:line="55" w:lineRule="exact"/>
        <w:rPr>
          <w:rFonts w:ascii="Times New Roman" w:cs="Times New Roman" w:eastAsia="Times New Roman" w:hAnsi="Times New Roman"/>
          <w:sz w:val="14"/>
          <w:szCs w:val="14"/>
          <w:color w:val="auto"/>
        </w:rPr>
      </w:pPr>
    </w:p>
    <w:p>
      <w:pPr>
        <w:ind w:left="324" w:right="80" w:hanging="324"/>
        <w:spacing w:after="0" w:line="261" w:lineRule="auto"/>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65,441 shares of Class B Stock, which Directors and executive officers have the right to purchase pursuant to stock options, and shares of restricted stock awarded to executive officers in accordance with the Graham Holdings Company Incentive Compensation Plan.</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2025 were made in a timely manner, except for a Form 4 filed on behalf of Tony Allen that was filed late on March 10, 2026, due to an administrative error.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97" w:right="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2: ADVISORY VOTE TO APPROVE 2025 COMPENSATION AWARDED TO NAMED EXECUTIVE OFFICERS</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2025. On May 4, 2023, the Company’s Class A Shareholders voted unanimously in favor of an annual, non-binding shareholder advisory vote on executive compensation and, in consideration of the outcome of the frequency vote, the Board determined to hold such advisory vote each year. The Company’s executive compensation program and compensation awarded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90"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compensation awarded to the Company’s named executive officers for 2025, as disclosed pursuant to the compensation disclosure rules of the SEC, including the Compensation Discussion and Analysis, the compensation tables, narrative discussion and related material included in this Proxy Statement, is hereby APPROVED.</w:t>
      </w:r>
    </w:p>
    <w:p>
      <w:pPr>
        <w:spacing w:after="0" w:line="171"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CLASS A SHAREHOLDERS VOTE “FOR” THE APPROVAL OF THE FOREGOING RESOLUTION.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93" w:right="4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0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Company’s executive compensation principles and programs, with a focus on the decisions of the Compensation Committee of the Board (the “Committee”) regarding 2025 compensation for the Company’s named executive officers. The named executive officers for 2025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Position with the Company</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Timothy J. O’Shaughnessy</w:t>
            </w:r>
          </w:p>
        </w:tc>
        <w:tc>
          <w:tcPr>
            <w:tcW w:w="560" w:type="dxa"/>
            <w:vAlign w:val="bottom"/>
            <w:vMerge w:val="continue"/>
          </w:tcPr>
          <w:p>
            <w:pPr>
              <w:spacing w:after="0"/>
              <w:rPr>
                <w:sz w:val="16"/>
                <w:szCs w:val="16"/>
                <w:color w:val="auto"/>
              </w:rPr>
            </w:pPr>
          </w:p>
        </w:tc>
        <w:tc>
          <w:tcPr>
            <w:tcW w:w="5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Wallace R. Cooney</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Senior Vice President–Finance and Chief Financial Officer</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M. Maas</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S. Rosen</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Chairman–Kaplan, Inc. and Executive Vice President–Graham Holdings Company</w:t>
            </w: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M. Maddrey</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Committee has responsibility for establishing and continually monitoring adherence to the Company’s compensation philosophy—a philosophy designed to attract, retain and motivate qualified, talented and diverse employees who are enthusiastic about the Company’s mission and culture. The Committee, which is composed entirely of independent Directors, is chaired by Anne M. Mulcahy and also includes Tony Allen and Katharine Weymouth, seeks to establish total compensation packages that are attractive to employees and based on performance goals established to increase value for shareholders by facilitating the long-term growth of the Company. The Committee considers both the Company’s short-term and long-term plans in determining compensation in order to motivate and reward management for achieving specific yearly goals and cumulative long-term goals, both of which are expected to enhance the long-term value of the Company. The Company has historically favored cash compensation over non-cash compensation, as the Committee believes that cash incentives provide more targeted rewards for specific performance. However, the Committee will select the method of compensation thought most likely to lead to achievement of the particular goal.</w:t>
      </w:r>
    </w:p>
    <w:p>
      <w:pPr>
        <w:spacing w:after="0" w:line="188"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The named executive officers receive an annual salary and participate in both performance-based annual bonus plans and cash-based Long-Term Incentive Plans (“LTIPs”) with durations of three years or more. In certain circumstances, named executive officers receive restricted stock and/or stock options, as determined by the Committee on an individual basis. Mr. Rosen also receives benefits pursuant to the Supplemental Executive Retirement Plan (the “SERP”), which was closed to new participants in December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Role and Responsibility</w:t>
      </w:r>
    </w:p>
    <w:p>
      <w:pPr>
        <w:spacing w:after="0" w:line="22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The Board has delegated to the Committee the responsibility of overseeing the administration of the Company’s compensation plans and the preparation of all related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and evaluates performance in light of these goals and objectives. The Committee also approves any incentive-based compensation plans under which the senior executives of the Company, including the named executive officers are compensated. Furthermore, the Committee reviews and makes recommendations to the Board with respect to any incentive compensation plans, including equity-based plans, to be adopted or submitted to the Company’s shareholders for approval. The Committee reviews the Company’s succession plans annually, including (i) the President and Chief Executive Officer’s recommendations as to a successor, should he become disabled or unable to perform his duties for an extended period of time, (ii) a dashboard outlining leadership talent assessments and succession planning for each of the businesses, and (iii) the Company’s efforts to develop management. The Committee also reviews the Company’s employee inclusion and retention initiatives.</w:t>
      </w:r>
    </w:p>
    <w:p>
      <w:pPr>
        <w:spacing w:after="0" w:line="194"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the authority to retain or terminate any compensation consultant used to assist in the evaluation of Director, President and Chief Executive Officer or senior management compensation and has sole authority to approve the consultant’s fees and other retention terms. The Committee also has the authority to obtain advice and assistance from internal or external legal, accounting or other advisers.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22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Mr. O’Shaughnessy, President and Chief Executive Officer, and Ms. Sandra Stonesifer, the Senior Vice President–Chief Human Resources and Administrative Officer and secretary of the Committee, attended all six Committee meetings in 2025.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93" w:right="459" w:bottom="1440" w:gutter="0" w:footer="0" w:header="0"/>
        </w:sectPr>
      </w:pPr>
    </w:p>
    <w:bookmarkStart w:id="19" w:name="page20"/>
    <w:bookmarkEnd w:id="19"/>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O’Shaughnessy and Ms. Stonesifer recommend to the Committee the size of each component of compensation for each of the executive officers (other than their own) and for all employees earning more than $750,000 in target annual cash compensation, inclusive of both annual base salary and bonus targets. Recommendations may be based on a discussion with the employee’s division head, a review of his or her performance and a comparison of any available compensation survey data for that position and geographic area. The Committee examines each of the suggested compensation actions and, in its sole discretion, may modify the recommended compensation to better reflect the goals of the Company. The Committee makes all compensation decisions for the executive officers of the Company and relevant employees, except with respect to any perquisites under $200,000 per named executive officer that may be approved by Mr. O’Shaughnessy (other than for himself).</w:t>
      </w:r>
    </w:p>
    <w:p>
      <w:pPr>
        <w:spacing w:after="0" w:line="189"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Mr. O’Shaughnessy and Ms. Stonesifer were not present during the portion of the Committee meetings when his or her compensation, as applicable, was discussed by the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229" w:lineRule="exact"/>
        <w:rPr>
          <w:sz w:val="20"/>
          <w:szCs w:val="20"/>
          <w:color w:val="auto"/>
        </w:rPr>
      </w:pPr>
    </w:p>
    <w:p>
      <w:pPr>
        <w:ind w:right="20" w:firstLine="991"/>
        <w:spacing w:after="0" w:line="270" w:lineRule="auto"/>
        <w:rPr>
          <w:sz w:val="20"/>
          <w:szCs w:val="20"/>
          <w:color w:val="auto"/>
        </w:rPr>
      </w:pPr>
      <w:r>
        <w:rPr>
          <w:rFonts w:ascii="Times New Roman" w:cs="Times New Roman" w:eastAsia="Times New Roman" w:hAnsi="Times New Roman"/>
          <w:sz w:val="17"/>
          <w:szCs w:val="17"/>
          <w:color w:val="auto"/>
        </w:rPr>
        <w:t>The Company adopts a holistic view on executive compensation. The Company compares its named executive officer salaries, annual bonuses and long-term incentives to those of companies in similar industries and with comparable revenues. While the Committee generally considers the compensation structures maintained by similarly situated companies, it does not target executive compensation at a certain level or percentage based upon other companies’ arrangements. At least once a year, the Committee evaluates the individual compensation of the Company’s senior executives (including the named executive officers). The Committee separately reviews the named executive officers’ compensation against market data provided by outside surveys or public information (such as the proxy filings of peer companies). In 2025, the Committee engaged Semler Brossy to assist in assessing an appropriate peer group. Semler Brossy used revenue as a key measure in the peer group evaluation. They noted that the Company’s revenue had grown significantly relative to multiple peers in the previous peer group, and thus recommended updates to the peer group. Several healthcare peers were included in the recommendation to factor in the Company’s expanding healthcare segment. In addition, the Committee reviewed a separate set of education industry peers. The Committee reviews peer groups on an annual basis. For 2025 the peer group consisted of the following companies: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840" w:type="dxa"/>
            <w:vAlign w:val="bottom"/>
            <w:tcBorders>
              <w:top w:val="single" w:sz="8" w:color="auto"/>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AdaptHealth Corp.</w:t>
            </w:r>
          </w:p>
        </w:tc>
        <w:tc>
          <w:tcPr>
            <w:tcW w:w="800" w:type="dxa"/>
            <w:vAlign w:val="bottom"/>
            <w:tcBorders>
              <w:top w:val="single" w:sz="8" w:color="auto"/>
              <w:right w:val="single" w:sz="8" w:color="auto"/>
            </w:tcBorders>
          </w:tcPr>
          <w:p>
            <w:pPr>
              <w:spacing w:after="0"/>
              <w:rPr>
                <w:sz w:val="21"/>
                <w:szCs w:val="21"/>
                <w:color w:val="auto"/>
              </w:rPr>
            </w:pPr>
          </w:p>
        </w:tc>
        <w:tc>
          <w:tcPr>
            <w:tcW w:w="5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Laureate Education, Inc.</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Adtalem Global Education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Oriental Education and Technology Group</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Altice USA,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News Corp.</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8"/>
              </w:rPr>
              <w:t>AMC Networks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Nexstar Media Group, Inc.</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American Public Education,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Option Care Health, Inc.</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Bright Horizons Family Solutions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Pearson plc</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8"/>
              </w:rPr>
              <w:t>Chegg,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Perdoceo Education Corp.</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Coursera,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Select Medical Holdings Corporation</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E.W. Scripps Company</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Sinclair, Inc.</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8"/>
              </w:rPr>
              <w:t>Gannett Company,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Stagwell Inc.</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Grand Canyon Education,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Strategic Education Inc.</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Gray Media,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Tegna Inc.</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8"/>
              </w:rPr>
              <w:t>iHeartMedia,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Times Company</w:t>
            </w: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40" w:type="dxa"/>
            <w:vAlign w:val="bottom"/>
            <w:tcBorders>
              <w:left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John Wiley &amp; Sons, Inc.</w:t>
            </w:r>
          </w:p>
        </w:tc>
        <w:tc>
          <w:tcPr>
            <w:tcW w:w="80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spacing w:after="0"/>
              <w:rPr>
                <w:sz w:val="19"/>
                <w:szCs w:val="19"/>
                <w:color w:val="auto"/>
              </w:rPr>
            </w:pPr>
          </w:p>
        </w:tc>
      </w:tr>
      <w:tr>
        <w:trPr>
          <w:trHeight w:val="22"/>
        </w:trPr>
        <w:tc>
          <w:tcPr>
            <w:tcW w:w="48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r>
        <w:trPr>
          <w:trHeight w:val="358"/>
        </w:trPr>
        <w:tc>
          <w:tcPr>
            <w:tcW w:w="48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40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Assessment of Compensation Program, Insider Trading, Recoupment and Hedging Policies</w:t>
      </w:r>
    </w:p>
    <w:p>
      <w:pPr>
        <w:spacing w:after="0" w:line="22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During 2025, the Committee met with Mr. O’Shaughnessy and Ms. Stonesifer to review and discuss the impact of the Company’s compensation programs on organizational risk. The Committee determined that the Company’s compensation programs have sufficient risk mitigation features in each of the plans and do not encourage or reward employees for taking excessive or unnecessary risk. The Committee believes that the Company’s compensation programs constitute an appropriate mix of short- and long-term incentive compensation that rewards employees while balancing risks through the delayed payment of long-term awards. As a result of the compensation risk review, the Committee determined that the overall risk of the Company’s compensation programs exposing the organization to unnecessary or excessive risks that threaten the value of the Company is low. The Company has adopted insider trading policies and procedures governing the purchase, sale, and other dispositions of the Company’s securities by the Company and its subsidiaries and the Company’s Directors, officers and employees that are reasonably designed to promote compliance with insider trading laws, rules and regulations, and applicable NYSE listing standards. The insider trading policy prohibits the Company’s Directors, officers, and employees from trading in the Company’s securities while in possession of material, nonpublic information. The insider trading policy also prohibits the Company from directly or indirectly trading in its own securities while in possession of material nonpublic information, unless such trading activity complies with all applicable securities laws. The Company’s insider trading policy also prohibits Directors and executive officers from engaging in hedging transactions with respect to the Company’s securities in order to hedge the economic risk of owning the Company’s securities and is intended to enhance the Company’s efforts at risk mitigation. The Company has a policy, administered by the Committee, that requires the recoupment or “clawback” from executive officers of incentive-based compensation that is based on the attainment of a financial reporting measure in the event of an accounting restatement in accordance with the requirements of the Dodd-Frank Act and NYSE listing requirements.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140" w:firstLine="991"/>
        <w:spacing w:after="0" w:line="290" w:lineRule="auto"/>
        <w:rPr>
          <w:sz w:val="20"/>
          <w:szCs w:val="20"/>
          <w:color w:val="auto"/>
        </w:rPr>
      </w:pPr>
      <w:r>
        <w:rPr>
          <w:rFonts w:ascii="Times New Roman" w:cs="Times New Roman" w:eastAsia="Times New Roman" w:hAnsi="Times New Roman"/>
          <w:sz w:val="17"/>
          <w:szCs w:val="17"/>
          <w:color w:val="auto"/>
        </w:rPr>
        <w:t>As described below, a significant portion of the Company’s executive compensation is linked directly to business unit and corporate performance and stock appreciation. The compensation package offered by the Company to its executive officers comprises the following components:</w:t>
      </w:r>
    </w:p>
    <w:p>
      <w:pPr>
        <w:ind w:left="2180" w:hanging="429"/>
        <w:spacing w:after="0"/>
        <w:tabs>
          <w:tab w:leader="none" w:pos="2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base salary;</w:t>
      </w:r>
    </w:p>
    <w:p>
      <w:pPr>
        <w:spacing w:after="0" w:line="49" w:lineRule="exact"/>
        <w:rPr>
          <w:rFonts w:ascii="Times New Roman" w:cs="Times New Roman" w:eastAsia="Times New Roman" w:hAnsi="Times New Roman"/>
          <w:sz w:val="18"/>
          <w:szCs w:val="18"/>
          <w:color w:val="auto"/>
        </w:rPr>
      </w:pPr>
    </w:p>
    <w:p>
      <w:pPr>
        <w:ind w:left="2180" w:hanging="429"/>
        <w:spacing w:after="0"/>
        <w:tabs>
          <w:tab w:leader="none" w:pos="2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 compensation in the form of performance-based annual bonuses;</w:t>
      </w:r>
    </w:p>
    <w:p>
      <w:pPr>
        <w:spacing w:after="0" w:line="49" w:lineRule="exact"/>
        <w:rPr>
          <w:rFonts w:ascii="Times New Roman" w:cs="Times New Roman" w:eastAsia="Times New Roman" w:hAnsi="Times New Roman"/>
          <w:sz w:val="18"/>
          <w:szCs w:val="18"/>
          <w:color w:val="auto"/>
        </w:rPr>
      </w:pPr>
    </w:p>
    <w:p>
      <w:pPr>
        <w:ind w:left="2180" w:hanging="429"/>
        <w:spacing w:after="0"/>
        <w:tabs>
          <w:tab w:leader="none" w:pos="2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cash incentive compensation, typically based on performance over three or more years;</w:t>
      </w:r>
    </w:p>
    <w:p>
      <w:pPr>
        <w:spacing w:after="0" w:line="49" w:lineRule="exact"/>
        <w:rPr>
          <w:rFonts w:ascii="Times New Roman" w:cs="Times New Roman" w:eastAsia="Times New Roman" w:hAnsi="Times New Roman"/>
          <w:sz w:val="18"/>
          <w:szCs w:val="18"/>
          <w:color w:val="auto"/>
        </w:rPr>
      </w:pPr>
    </w:p>
    <w:p>
      <w:pPr>
        <w:ind w:left="2180" w:right="40" w:hanging="429"/>
        <w:spacing w:after="0" w:line="273" w:lineRule="auto"/>
        <w:tabs>
          <w:tab w:leader="none" w:pos="2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equity-based incentive compensation in the form of restricted stock, restricted stock units and/or stock options; and</w:t>
      </w:r>
    </w:p>
    <w:p>
      <w:pPr>
        <w:spacing w:after="0" w:line="1" w:lineRule="exact"/>
        <w:rPr>
          <w:rFonts w:ascii="Times New Roman" w:cs="Times New Roman" w:eastAsia="Times New Roman" w:hAnsi="Times New Roman"/>
          <w:sz w:val="18"/>
          <w:szCs w:val="18"/>
          <w:color w:val="auto"/>
        </w:rPr>
      </w:pPr>
    </w:p>
    <w:p>
      <w:pPr>
        <w:ind w:left="2180" w:hanging="429"/>
        <w:spacing w:after="0"/>
        <w:tabs>
          <w:tab w:leader="none" w:pos="2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The Company pays the named executive officers base salaries to compensate them for services rendered during the fiscal year. Salaries for the named executive officers are based on their responsibilities, their prior experience and their recent performance and are evaluated against market data procured through outside surveys or publicly available information. Salaries for named executive officers are typically reviewed on a 24-month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 There were no changes in base salary from 2024 to 2025 for any of the named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2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The Company provides key employees, including named executive officers, with the opportunity to earn annual incentive compensation awards based on the Company’s and its business units’ financial performance compared to goals set immediately prior to or at the beginning of the year in which the award is to be earned. The payout upon the achievement of such goals is equal to a percentage of base salary, determined on an individual basis, taking into account the responsibilities, prior experience and recent performance of the relevant employee, and set at the beginning of the year. The 2025 target annual bonus award for each of the named executive officers, as a percentage of base salary, was as follows: Mr. O’Shaughnessy, 200%; Mr. Rosen, 100%; Mr. Cooney, 50%; Mr. Maas, 50%; and Ms. Maddrey, 40%. Mr. O’Shaughnessy’s annual bonus target increased from 100% in 2024 to 200% in 2025. The Committee increased Mr. O’Shaughnessy’s bonus target to 200% to better align with peer market data and reflect his strong leadership and contributions to the organization.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93" w:right="439" w:bottom="1440" w:gutter="0" w:footer="0" w:header="0"/>
        </w:sectPr>
      </w:pPr>
    </w:p>
    <w:bookmarkStart w:id="21" w:name="page22"/>
    <w:bookmarkEnd w:id="21"/>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2025, the total annual bonus formula for the named executive officers, except for Mr. Rosen, was based on a diluted earnings per share target for the Company because the Committee believed that such a goal would align the interests of shareholders and the named executive officers in growing the value of the Company. Potential payouts ranged from 0% to 200% of target, with a threshold achievement of 80% of the diluted earnings per share target necessary for any amounts to be paid (which would be paid at a threshold level of 50%), and the maximum potential payout available in the event 140% of the diluted earnings per share target is attained. The Committee believes that the targets are challenging, but achievable, as evidenced by the fact that payouts have been at or above target in two out of the past five years.</w:t>
      </w:r>
    </w:p>
    <w:p>
      <w:pPr>
        <w:spacing w:after="0" w:line="18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diluted earnings per share goal for 2025 was $42.42. In evaluating performance achievement, the actual results are subject to adjustment for certain items, to the extent that actual amounts for such items varied from those in the 2025 annual budget (whether to the detriment or the benefit of the Company). Specifically, these adjustments included deductions for a pension budget variance and unbudgeted net gains on marketable and other equity securities. These deductions were offset by unbudgeted goodwill and other long-lived asset impairment charges, losses on unbudgeted new acquisitions, investments and dispositions, foreign exchange losses, and a Kaplan stock compensation expense variance.</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In addition, the Committee exercised its discretion to exclude certain unusual and unbudgeted items, including (i) additions for an unbudgeted interest expense related to the fair value adjustment of the mandatorily redeemable noncontrolling interest at Graham Healthcare Group, unbudgeted interest expense and cost associated with a bond offering and revised credit facility, unbudgeted expenses related to an unfavorable income tax rate and unbudgeted costs at Dekko and Slate; and (ii) deductions for the favorable impact of unbudgeted gains, losses and impairments from equity and cost method investments, net. The Committee adjusted for these items as they do not relate to the regular operating results that are customarily considered by the Committee in determining bonus amounts. Page 52 of the Company’s 2025 Annual Report on Form 10-K, filed with the SEC on February 25, 2026, detailed $3.10 in diluted earnings per share additions, which comprise most of these discretionary items.</w:t>
      </w:r>
    </w:p>
    <w:p>
      <w:pPr>
        <w:spacing w:after="0" w:line="189" w:lineRule="exact"/>
        <w:rPr>
          <w:sz w:val="20"/>
          <w:szCs w:val="20"/>
          <w:color w:val="auto"/>
        </w:rPr>
      </w:pPr>
    </w:p>
    <w:p>
      <w:pPr>
        <w:ind w:right="420" w:firstLine="991"/>
        <w:spacing w:after="0" w:line="289" w:lineRule="auto"/>
        <w:rPr>
          <w:sz w:val="20"/>
          <w:szCs w:val="20"/>
          <w:color w:val="auto"/>
        </w:rPr>
      </w:pPr>
      <w:r>
        <w:rPr>
          <w:rFonts w:ascii="Times New Roman" w:cs="Times New Roman" w:eastAsia="Times New Roman" w:hAnsi="Times New Roman"/>
          <w:sz w:val="17"/>
          <w:szCs w:val="17"/>
          <w:color w:val="auto"/>
        </w:rPr>
        <w:t>Taking into account these adjustments, the Company’s 2025 diluted earnings per share, as adjusted for purposes of the bonus determination, was $44.84 (compared to reported diluted earnings per share of $66.47), resulting in the Company’s achievement of 105.7% of its earnings per share goal for 2025. As a result, the annual bonus payout was approximately 114% of target, based on the established annual formula.</w:t>
      </w:r>
    </w:p>
    <w:p>
      <w:pPr>
        <w:spacing w:after="0" w:line="158" w:lineRule="exact"/>
        <w:rPr>
          <w:sz w:val="20"/>
          <w:szCs w:val="20"/>
          <w:color w:val="auto"/>
        </w:rPr>
      </w:pPr>
    </w:p>
    <w:p>
      <w:pPr>
        <w:ind w:right="260" w:firstLine="991"/>
        <w:spacing w:after="0" w:line="270" w:lineRule="auto"/>
        <w:rPr>
          <w:sz w:val="20"/>
          <w:szCs w:val="20"/>
          <w:color w:val="auto"/>
        </w:rPr>
      </w:pPr>
      <w:r>
        <w:rPr>
          <w:rFonts w:ascii="Times New Roman" w:cs="Times New Roman" w:eastAsia="Times New Roman" w:hAnsi="Times New Roman"/>
          <w:sz w:val="17"/>
          <w:szCs w:val="17"/>
          <w:color w:val="auto"/>
        </w:rPr>
        <w:t>For Mr. Rosen, 25% of his bonus was based on Mr. Rosen’s performance of his responsibilities relating to Graham Holdings Company, with a potential payout of 0% to 200% of target, on the terms described above with respect to the other named executive officers, with the remaining 75% tied to Kaplan’s performance. For the portion tied to Kaplan’s performance, 80% was based on Kaplan’s enterprise operating income target of $138.2 million and 20% was based on Kaplan’s enterprise revenue target of $1,693 million. The potential payouts for the Kaplan components of</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Mr. Rosen’s bonus amount ranged from 0% to 200% of target, with a threshold achievement of 65% for the enterprise operating income target, and 90% for the enterprise revenue target. The maximum potential payouts were available upon achievement of 161% of the enterprise operating income target and 113% of the enterprise revenue target. When aggregating the potential payouts for all components of Mr. Rosen’s annual bonus, the potential payouts ranged from 0% to 193% of target. In calculating Kaplan’s enterprise operating income, on this basis, Kaplan achieved adjusted enterprise operating income of $165.9 million (adjusted for unbudgeted foreign exchange and new pension plan impact) versus a target of $138.2 million, or 120% achievement, which resulted in a 126% payout of the portion of Mr. Rosen’s bonus attributable to Kaplan’s enterprise operating income. Kaplan’s enterprise revenue totaled $1,723 million (adjusted for unbudgeted foreign exchange impact) versus a target of $1,693 million, or 102% achievement, which resulted in a 99% payout of Mr. Rosen’s bonus attributable to Kaplan’s enterprise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w:t>
      </w:r>
    </w:p>
    <w:p>
      <w:pPr>
        <w:spacing w:after="0" w:line="229"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To align the interests of the Company’s shareholders and management and to ensure that the full potential of an executive’s compensation package cannot be realized unless stock appreciation occurs over a number of years, the Company has granted awards under two equity plans, the 2012 Incentive Compensation Plan (the “Legacy Plan”) and the 2022 Incentive Compensation Plan (the “2022 Plan”). In granting individual equity awards, the Committee considers the estimated value of shares held by the employee, the level of contribution the employee has previously made and the potential of the employee to bring additional value to the Company. For restricted stock, the shares generally cliff vest at the conclusion of a four-year vesting period and do not have provisions providing for accelerated vesting. The named executive officers, excluding Mr. O’Shaughnessy, generally receive grants of restricted stock every other year. Restricted stock grants were made in January 2023, vesting in January 2027, and January 2025, vesting in January 2029. In connection with Mr. Maas’ promotion to executive vice president in 2022, he received a restricted stock unit award subject to price-based vesting conditions. Under the terms of the award, Mr. Maas will receive 1,000 shares of the Company’s Class B common stock if the Company’s closing</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97" w:right="479" w:bottom="1440" w:gutter="0" w:footer="0" w:header="0"/>
        </w:sectPr>
      </w:pPr>
    </w:p>
    <w:bookmarkStart w:id="22" w:name="page23"/>
    <w:bookmarkEnd w:id="2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share price meets or exceeds $700 per share for 90 consecutive calendar days and an additional 1,000 shares will vest following each incremental increase of $100 pre share (above $700) in the Company’s share price for 90 consecutive calendar days. Each target can only be achieved once through the award’s expiration date. The first tranche of Mr. Maas’ award vested in 2024 and the second and third tranches vested in 2025. The plan continues through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promote the attainment of specific long-term financial goals, the Company grants cash-based performance units (“Performance Units”).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goals relating to individual business units’ performance of the Company’s operating divisions are determined at the beginning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four-year award cycle, and the Committee believes that such goals are challenging, but achievable. Each Performance Unit has a target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and a maximum potential payout of $200. The payment of a total award to any individual at the end of an award cycle may not exceed $5 million.</w:t>
      </w:r>
    </w:p>
    <w:p>
      <w:pPr>
        <w:spacing w:after="0" w:line="20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For each cycle under a Performance Unit Plan, the Committee establishes a valuation formula within 90 days of the beginning of the cycle and no later than the completion of the first quarter of the cycle. At the end of the cycle, the unit value is calculated, based on application of the formula, and payments are made to named executive officers in the year following the cycle. The formula used to calculate the payouts is determined by a weighted combination of factors that relate to individual business unit performance of the Company’s operating divisions and, in all cases, subject to the discretion of the Committee. A new four-year cycle commences every two years, with the result that there are always two overlapping cycles in progress.</w:t>
      </w:r>
    </w:p>
    <w:p>
      <w:pPr>
        <w:spacing w:after="0" w:line="187"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At the end of 2025, Mr. O’Shaughnessy held 12,000 units in each cycle, Mr. Cooney held 6,500 units in the 2023- 2026 cycle and 7,800 units in the 2025-2028 cycle, Ms. Maddrey held 5,000 units in the 2023-2026 cycle and 6,000 units in the 2025-2028 cycle and Mr. Maas held 6,500 units in the 2023–2026 cycle and 7,800 units in the 2025-2028 cycle. Mr. Rosen does not participate in the Performance Unit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2026 Cycle</w:t>
      </w:r>
    </w:p>
    <w:p>
      <w:pPr>
        <w:spacing w:after="0" w:line="22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Awards under the 2023–2026 cycle are based on seven performance criteria: (1) Kaplan’s cumulative operating income excluding amortization of intangibles, pension service cost, Kaplan stock compensation and restructuring charges (up to 25% of the maximum payout); (2) the value of a Performance Unit under the Graham Media Group (“GMG”) valuation, as described below (up to 20% of the maximum payout); (3) cumulative operating income, excluding amortization of intangibles and pension service cost for Hoover, Dekko, Joyce and Forney (up to 10% of the maximum payout); (4) cumulative operating income excluding amortization of intangibles and pension service cost for the Healthcare Group (including equity in earnings of affiliates) (up to 15% of the maximum payout); (5) cumulative operating income excluding amortization of intangibles for Graham Automotive (excluding certain entities) (up to 10% of the maximum payout); (6) cumulative gross profit for Framebridge (up to 10% of the total maximum payout); and (7) cumulative operating income excluding amortization of intangibles for the Leaf Group, Clyde’s Restaurant Group, Code3, Decile, Slate, Foreign Policy, and Pinna, excluding any significant pension plan changes (up to 10% of the maximum payout). In February 2025, the Committee approved an amendment to the 2023-2026 Corporate Performance Unit Plan to include material acquisitions completed in the first half of the plan period, as well as an update to the manner in which GMG’s performance criteria is structured.</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For the 2023–2026 award cycle, the performance criteria related to GMG for the first three years of the plan–2023, 2024, and 2025–are based on three performance indicators: (1) 50% based on achieving operating income excluding retirement cost and credits, deferred compensation, and retransmission revenue and expense; (2) 25% based on net/net digital revenue (exclusive of programmatic) and new business goals; and (3) 25% based on achieving targeted net revenue growth (exclusive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97" w:right="459" w:bottom="1440" w:gutter="0" w:footer="0" w:header="0"/>
        </w:sectPr>
      </w:pPr>
    </w:p>
    <w:bookmarkStart w:id="23" w:name="page24"/>
    <w:bookmarkEnd w:id="23"/>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retransmission and political revenue/expense). For the last year of the plan, 2026, the performance criteria related to GMG will be based on four performance indicators: (1) 40% based on achieving operating income less retransmission revenue and network expense; (2) 20% based on achieving core revenue growth (defined by local and national less political and new business); (3) 20% based on achieving net/net digital revenue (exclusive of agency commission, programmatic, cost of goods sold, allowances, and bad debt); and (4) 20% based on achieving new net business goals (exclusive of agency commission, revenue share, allowances, and bad debt).</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2025-2028 Cycle</w:t>
      </w:r>
    </w:p>
    <w:p>
      <w:pPr>
        <w:spacing w:after="0" w:line="227"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Awards under the 2025–2028 cycle are based on seven performance criteria: (1) Kaplan’s cumulative operating income before amortization of intangibles, pension service cost, Kaplan stock compensation and restructuring charges (up to 30% of the maximum payout); (2) GMG’s cumulative operating income before amortization of intangibles and pension service cost (up to 15% of the maximum payout); (3) cumulative operating income before amortization of intangibles and pension service cost for Hoover, Dekko, Joyce, and Forney (up to 10% of the maximum payout); (4) cumulative operating income before amortization of intangibles and pension service cost for the Healthcare Group (including equity in earnings of affiliates) (up to 25% of the maximum payout); (5) cumulative operating income before amortization of intangibles for Graham Automotive (excluding certain entities) (up to 7.5% of the maximum payout); (6) cumulative gross profit for Framebridge (up to 7.5% of the total maximum payout); and</w:t>
      </w:r>
    </w:p>
    <w:p>
      <w:pPr>
        <w:spacing w:after="0" w:line="2" w:lineRule="exact"/>
        <w:rPr>
          <w:sz w:val="20"/>
          <w:szCs w:val="20"/>
          <w:color w:val="auto"/>
        </w:rPr>
      </w:pPr>
    </w:p>
    <w:p>
      <w:pPr>
        <w:ind w:left="4" w:right="260" w:hanging="4"/>
        <w:spacing w:after="0" w:line="260"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operating income before amortization of intangibles and pension service cost for the Clyde’s Restaurant Group, Society6, Saatchi Art, Code3, Decile, Slate, Supporting Cast, Foreign Policy, and City Cast (up to 5% of the maximum payout).</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Kaplan Long-Term Incentive Plans</w:t>
      </w:r>
    </w:p>
    <w:p>
      <w:pPr>
        <w:spacing w:after="0" w:line="229"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Mr. Rosen participates in the Kaplan Milestone Plan and was awarded 20% of the award pool. The award pool is based on separate awards for enterprise achievement of operating income milestones of $110 million, $120 million, $130 million, and $140 million in a single year, as adjusted for acquisitions and unexpected changes in capital expenditures, foreign exchange impact, and excluding restructuring costs, amortization of intangible assets, and impairments of long-lived assets. Award achievement is cumulative, and each target can only be achieved once. Service conditions in respect of 100% of the award will be satisfied when the respective operating income milestone is achieved in a year, and payouts will occur the following March. In 2025, Kaplan achieved adjusted enterprise operating income of $166.1 million (adjusted for milestone exchange rates), which surpassed the fourth adjusted milestone of $141 million. This resulted in a payout of Mr. Rosen’s fourth milestone award of $1.2 million. In addition, Mr. Rosen received an award of $622,005 for the unallocated pool generated by achieving all milestones.</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The Committee grants stock options only when a key employee has made a significant contribution to the Company and demonstrates the ability to make additional contributions. The options generally vest over six years and expire 10 years from the grant date. No stock options were granted to the Company’s named executive officers in 2025. The Company does not have a formal policy relating to the timing of equity grants, but in practice seeks to avoid granting awards proximate to the release of material nonpublic information.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Qualified Defined Contribution and Defined Benefit Plan</w:t>
      </w:r>
    </w:p>
    <w:p>
      <w:pPr>
        <w:spacing w:after="0" w:line="229"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Most employees of the Company, including certain named executive officers, are eligible to participate in the Company’s qualified defined contribution 401(k) savings plan and a defined benefit retirement plan. Benefits under these plans are determined on the basis of base salary only, exclusive of all bonuses, deferred compensation and other forms of remuneration.</w:t>
      </w:r>
    </w:p>
    <w:p>
      <w:pPr>
        <w:spacing w:after="0" w:line="176" w:lineRule="exact"/>
        <w:rPr>
          <w:sz w:val="20"/>
          <w:szCs w:val="20"/>
          <w:color w:val="auto"/>
        </w:rPr>
      </w:pPr>
    </w:p>
    <w:p>
      <w:pPr>
        <w:ind w:left="4" w:right="360" w:firstLine="991"/>
        <w:spacing w:after="0" w:line="254" w:lineRule="auto"/>
        <w:rPr>
          <w:sz w:val="20"/>
          <w:szCs w:val="20"/>
          <w:color w:val="auto"/>
        </w:rPr>
      </w:pPr>
      <w:r>
        <w:rPr>
          <w:rFonts w:ascii="Times New Roman" w:cs="Times New Roman" w:eastAsia="Times New Roman" w:hAnsi="Times New Roman"/>
          <w:sz w:val="18"/>
          <w:szCs w:val="18"/>
          <w:color w:val="auto"/>
        </w:rPr>
        <w:t>Effective January 2024, the Company consolidated most employer contributions into the Company Contribution Plan (“CC Plan”, formerly known as the Cash Balance Retirement Program (“CBRP”)). Eligible employees who were actively employed on or after January 1, 2024, participate in the CC Plan. This is a non-contributory defined benefit program expressed in the form of a hypothetical account balance that grows through monthly Company contribution credits and interest credits. Employees are eligible to participate in the CC Plan immediately upon hire, and pension benefits accrued under the CC Plan vest after one year of service or upon reaching age 65 while actively employed. The CC Plan replaces employer contributions employees may have previously received through the 401(k) savings plan, the CBRP, and the Secure Retirement Account (“SRA”) which closed on December 31, 2023. Eligible employees hired prior to September 1, 2009, will continue to participate in the “Graham Schedule” as described below while also receiving new benefits through the CC Plan.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97" w:right="459" w:bottom="1440" w:gutter="0" w:footer="0" w:header="0"/>
        </w:sectPr>
      </w:pPr>
    </w:p>
    <w:bookmarkStart w:id="24" w:name="page25"/>
    <w:bookmarkEnd w:id="24"/>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Prior to January 1, 2024, eligible employees hired or rehired by the Company on or after September 1, 2009, participated in the CBRP, now known as the CC Plan. Eligible employees who were actively employed on or after August 1, 2012, also participated in the SRA. The SRA was closed on December 31, 2023, and although employees no longer earn pay-based credits, they continue to earn monthly interest credits. Both the CC Plan and the SRA are non-contributory defined benefit programs with benefits expressed in the form of hypothetical account balances. The CC Plan grows through monthly company contribution credits and monthly interest credits. Eligible employees hired prior to September 1, 2009, including certain named executive officers who are vested and who begin to take their pension benefit at age 65 or whose age and years of service when added together equal 90 (the “Rule of 90”), receive an annual pension equal to 1.75% of their highest average 60-month base salary annualized up to the limits permitted by the Internal Revenue Code, minus Social Security-covered compensation multiplied by the appropriate Social Security offset percentage and early retirement factor, multiplied by the number of years of credited service under the Graham Holdings Retirement Benefits Schedule (“Graham Schedule”). Cash pension supplements are also provided to assist in the payment of retiree medical coverage. The annual cash pension supplement is equal to $200 multiplied by the number of years of credited service under the Graham Schedule. An additional temporary Pre-Age 65 pension supplement of $250 per month ($2,075 per month for those participants who have attained age 50 with five years of vesting service as of September 1, 2018) is provided to participants under the Graham Schedule who retire and commence benefit payment at or after age 55, but prior to age 65, and who had 10 years of vesting service at retirement. The temporary Pre-Age 65 supplement is discontinued when the retiree qualifies for Medicare (the month prior to the 65th birthday).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Supplemental Executive Retirement Plans</w:t>
      </w:r>
    </w:p>
    <w:p>
      <w:pPr>
        <w:spacing w:after="0" w:line="229"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The Company maintains an unfunded non-qualified supplemental executive retirement plan (“SERP”) that was designed to retain and recruit key executives. Mr. Rosen participates in the SERP. Participants in the SERP were selected by management as employees whom management most wanted to retain because of their superior performance and were approved for participation by the Committee. The Company closed the plan to new participants as of December 2015.</w:t>
      </w:r>
    </w:p>
    <w:p>
      <w:pPr>
        <w:spacing w:after="0" w:line="18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To offset limitations placed on the income that can be considered in the formulas of retirement plans and benefits that can be payable from the plans, the SERP provides a “supplemental retirement benefit.” In 2025, this benefit is calculated under the rules of the qualified defined benefit retirement plan, but without reference to such income and benefit limitations, and in the case of Mr. Rosen, includes compensation from annual bonuses in the calculation. In any instance in which a retiring executive’s supplemental retirement benefit exceeds the benefit payable by the qualified defined benefit plan or plans, the Company will pay the excess to him or her as a supplemental retirement benefit under the SERP. Benefits provided under the SRA (which was closed on December 31, 2023) are not covered by the SERP.</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SERP also provides tax-deferred accruals of amounts proportionate to the benefits available to non-highly compensated participants in the Company’s 401(k) savings plan, to the extent that such accruals exceed those under the Company’s basic plans because of the tax law limitations ($70,000 in 2025). At this point, Mr. Rosen is the only active participant and the plan is not open to new participants.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2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Company also maintains a Deferred Compensation Plan, which has been closed to new participants and new deferrals for existing participants since December 2015. Mr. Rosen participates in this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bonuses and certain long-term cash awards (including Performance Unit grants).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Severance Packages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O’Shaughnessy’s Agreement</w:t>
      </w:r>
    </w:p>
    <w:p>
      <w:pPr>
        <w:spacing w:after="0" w:line="22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Company entered into a letter agreement with Mr. O’Shaughnessy in October 2014 in connection with his becoming President of the Company. Mr. O’Shaughnessy’s letter agreement does not provide for any severance compensation or benefits. Under the terms of Mr. O’Shaughnessy’s letter agreement, and as consideration for the benefits provided in the agreement, 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97"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Mr. Rosen’s Agreement</w:t>
      </w:r>
    </w:p>
    <w:p>
      <w:pPr>
        <w:spacing w:after="0" w:line="229"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Company entered into a letter agreement with Mr. Rosen in April 2014 in connection with his becoming Chairman of Kaplan and Executive Vice President of the Company.</w:t>
      </w:r>
    </w:p>
    <w:p>
      <w:pPr>
        <w:spacing w:after="0" w:line="162"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 separation and release agreement that becomes irrevocable no later than 60 days following the date of his termination.</w:t>
      </w:r>
    </w:p>
    <w:p>
      <w:pPr>
        <w:spacing w:after="0" w:line="158"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Maas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Agreement</w:t>
      </w:r>
    </w:p>
    <w:p>
      <w:pPr>
        <w:spacing w:after="0" w:line="229" w:lineRule="exact"/>
        <w:rPr>
          <w:sz w:val="20"/>
          <w:szCs w:val="20"/>
          <w:color w:val="auto"/>
        </w:rPr>
      </w:pPr>
    </w:p>
    <w:p>
      <w:pPr>
        <w:jc w:val="both"/>
        <w:ind w:right="420" w:firstLine="991"/>
        <w:spacing w:after="0" w:line="266" w:lineRule="auto"/>
        <w:rPr>
          <w:sz w:val="20"/>
          <w:szCs w:val="20"/>
          <w:color w:val="auto"/>
        </w:rPr>
      </w:pPr>
      <w:r>
        <w:rPr>
          <w:rFonts w:ascii="Times New Roman" w:cs="Times New Roman" w:eastAsia="Times New Roman" w:hAnsi="Times New Roman"/>
          <w:sz w:val="18"/>
          <w:szCs w:val="18"/>
          <w:color w:val="auto"/>
        </w:rPr>
        <w:t>The Company entered into a letter agreement with Mr. Maas in August 2015 in connection with his becoming Senior Vice President– Planning and Development in the Corporate Office of Graham Holdings Company. Mr. Maas’ letter agreement does not provide for any severance compensation or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Shareholder Advisory Votes on Executive Compensation</w:t>
      </w:r>
    </w:p>
    <w:p>
      <w:pPr>
        <w:spacing w:after="0" w:line="22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At the 2025 Annual Meeting of Shareholders, the Company’s Class A Shareholders unanimously approved the overall 2024 compensation for its named executive officers, including the policies and practices related thereto. The Company believes this vote reflected Class A Shareholder approval of its pay-for-performance philosophy and the absence of pay practices that Class A Shareholders consider problematic. Accordingly, the Committee generally continued to apply the same principles in determining the amounts and types of executive compensation for 2025, as outlined in its compensation philosophy and framework. The Committee values the shareholder feedback provided through the vote and will consider the results of the vote, as well as future votes, in refining the development of the Company’s compensation program and goal setting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7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Anne M. Mulcahy, Chair</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Dr. Tony Allen</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Katharine Weymouth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93" w:right="459" w:bottom="1440" w:gutter="0" w:footer="0" w:header="0"/>
        </w:sectPr>
      </w:pPr>
    </w:p>
    <w:bookmarkStart w:id="26" w:name="page27"/>
    <w:bookmarkEnd w:id="2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shows the compensation paid by the Company during the most recent three years to our named executive officers.</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37"/>
        </w:trPr>
        <w:tc>
          <w:tcPr>
            <w:tcW w:w="4600" w:type="dxa"/>
            <w:vAlign w:val="bottom"/>
            <w:tcBorders>
              <w:top w:val="single" w:sz="8" w:color="auto"/>
              <w:left w:val="single" w:sz="8" w:color="auto"/>
              <w:right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104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72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7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7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00" w:type="dxa"/>
            <w:vAlign w:val="bottom"/>
            <w:tcBorders>
              <w:left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20" w:type="dxa"/>
            <w:vAlign w:val="bottom"/>
            <w:tcBorders>
              <w:right w:val="single" w:sz="8" w:color="auto"/>
            </w:tcBorders>
          </w:tcPr>
          <w:p>
            <w:pPr>
              <w:jc w:val="center"/>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Compen-</w:t>
            </w:r>
          </w:p>
        </w:tc>
        <w:tc>
          <w:tcPr>
            <w:tcW w:w="720" w:type="dxa"/>
            <w:vAlign w:val="bottom"/>
            <w:tcBorders>
              <w:right w:val="single" w:sz="8" w:color="auto"/>
            </w:tcBorders>
          </w:tcPr>
          <w:p>
            <w:pPr>
              <w:jc w:val="center"/>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00" w:type="dxa"/>
            <w:vAlign w:val="bottom"/>
            <w:tcBorders>
              <w:left w:val="single" w:sz="8" w:color="auto"/>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tcBorders>
              <w:right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2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2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sation</w:t>
            </w:r>
          </w:p>
        </w:tc>
        <w:tc>
          <w:tcPr>
            <w:tcW w:w="72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Compen-</w:t>
            </w:r>
          </w:p>
        </w:tc>
        <w:tc>
          <w:tcPr>
            <w:tcW w:w="840" w:type="dxa"/>
            <w:vAlign w:val="bottom"/>
            <w:tcBorders>
              <w:right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28"/>
        </w:trPr>
        <w:tc>
          <w:tcPr>
            <w:tcW w:w="4600" w:type="dxa"/>
            <w:vAlign w:val="bottom"/>
            <w:tcBorders>
              <w:left w:val="single" w:sz="8" w:color="auto"/>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(e)</w:t>
            </w:r>
          </w:p>
        </w:tc>
        <w:tc>
          <w:tcPr>
            <w:tcW w:w="5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Earnings ($)</w:t>
            </w:r>
          </w:p>
        </w:tc>
        <w:tc>
          <w:tcPr>
            <w:tcW w:w="720" w:type="dxa"/>
            <w:vAlign w:val="bottom"/>
            <w:tcBorders>
              <w:right w:val="single" w:sz="8" w:color="auto"/>
            </w:tcBorders>
          </w:tcPr>
          <w:p>
            <w:pPr>
              <w:jc w:val="center"/>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sation</w:t>
            </w: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00" w:type="dxa"/>
            <w:vAlign w:val="bottom"/>
            <w:tcBorders>
              <w:left w:val="single" w:sz="8" w:color="auto"/>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(a)</w:t>
            </w: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(b)</w:t>
            </w:r>
          </w:p>
        </w:tc>
        <w:tc>
          <w:tcPr>
            <w:tcW w:w="76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w:t>
            </w:r>
            <w:r>
              <w:rPr>
                <w:rFonts w:ascii="Times New Roman" w:cs="Times New Roman" w:eastAsia="Times New Roman" w:hAnsi="Times New Roman"/>
                <w:sz w:val="10"/>
                <w:szCs w:val="10"/>
                <w:b w:val="1"/>
                <w:bCs w:val="1"/>
                <w:color w:val="auto"/>
              </w:rPr>
              <w:t>(1)</w:t>
            </w:r>
          </w:p>
        </w:tc>
        <w:tc>
          <w:tcPr>
            <w:tcW w:w="52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(d)</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10"/>
                <w:szCs w:val="10"/>
                <w:b w:val="1"/>
                <w:bCs w:val="1"/>
                <w:color w:val="auto"/>
              </w:rPr>
              <w:t>(2)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(g)</w:t>
            </w:r>
            <w:r>
              <w:rPr>
                <w:rFonts w:ascii="Times New Roman" w:cs="Times New Roman" w:eastAsia="Times New Roman" w:hAnsi="Times New Roman"/>
                <w:sz w:val="10"/>
                <w:szCs w:val="10"/>
                <w:b w:val="1"/>
                <w:bCs w:val="1"/>
                <w:color w:val="auto"/>
              </w:rPr>
              <w:t>(3)</w:t>
            </w:r>
          </w:p>
        </w:tc>
        <w:tc>
          <w:tcPr>
            <w:tcW w:w="102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0"/>
                <w:szCs w:val="10"/>
                <w:b w:val="1"/>
                <w:bCs w:val="1"/>
                <w:color w:val="auto"/>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0"/>
                <w:szCs w:val="10"/>
                <w:b w:val="1"/>
                <w:bCs w:val="1"/>
                <w:color w:val="auto"/>
              </w:rPr>
              <w:t>(5)</w:t>
            </w:r>
          </w:p>
        </w:tc>
        <w:tc>
          <w:tcPr>
            <w:tcW w:w="840" w:type="dxa"/>
            <w:vAlign w:val="bottom"/>
            <w:tcBorders>
              <w:bottom w:val="single" w:sz="8" w:color="auto"/>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w:t>
            </w:r>
          </w:p>
        </w:tc>
        <w:tc>
          <w:tcPr>
            <w:tcW w:w="0" w:type="dxa"/>
            <w:vAlign w:val="bottom"/>
          </w:tcPr>
          <w:p>
            <w:pPr>
              <w:spacing w:after="0"/>
              <w:rPr>
                <w:sz w:val="1"/>
                <w:szCs w:val="1"/>
                <w:color w:val="auto"/>
              </w:rPr>
            </w:pPr>
          </w:p>
        </w:tc>
      </w:tr>
      <w:tr>
        <w:trPr>
          <w:trHeight w:val="188"/>
        </w:trPr>
        <w:tc>
          <w:tcPr>
            <w:tcW w:w="46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480" w:type="dxa"/>
            <w:vAlign w:val="bottom"/>
            <w:tcBorders>
              <w:right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7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2,728,475</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61,284</w:t>
            </w:r>
          </w:p>
        </w:tc>
        <w:tc>
          <w:tcPr>
            <w:tcW w:w="7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3,989,759</w:t>
            </w:r>
          </w:p>
        </w:tc>
        <w:tc>
          <w:tcPr>
            <w:tcW w:w="0" w:type="dxa"/>
            <w:vAlign w:val="bottom"/>
          </w:tcPr>
          <w:p>
            <w:pPr>
              <w:spacing w:after="0"/>
              <w:rPr>
                <w:sz w:val="1"/>
                <w:szCs w:val="1"/>
                <w:color w:val="auto"/>
              </w:rPr>
            </w:pPr>
          </w:p>
        </w:tc>
      </w:tr>
      <w:tr>
        <w:trPr>
          <w:trHeight w:val="193"/>
        </w:trPr>
        <w:tc>
          <w:tcPr>
            <w:tcW w:w="46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4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2,663,760</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51,487</w:t>
            </w:r>
          </w:p>
        </w:tc>
        <w:tc>
          <w:tcPr>
            <w:tcW w:w="7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3,915,247</w:t>
            </w:r>
          </w:p>
        </w:tc>
        <w:tc>
          <w:tcPr>
            <w:tcW w:w="0" w:type="dxa"/>
            <w:vAlign w:val="bottom"/>
          </w:tcPr>
          <w:p>
            <w:pPr>
              <w:spacing w:after="0"/>
              <w:rPr>
                <w:sz w:val="1"/>
                <w:szCs w:val="1"/>
                <w:color w:val="auto"/>
              </w:rPr>
            </w:pPr>
          </w:p>
        </w:tc>
      </w:tr>
      <w:tr>
        <w:trPr>
          <w:trHeight w:val="231"/>
        </w:trPr>
        <w:tc>
          <w:tcPr>
            <w:tcW w:w="460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900,000</w:t>
            </w:r>
          </w:p>
        </w:tc>
        <w:tc>
          <w:tcPr>
            <w:tcW w:w="5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843,574</w:t>
            </w:r>
          </w:p>
        </w:tc>
        <w:tc>
          <w:tcPr>
            <w:tcW w:w="10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34,382</w:t>
            </w:r>
          </w:p>
        </w:tc>
        <w:tc>
          <w:tcPr>
            <w:tcW w:w="7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3,300</w:t>
            </w:r>
          </w:p>
        </w:tc>
        <w:tc>
          <w:tcPr>
            <w:tcW w:w="84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1,781,256</w:t>
            </w:r>
          </w:p>
        </w:tc>
        <w:tc>
          <w:tcPr>
            <w:tcW w:w="0" w:type="dxa"/>
            <w:vAlign w:val="bottom"/>
          </w:tcPr>
          <w:p>
            <w:pPr>
              <w:spacing w:after="0"/>
              <w:rPr>
                <w:sz w:val="1"/>
                <w:szCs w:val="1"/>
                <w:color w:val="auto"/>
              </w:rPr>
            </w:pPr>
          </w:p>
        </w:tc>
      </w:tr>
      <w:tr>
        <w:trPr>
          <w:trHeight w:val="182"/>
        </w:trPr>
        <w:tc>
          <w:tcPr>
            <w:tcW w:w="46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480" w:type="dxa"/>
            <w:vAlign w:val="bottom"/>
            <w:tcBorders>
              <w:top w:val="single" w:sz="8" w:color="auto"/>
              <w:right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76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725,000</w:t>
            </w:r>
          </w:p>
        </w:tc>
        <w:tc>
          <w:tcPr>
            <w:tcW w:w="52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374,904</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412,113</w:t>
            </w:r>
          </w:p>
        </w:tc>
        <w:tc>
          <w:tcPr>
            <w:tcW w:w="102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258,662</w:t>
            </w:r>
          </w:p>
        </w:tc>
        <w:tc>
          <w:tcPr>
            <w:tcW w:w="72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7,531</w:t>
            </w:r>
          </w:p>
        </w:tc>
        <w:tc>
          <w:tcPr>
            <w:tcW w:w="84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1,778,210</w:t>
            </w:r>
          </w:p>
        </w:tc>
        <w:tc>
          <w:tcPr>
            <w:tcW w:w="0" w:type="dxa"/>
            <w:vAlign w:val="bottom"/>
          </w:tcPr>
          <w:p>
            <w:pPr>
              <w:spacing w:after="0"/>
              <w:rPr>
                <w:sz w:val="1"/>
                <w:szCs w:val="1"/>
                <w:color w:val="auto"/>
              </w:rPr>
            </w:pPr>
          </w:p>
        </w:tc>
      </w:tr>
      <w:tr>
        <w:trPr>
          <w:trHeight w:val="193"/>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Senior Vice President–Finance and Chief</w:t>
            </w:r>
          </w:p>
        </w:tc>
        <w:tc>
          <w:tcPr>
            <w:tcW w:w="480" w:type="dxa"/>
            <w:vAlign w:val="bottom"/>
            <w:tcBorders>
              <w:right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725,000</w:t>
            </w:r>
          </w:p>
        </w:tc>
        <w:tc>
          <w:tcPr>
            <w:tcW w:w="5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1,184,178</w:t>
            </w:r>
          </w:p>
        </w:tc>
        <w:tc>
          <w:tcPr>
            <w:tcW w:w="10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199,627</w:t>
            </w:r>
          </w:p>
        </w:tc>
        <w:tc>
          <w:tcPr>
            <w:tcW w:w="7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9,054</w:t>
            </w:r>
          </w:p>
        </w:tc>
        <w:tc>
          <w:tcPr>
            <w:tcW w:w="8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2,117,859</w:t>
            </w:r>
          </w:p>
        </w:tc>
        <w:tc>
          <w:tcPr>
            <w:tcW w:w="0" w:type="dxa"/>
            <w:vAlign w:val="bottom"/>
          </w:tcPr>
          <w:p>
            <w:pPr>
              <w:spacing w:after="0"/>
              <w:rPr>
                <w:sz w:val="1"/>
                <w:szCs w:val="1"/>
                <w:color w:val="auto"/>
              </w:rPr>
            </w:pPr>
          </w:p>
        </w:tc>
      </w:tr>
      <w:tr>
        <w:trPr>
          <w:trHeight w:val="203"/>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Financial Officer</w:t>
            </w:r>
          </w:p>
        </w:tc>
        <w:tc>
          <w:tcPr>
            <w:tcW w:w="480" w:type="dxa"/>
            <w:vAlign w:val="bottom"/>
            <w:tcBorders>
              <w:right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675,000</w:t>
            </w:r>
          </w:p>
        </w:tc>
        <w:tc>
          <w:tcPr>
            <w:tcW w:w="5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375,156</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316,340</w:t>
            </w:r>
          </w:p>
        </w:tc>
        <w:tc>
          <w:tcPr>
            <w:tcW w:w="10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171,097</w:t>
            </w:r>
          </w:p>
        </w:tc>
        <w:tc>
          <w:tcPr>
            <w:tcW w:w="7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11,986</w:t>
            </w:r>
          </w:p>
        </w:tc>
        <w:tc>
          <w:tcPr>
            <w:tcW w:w="8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1,549,579</w:t>
            </w:r>
          </w:p>
        </w:tc>
        <w:tc>
          <w:tcPr>
            <w:tcW w:w="0" w:type="dxa"/>
            <w:vAlign w:val="bottom"/>
          </w:tcPr>
          <w:p>
            <w:pPr>
              <w:spacing w:after="0"/>
              <w:rPr>
                <w:sz w:val="1"/>
                <w:szCs w:val="1"/>
                <w:color w:val="auto"/>
              </w:rPr>
            </w:pP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480" w:type="dxa"/>
            <w:vAlign w:val="bottom"/>
            <w:tcBorders>
              <w:right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7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374,904</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426,324</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48,084</w:t>
            </w:r>
          </w:p>
        </w:tc>
        <w:tc>
          <w:tcPr>
            <w:tcW w:w="7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7,531</w:t>
            </w:r>
          </w:p>
        </w:tc>
        <w:tc>
          <w:tcPr>
            <w:tcW w:w="84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1,606,843</w:t>
            </w:r>
          </w:p>
        </w:tc>
        <w:tc>
          <w:tcPr>
            <w:tcW w:w="0" w:type="dxa"/>
            <w:vAlign w:val="bottom"/>
          </w:tcPr>
          <w:p>
            <w:pPr>
              <w:spacing w:after="0"/>
              <w:rPr>
                <w:sz w:val="1"/>
                <w:szCs w:val="1"/>
                <w:color w:val="auto"/>
              </w:rPr>
            </w:pPr>
          </w:p>
        </w:tc>
      </w:tr>
      <w:tr>
        <w:trPr>
          <w:trHeight w:val="193"/>
        </w:trPr>
        <w:tc>
          <w:tcPr>
            <w:tcW w:w="46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Executive Vice President</w:t>
            </w:r>
          </w:p>
        </w:tc>
        <w:tc>
          <w:tcPr>
            <w:tcW w:w="4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997,425</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46,406</w:t>
            </w:r>
          </w:p>
        </w:tc>
        <w:tc>
          <w:tcPr>
            <w:tcW w:w="7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9,054</w:t>
            </w:r>
          </w:p>
        </w:tc>
        <w:tc>
          <w:tcPr>
            <w:tcW w:w="84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1,802,885</w:t>
            </w:r>
          </w:p>
        </w:tc>
        <w:tc>
          <w:tcPr>
            <w:tcW w:w="0" w:type="dxa"/>
            <w:vAlign w:val="bottom"/>
          </w:tcPr>
          <w:p>
            <w:pPr>
              <w:spacing w:after="0"/>
              <w:rPr>
                <w:sz w:val="1"/>
                <w:szCs w:val="1"/>
                <w:color w:val="auto"/>
              </w:rPr>
            </w:pPr>
          </w:p>
        </w:tc>
      </w:tr>
      <w:tr>
        <w:trPr>
          <w:trHeight w:val="231"/>
        </w:trPr>
        <w:tc>
          <w:tcPr>
            <w:tcW w:w="460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5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375,156</w:t>
            </w:r>
          </w:p>
        </w:tc>
        <w:tc>
          <w:tcPr>
            <w:tcW w:w="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328,056</w:t>
            </w:r>
          </w:p>
        </w:tc>
        <w:tc>
          <w:tcPr>
            <w:tcW w:w="10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32,847</w:t>
            </w:r>
          </w:p>
        </w:tc>
        <w:tc>
          <w:tcPr>
            <w:tcW w:w="7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11,986</w:t>
            </w:r>
          </w:p>
        </w:tc>
        <w:tc>
          <w:tcPr>
            <w:tcW w:w="84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1,448,045</w:t>
            </w:r>
          </w:p>
        </w:tc>
        <w:tc>
          <w:tcPr>
            <w:tcW w:w="0" w:type="dxa"/>
            <w:vAlign w:val="bottom"/>
          </w:tcPr>
          <w:p>
            <w:pPr>
              <w:spacing w:after="0"/>
              <w:rPr>
                <w:sz w:val="1"/>
                <w:szCs w:val="1"/>
                <w:color w:val="auto"/>
              </w:rPr>
            </w:pPr>
          </w:p>
        </w:tc>
      </w:tr>
      <w:tr>
        <w:trPr>
          <w:trHeight w:val="182"/>
        </w:trPr>
        <w:tc>
          <w:tcPr>
            <w:tcW w:w="46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480" w:type="dxa"/>
            <w:vAlign w:val="bottom"/>
            <w:tcBorders>
              <w:top w:val="single" w:sz="8" w:color="auto"/>
              <w:right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76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2,000,000</w:t>
            </w:r>
          </w:p>
        </w:tc>
        <w:tc>
          <w:tcPr>
            <w:tcW w:w="52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299,923</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4,200,608</w:t>
            </w:r>
          </w:p>
        </w:tc>
        <w:tc>
          <w:tcPr>
            <w:tcW w:w="102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6,738,381</w:t>
            </w:r>
          </w:p>
        </w:tc>
        <w:tc>
          <w:tcPr>
            <w:tcW w:w="72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6,026</w:t>
            </w:r>
          </w:p>
        </w:tc>
        <w:tc>
          <w:tcPr>
            <w:tcW w:w="84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13,244,938</w:t>
            </w:r>
          </w:p>
        </w:tc>
        <w:tc>
          <w:tcPr>
            <w:tcW w:w="0" w:type="dxa"/>
            <w:vAlign w:val="bottom"/>
          </w:tcPr>
          <w:p>
            <w:pPr>
              <w:spacing w:after="0"/>
              <w:rPr>
                <w:sz w:val="1"/>
                <w:szCs w:val="1"/>
                <w:color w:val="auto"/>
              </w:rPr>
            </w:pPr>
          </w:p>
        </w:tc>
      </w:tr>
      <w:tr>
        <w:trPr>
          <w:trHeight w:val="193"/>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Chairman–Kaplan Inc. and Executive</w:t>
            </w:r>
          </w:p>
        </w:tc>
        <w:tc>
          <w:tcPr>
            <w:tcW w:w="480" w:type="dxa"/>
            <w:vAlign w:val="bottom"/>
            <w:tcBorders>
              <w:right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2,000,000</w:t>
            </w:r>
          </w:p>
        </w:tc>
        <w:tc>
          <w:tcPr>
            <w:tcW w:w="5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4,438,786</w:t>
            </w:r>
          </w:p>
        </w:tc>
        <w:tc>
          <w:tcPr>
            <w:tcW w:w="10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475,042</w:t>
            </w:r>
          </w:p>
        </w:tc>
        <w:tc>
          <w:tcPr>
            <w:tcW w:w="7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7,245</w:t>
            </w:r>
          </w:p>
        </w:tc>
        <w:tc>
          <w:tcPr>
            <w:tcW w:w="8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6,921,073</w:t>
            </w:r>
          </w:p>
        </w:tc>
        <w:tc>
          <w:tcPr>
            <w:tcW w:w="0" w:type="dxa"/>
            <w:vAlign w:val="bottom"/>
          </w:tcPr>
          <w:p>
            <w:pPr>
              <w:spacing w:after="0"/>
              <w:rPr>
                <w:sz w:val="1"/>
                <w:szCs w:val="1"/>
                <w:color w:val="auto"/>
              </w:rPr>
            </w:pPr>
          </w:p>
        </w:tc>
      </w:tr>
      <w:tr>
        <w:trPr>
          <w:trHeight w:val="203"/>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Vice President–Graham Holdings Co.</w:t>
            </w:r>
          </w:p>
        </w:tc>
        <w:tc>
          <w:tcPr>
            <w:tcW w:w="480" w:type="dxa"/>
            <w:vAlign w:val="bottom"/>
            <w:tcBorders>
              <w:right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1,625,000</w:t>
            </w:r>
          </w:p>
        </w:tc>
        <w:tc>
          <w:tcPr>
            <w:tcW w:w="5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300,247</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3,182,007</w:t>
            </w:r>
          </w:p>
        </w:tc>
        <w:tc>
          <w:tcPr>
            <w:tcW w:w="10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1,188,072</w:t>
            </w:r>
          </w:p>
        </w:tc>
        <w:tc>
          <w:tcPr>
            <w:tcW w:w="72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49,100</w:t>
            </w:r>
          </w:p>
        </w:tc>
        <w:tc>
          <w:tcPr>
            <w:tcW w:w="8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6,344,426</w:t>
            </w:r>
          </w:p>
        </w:tc>
        <w:tc>
          <w:tcPr>
            <w:tcW w:w="0" w:type="dxa"/>
            <w:vAlign w:val="bottom"/>
          </w:tcPr>
          <w:p>
            <w:pPr>
              <w:spacing w:after="0"/>
              <w:rPr>
                <w:sz w:val="1"/>
                <w:szCs w:val="1"/>
                <w:color w:val="auto"/>
              </w:rPr>
            </w:pP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480" w:type="dxa"/>
            <w:vAlign w:val="bottom"/>
            <w:tcBorders>
              <w:right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7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349,620</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318,322</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197,972</w:t>
            </w:r>
          </w:p>
        </w:tc>
        <w:tc>
          <w:tcPr>
            <w:tcW w:w="7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7,027</w:t>
            </w:r>
          </w:p>
        </w:tc>
        <w:tc>
          <w:tcPr>
            <w:tcW w:w="84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1,572,941</w:t>
            </w:r>
          </w:p>
        </w:tc>
        <w:tc>
          <w:tcPr>
            <w:tcW w:w="0" w:type="dxa"/>
            <w:vAlign w:val="bottom"/>
          </w:tcPr>
          <w:p>
            <w:pPr>
              <w:spacing w:after="0"/>
              <w:rPr>
                <w:sz w:val="1"/>
                <w:szCs w:val="1"/>
                <w:color w:val="auto"/>
              </w:rPr>
            </w:pPr>
          </w:p>
        </w:tc>
      </w:tr>
      <w:tr>
        <w:trPr>
          <w:trHeight w:val="193"/>
        </w:trPr>
        <w:tc>
          <w:tcPr>
            <w:tcW w:w="46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Senior Vice President, General Counsel</w:t>
            </w:r>
          </w:p>
        </w:tc>
        <w:tc>
          <w:tcPr>
            <w:tcW w:w="4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5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911,944</w:t>
            </w: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139,647</w:t>
            </w:r>
          </w:p>
        </w:tc>
        <w:tc>
          <w:tcPr>
            <w:tcW w:w="72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8,063</w:t>
            </w:r>
          </w:p>
        </w:tc>
        <w:tc>
          <w:tcPr>
            <w:tcW w:w="84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1,759,654</w:t>
            </w:r>
          </w:p>
        </w:tc>
        <w:tc>
          <w:tcPr>
            <w:tcW w:w="0" w:type="dxa"/>
            <w:vAlign w:val="bottom"/>
          </w:tcPr>
          <w:p>
            <w:pPr>
              <w:spacing w:after="0"/>
              <w:rPr>
                <w:sz w:val="1"/>
                <w:szCs w:val="1"/>
                <w:color w:val="auto"/>
              </w:rPr>
            </w:pPr>
          </w:p>
        </w:tc>
      </w:tr>
      <w:tr>
        <w:trPr>
          <w:trHeight w:val="206"/>
        </w:trPr>
        <w:tc>
          <w:tcPr>
            <w:tcW w:w="46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 Secretary</w:t>
            </w:r>
          </w:p>
        </w:tc>
        <w:tc>
          <w:tcPr>
            <w:tcW w:w="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650,000</w:t>
            </w:r>
          </w:p>
        </w:tc>
        <w:tc>
          <w:tcPr>
            <w:tcW w:w="5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350,187</w:t>
            </w:r>
          </w:p>
        </w:tc>
        <w:tc>
          <w:tcPr>
            <w:tcW w:w="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243,699</w:t>
            </w:r>
          </w:p>
        </w:tc>
        <w:tc>
          <w:tcPr>
            <w:tcW w:w="10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140,573</w:t>
            </w:r>
          </w:p>
        </w:tc>
        <w:tc>
          <w:tcPr>
            <w:tcW w:w="72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11,035</w:t>
            </w:r>
          </w:p>
        </w:tc>
        <w:tc>
          <w:tcPr>
            <w:tcW w:w="84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1,395,494</w:t>
            </w:r>
          </w:p>
        </w:tc>
        <w:tc>
          <w:tcPr>
            <w:tcW w:w="0" w:type="dxa"/>
            <w:vAlign w:val="bottom"/>
          </w:tcPr>
          <w:p>
            <w:pPr>
              <w:spacing w:after="0"/>
              <w:rPr>
                <w:sz w:val="1"/>
                <w:szCs w:val="1"/>
                <w:color w:val="auto"/>
              </w:rPr>
            </w:pPr>
          </w:p>
        </w:tc>
      </w:tr>
      <w:tr>
        <w:trPr>
          <w:trHeight w:val="20"/>
        </w:trPr>
        <w:tc>
          <w:tcPr>
            <w:tcW w:w="46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base salary earned for each of the named executive officers.</w:t>
      </w:r>
    </w:p>
    <w:p>
      <w:pPr>
        <w:spacing w:after="0" w:line="55" w:lineRule="exact"/>
        <w:rPr>
          <w:rFonts w:ascii="Times New Roman" w:cs="Times New Roman" w:eastAsia="Times New Roman" w:hAnsi="Times New Roman"/>
          <w:sz w:val="14"/>
          <w:szCs w:val="14"/>
          <w:color w:val="auto"/>
        </w:rPr>
      </w:pPr>
    </w:p>
    <w:p>
      <w:pPr>
        <w:ind w:left="424" w:right="40" w:hanging="424"/>
        <w:spacing w:after="0" w:line="231" w:lineRule="auto"/>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these columns represent the grant date fair value of stock and option awards computed in accordance with FASB ASC Topic 718 and reflect the grant date fair value of stock and option awards made through the close of the 2025 fiscal year, rather than amounts paid to or realized by the named executive officers. There can be no assurance that the amounts calculated will be realized, and amounts realized could ultimately exceed the amounts calculated. See Note 14 of the Notes to the Consolidated Financial Statements contained in the Company’s Annual Report on Form 10-K, filed on February 25, 2026, for a discussion of the assumptions used in the valuation of the stock awards. The Company did not grant any option awards for the years reported. Additional information regarding these awards can be found under “Compensation Discussion and Analysis: Elements of Compensation-Restricted Stock and Restricted Stock Units.”</w:t>
      </w:r>
    </w:p>
    <w:p>
      <w:pPr>
        <w:spacing w:after="0" w:line="82" w:lineRule="exact"/>
        <w:rPr>
          <w:rFonts w:ascii="Times New Roman" w:cs="Times New Roman" w:eastAsia="Times New Roman" w:hAnsi="Times New Roman"/>
          <w:sz w:val="14"/>
          <w:szCs w:val="14"/>
          <w:color w:val="auto"/>
        </w:rPr>
      </w:pPr>
    </w:p>
    <w:p>
      <w:pPr>
        <w:ind w:left="424" w:right="20" w:hanging="424"/>
        <w:spacing w:after="0" w:line="227" w:lineRule="auto"/>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for 2025 represent payments under the 2025 annual bonus plan. In the case of Mr. Rosen, the amount in this column for 2025 represents payments under the 2025 annual bonus plan and Kaplan’s long-term incentive plan as follows: $2,378,603 in annual bonus and $1,822,005 in Kaplan’s long-term incentive plan. Amounts in this column for 2024 represent payments under the 2024 annual bonus plan and the 2021–2024 Performance Unit Plan, and in the case of Mr. Rosen, the amount in this column for 2024 represents payments under the 2024 annual bonus plan and Kaplan’s long-term incentive plan as follows: Mr. O’Shaughnessy, $1,079,760 in annual bonus, $1,584,000 in Performance Units; Mr. Cooney, $326,178 in annual bonus, $858,000 in Performance Units; Mr. Rosen, $2,038,786 in annual bonus, $2,400,000 in Kaplan’s long-term incentive plan; Mr. Maas, $337,425 in annual bonus, $660,000 in Performance Units; Ms. Maddrey, $251,944 in annual bonus, $660,000 in Performance Units. Amounts in this column for 2023 represent payments under the 2023 annual bonus plan. In the case of Mr. Rosen, the amount in this column for 2023 represents payments under the 2023 annual bonus plan and Kaplan’s long-term incentive plan as follows: $1,982,007 in annual bonus and $1,200,000 in Kaplan’s long-term incentive plan. Additional information can be found in “Compensation Discussion and Analysis: Elements of Compensation – Annual Bonuses.”</w:t>
      </w:r>
    </w:p>
    <w:p>
      <w:pPr>
        <w:spacing w:after="0" w:line="87" w:lineRule="exact"/>
        <w:rPr>
          <w:rFonts w:ascii="Times New Roman" w:cs="Times New Roman" w:eastAsia="Times New Roman" w:hAnsi="Times New Roman"/>
          <w:sz w:val="14"/>
          <w:szCs w:val="14"/>
          <w:color w:val="auto"/>
        </w:rPr>
      </w:pPr>
    </w:p>
    <w:p>
      <w:pPr>
        <w:ind w:left="424" w:right="20" w:hanging="424"/>
        <w:spacing w:after="0" w:line="233" w:lineRule="auto"/>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above-market or preferential earnings on compensation deferred on a non-tax-qualified basis, and therefore, no such earnings are reflected in the amounts shown in this column. Therefore, the amounts in this column solely represent changes in the value of accumulated pension benefits. For purposes of calculating such value and the resulting changes, benefits were assumed to commence at the age when benefits under the SERP are first unreduced, or the age when benefits under the Retirement Plan for Graham Holdings Company (the “Retirement Plan”) are first unreduced if the named executive officer does not have a SERP benefit, and were discounted to the date as of which they were determined (either December 31, 2025, December 31, 2024 or December 31, 2023). Assumed benefit commencement ages are shown below, rounded to the nearest age:</w:t>
      </w:r>
    </w:p>
    <w:p>
      <w:pPr>
        <w:sectPr>
          <w:pgSz w:w="11900" w:h="16838" w:orient="portrait"/>
          <w:cols w:equalWidth="0" w:num="1">
            <w:col w:w="11024"/>
          </w:cols>
          <w:pgMar w:left="436" w:top="297" w:right="439" w:bottom="1440" w:gutter="0" w:footer="0" w:header="0"/>
        </w:sectPr>
      </w:pPr>
    </w:p>
    <w:p>
      <w:pPr>
        <w:spacing w:after="0" w:line="8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4"/>
          <w:szCs w:val="14"/>
          <w:color w:val="auto"/>
        </w:rPr>
        <w:t>Timothy J. O’Shaughnessy:</w:t>
      </w:r>
    </w:p>
    <w:p>
      <w:pPr>
        <w:ind w:left="884"/>
        <w:spacing w:after="0" w:line="226" w:lineRule="auto"/>
        <w:rPr>
          <w:sz w:val="20"/>
          <w:szCs w:val="20"/>
          <w:color w:val="auto"/>
        </w:rPr>
      </w:pPr>
      <w:r>
        <w:rPr>
          <w:rFonts w:ascii="Times New Roman" w:cs="Times New Roman" w:eastAsia="Times New Roman" w:hAnsi="Times New Roman"/>
          <w:sz w:val="14"/>
          <w:szCs w:val="14"/>
          <w:color w:val="auto"/>
        </w:rPr>
        <w:t>Wallace R. Cooney:</w:t>
      </w:r>
    </w:p>
    <w:p>
      <w:pPr>
        <w:ind w:left="884"/>
        <w:spacing w:after="0" w:line="222" w:lineRule="auto"/>
        <w:rPr>
          <w:sz w:val="20"/>
          <w:szCs w:val="20"/>
          <w:color w:val="auto"/>
        </w:rPr>
      </w:pPr>
      <w:r>
        <w:rPr>
          <w:rFonts w:ascii="Times New Roman" w:cs="Times New Roman" w:eastAsia="Times New Roman" w:hAnsi="Times New Roman"/>
          <w:sz w:val="14"/>
          <w:szCs w:val="14"/>
          <w:color w:val="auto"/>
        </w:rPr>
        <w:t>Andrew S. Rosen:</w:t>
      </w:r>
    </w:p>
    <w:p>
      <w:pPr>
        <w:ind w:left="884"/>
        <w:spacing w:after="0" w:line="221" w:lineRule="auto"/>
        <w:rPr>
          <w:sz w:val="20"/>
          <w:szCs w:val="20"/>
          <w:color w:val="auto"/>
        </w:rPr>
      </w:pPr>
      <w:r>
        <w:rPr>
          <w:rFonts w:ascii="Times New Roman" w:cs="Times New Roman" w:eastAsia="Times New Roman" w:hAnsi="Times New Roman"/>
          <w:sz w:val="14"/>
          <w:szCs w:val="14"/>
          <w:color w:val="auto"/>
        </w:rPr>
        <w:t>Nicole M. Maddrey:</w:t>
      </w:r>
    </w:p>
    <w:p>
      <w:pPr>
        <w:ind w:left="884"/>
        <w:spacing w:after="0"/>
        <w:rPr>
          <w:sz w:val="20"/>
          <w:szCs w:val="20"/>
          <w:color w:val="auto"/>
        </w:rPr>
      </w:pPr>
      <w:r>
        <w:rPr>
          <w:rFonts w:ascii="Times New Roman" w:cs="Times New Roman" w:eastAsia="Times New Roman" w:hAnsi="Times New Roman"/>
          <w:sz w:val="14"/>
          <w:szCs w:val="14"/>
          <w:color w:val="auto"/>
        </w:rPr>
        <w:t>Jacob M. Maas: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 65</w:t>
      </w:r>
    </w:p>
    <w:p>
      <w:pPr>
        <w:spacing w:after="0" w:line="226" w:lineRule="auto"/>
        <w:rPr>
          <w:sz w:val="20"/>
          <w:szCs w:val="20"/>
          <w:color w:val="auto"/>
        </w:rPr>
      </w:pPr>
      <w:r>
        <w:rPr>
          <w:rFonts w:ascii="Times New Roman" w:cs="Times New Roman" w:eastAsia="Times New Roman" w:hAnsi="Times New Roman"/>
          <w:sz w:val="14"/>
          <w:szCs w:val="14"/>
          <w:color w:val="auto"/>
        </w:rPr>
        <w:t>age 64 (will be eligible for unreduced benefits under the Rule of 90*)</w:t>
      </w:r>
    </w:p>
    <w:p>
      <w:pPr>
        <w:spacing w:after="0" w:line="222" w:lineRule="auto"/>
        <w:rPr>
          <w:sz w:val="20"/>
          <w:szCs w:val="20"/>
          <w:color w:val="auto"/>
        </w:rPr>
      </w:pPr>
      <w:r>
        <w:rPr>
          <w:rFonts w:ascii="Times New Roman" w:cs="Times New Roman" w:eastAsia="Times New Roman" w:hAnsi="Times New Roman"/>
          <w:sz w:val="14"/>
          <w:szCs w:val="14"/>
          <w:color w:val="auto"/>
        </w:rPr>
        <w:t>age 65 (is currently eligible for unreduced benefits under the Rule of 90*)</w:t>
      </w:r>
    </w:p>
    <w:p>
      <w:pPr>
        <w:spacing w:after="0" w:line="221" w:lineRule="auto"/>
        <w:rPr>
          <w:sz w:val="20"/>
          <w:szCs w:val="20"/>
          <w:color w:val="auto"/>
        </w:rPr>
      </w:pPr>
      <w:r>
        <w:rPr>
          <w:rFonts w:ascii="Times New Roman" w:cs="Times New Roman" w:eastAsia="Times New Roman" w:hAnsi="Times New Roman"/>
          <w:sz w:val="14"/>
          <w:szCs w:val="14"/>
          <w:color w:val="auto"/>
        </w:rPr>
        <w:t>age 65</w:t>
      </w:r>
    </w:p>
    <w:p>
      <w:pPr>
        <w:spacing w:after="0"/>
        <w:rPr>
          <w:sz w:val="20"/>
          <w:szCs w:val="20"/>
          <w:color w:val="auto"/>
        </w:rPr>
      </w:pPr>
      <w:r>
        <w:rPr>
          <w:rFonts w:ascii="Times New Roman" w:cs="Times New Roman" w:eastAsia="Times New Roman" w:hAnsi="Times New Roman"/>
          <w:sz w:val="14"/>
          <w:szCs w:val="14"/>
          <w:color w:val="auto"/>
        </w:rPr>
        <w:t>age 65</w:t>
      </w:r>
    </w:p>
    <w:p>
      <w:pPr>
        <w:spacing w:after="0" w:line="188" w:lineRule="exact"/>
        <w:rPr>
          <w:sz w:val="20"/>
          <w:szCs w:val="20"/>
          <w:color w:val="auto"/>
        </w:rPr>
      </w:pPr>
    </w:p>
    <w:p>
      <w:pPr>
        <w:sectPr>
          <w:pgSz w:w="11900" w:h="16838" w:orient="portrait"/>
          <w:cols w:equalWidth="0" w:num="2">
            <w:col w:w="2484" w:space="640"/>
            <w:col w:w="7900"/>
          </w:cols>
          <w:pgMar w:left="436" w:top="297" w:right="43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4"/>
          <w:szCs w:val="14"/>
          <w:color w:val="auto"/>
        </w:rPr>
        <w:t>*Age plus service is greater than 90, with age at least 55</w:t>
      </w:r>
    </w:p>
    <w:p>
      <w:pPr>
        <w:spacing w:after="0" w:line="231" w:lineRule="exact"/>
        <w:rPr>
          <w:sz w:val="20"/>
          <w:szCs w:val="20"/>
          <w:color w:val="auto"/>
        </w:rPr>
      </w:pPr>
    </w:p>
    <w:p>
      <w:pPr>
        <w:ind w:left="424" w:right="160" w:hanging="424"/>
        <w:spacing w:after="0" w:line="241"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present value of benefits in 2025 are attributable to the Retirement Plan and the corresponding benefit under the SERP as follows: Mr. O’Shaughnessy – $61,284 Retirement Plan; Mr. Cooney – $258,662 Retirement Plan; Mr. Maas – $48,084 Retirement Plan; Mr. Rosen – $65,912 Retirement Plan, $6,672,469 SERP; Ms. Maddrey – $197,972 Retirement Plan. The values of accumulated plan benefits were determined using a discount</w:t>
      </w:r>
    </w:p>
    <w:p>
      <w:pPr>
        <w:spacing w:after="0" w:line="11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97" w:right="439" w:bottom="1440" w:gutter="0" w:footer="0" w:header="0"/>
          <w:type w:val="continuous"/>
        </w:sectPr>
      </w:pPr>
    </w:p>
    <w:bookmarkStart w:id="27" w:name="page28"/>
    <w:bookmarkEnd w:id="27"/>
    <w:p>
      <w:pPr>
        <w:ind w:left="424" w:right="60"/>
        <w:spacing w:after="0" w:line="22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rate of 5.60% (5.20% for SERP) at December 31, 2025, 5.80% (5.60% for SERP) at December 31, 2024, and 5.20% (5.10% for SERP) at December 31, 2023, with PRI-2012 Fully Generational Mortality Tables for males and females using Scale MP-2021 with a 90% white collar and 10% blue collar blend (100% white collar for non-qualified benefits) at December 31, 2025, December 31, 2024 and December 31, 2023. In addition, 50% of the benefit accumulated under the qualified Graham Schedule (Newsweek as of December 31, 2024) is valued as a lump-sum, 30% valued as a single life annuity (50% prior to December 31, 2025), and 20% valued as a 50% joint and survivor annuity. It is also assumed that benefits under the qualified CC Plan (includes Kaplan) and Secure Retirement Account Schedule will be taken as a lump-sum with a 90% probability, a single life annuity with a 3% probability (10% prior to December 31, 2025) and a 50% joint and survivor annuity with a 7% probability. Also, 60% of the non-qualified Graham, Newsweek and Kaplan formulas are valued as a single life annuity and 40% is valued as a 50% joint and survivor annuity. 30% of the non-qualified CC Plan formula is valued as a single life annuity and 70% is valued as a 50% joint and survivor annuity. Joint and survivor benefits apply PRI-2012 contingent survivor mortality tables. At December 31, 2025, the annuity was converted into a lump-sum value using the 2026 PPA combined unisex mortality for single-sum payments and a full yield curve that approximates expected future lump-sum conversion rates. At December 31, 2024, the annuity was converted into a lump-sum value using the 2025 PPA combined unisex mortality for single-sum payments and interest rates of 4.50% for payments in the first 5 years, 4.96% for payments in years 5 through 20 and 5.40% for years thereafter. At December 31, 2023, the annuity was converted into a lump-sum value using the 2024 PPA combined unisex mortality for single-sum payments and interest rates of 5.45% for payments in the first 5 years, 5.52% for payments in years 5 through 20 and 5.43% for years thereafter. The SERP balance was converted into an annuity using these rates for the applicable years, plus 2%.</w:t>
      </w:r>
    </w:p>
    <w:p>
      <w:pPr>
        <w:spacing w:after="0" w:line="90"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the amounts shown include the information detailed in the following table:</w:t>
      </w: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37"/>
        </w:trPr>
        <w:tc>
          <w:tcPr>
            <w:tcW w:w="3900" w:type="dxa"/>
            <w:vAlign w:val="bottom"/>
            <w:tcBorders>
              <w:top w:val="single" w:sz="8" w:color="auto"/>
              <w:left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w:t>
            </w:r>
          </w:p>
        </w:tc>
        <w:tc>
          <w:tcPr>
            <w:tcW w:w="138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401(k) Company</w:t>
            </w:r>
          </w:p>
        </w:tc>
        <w:tc>
          <w:tcPr>
            <w:tcW w:w="13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SERP Company</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9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00" w:type="dxa"/>
            <w:vAlign w:val="bottom"/>
            <w:tcBorders>
              <w:left w:val="single" w:sz="8" w:color="auto"/>
              <w:right w:val="single" w:sz="8" w:color="auto"/>
            </w:tcBorders>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Total ($)</w:t>
            </w:r>
          </w:p>
        </w:tc>
        <w:tc>
          <w:tcPr>
            <w:tcW w:w="0" w:type="dxa"/>
            <w:vAlign w:val="bottom"/>
          </w:tcPr>
          <w:p>
            <w:pPr>
              <w:spacing w:after="0"/>
              <w:rPr>
                <w:sz w:val="1"/>
                <w:szCs w:val="1"/>
                <w:color w:val="auto"/>
              </w:rPr>
            </w:pPr>
          </w:p>
        </w:tc>
      </w:tr>
      <w:tr>
        <w:trPr>
          <w:trHeight w:val="148"/>
        </w:trPr>
        <w:tc>
          <w:tcPr>
            <w:tcW w:w="3900" w:type="dxa"/>
            <w:vAlign w:val="bottom"/>
            <w:tcBorders>
              <w:left w:val="single" w:sz="8" w:color="auto"/>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Perquisites ($)</w:t>
            </w:r>
          </w:p>
        </w:tc>
        <w:tc>
          <w:tcPr>
            <w:tcW w:w="13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3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1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Dividends ($)</w:t>
            </w:r>
          </w:p>
        </w:tc>
        <w:tc>
          <w:tcPr>
            <w:tcW w:w="12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Compensation</w:t>
            </w: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tcBorders>
              <w:left w:val="single" w:sz="8" w:color="auto"/>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(a)</w:t>
            </w:r>
          </w:p>
        </w:tc>
        <w:tc>
          <w:tcPr>
            <w:tcW w:w="10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(b)</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0"/>
                <w:szCs w:val="10"/>
                <w:b w:val="1"/>
                <w:bCs w:val="1"/>
                <w:color w:val="auto"/>
              </w:rPr>
              <w:t>(1)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 (f)</w:t>
            </w:r>
          </w:p>
        </w:tc>
        <w:tc>
          <w:tcPr>
            <w:tcW w:w="9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214"/>
        </w:trPr>
        <w:tc>
          <w:tcPr>
            <w:tcW w:w="39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1080" w:type="dxa"/>
            <w:vAlign w:val="bottom"/>
            <w:tcBorders>
              <w:bottom w:val="single" w:sz="8" w:color="CCEEFF"/>
              <w:righ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6"/>
        </w:trPr>
        <w:tc>
          <w:tcPr>
            <w:tcW w:w="39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10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7,531</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7,531</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1080" w:type="dxa"/>
            <w:vAlign w:val="bottom"/>
            <w:tcBorders>
              <w:bottom w:val="single" w:sz="8" w:color="CCEEFF"/>
              <w:righ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7,531</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7,531</w:t>
            </w:r>
          </w:p>
        </w:tc>
        <w:tc>
          <w:tcPr>
            <w:tcW w:w="0" w:type="dxa"/>
            <w:vAlign w:val="bottom"/>
          </w:tcPr>
          <w:p>
            <w:pPr>
              <w:spacing w:after="0"/>
              <w:rPr>
                <w:sz w:val="1"/>
                <w:szCs w:val="1"/>
                <w:color w:val="auto"/>
              </w:rPr>
            </w:pPr>
          </w:p>
        </w:tc>
      </w:tr>
      <w:tr>
        <w:trPr>
          <w:trHeight w:val="186"/>
        </w:trPr>
        <w:tc>
          <w:tcPr>
            <w:tcW w:w="39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10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6,026</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6,026</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1080" w:type="dxa"/>
            <w:vAlign w:val="bottom"/>
            <w:tcBorders>
              <w:bottom w:val="single" w:sz="8" w:color="CCEEFF"/>
              <w:righ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7,027</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7,027</w:t>
            </w:r>
          </w:p>
        </w:tc>
        <w:tc>
          <w:tcPr>
            <w:tcW w:w="0" w:type="dxa"/>
            <w:vAlign w:val="bottom"/>
          </w:tcPr>
          <w:p>
            <w:pPr>
              <w:spacing w:after="0"/>
              <w:rPr>
                <w:sz w:val="1"/>
                <w:szCs w:val="1"/>
                <w:color w:val="auto"/>
              </w:rPr>
            </w:pPr>
          </w:p>
        </w:tc>
      </w:tr>
      <w:tr>
        <w:trPr>
          <w:trHeight w:val="20"/>
        </w:trPr>
        <w:tc>
          <w:tcPr>
            <w:tcW w:w="39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424" w:right="440" w:hanging="424"/>
        <w:spacing w:after="0" w:line="261" w:lineRule="auto"/>
        <w:tabs>
          <w:tab w:leader="none" w:pos="42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dividends attributable to Company stock granted under the Company’s 2022 Plan that are not included in the grant date fair value of such restricted stock awards reported in column (e) of the Summary Compensation Table.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92" w:right="439" w:bottom="1440" w:gutter="0" w:footer="0" w:header="0"/>
        </w:sectPr>
      </w:pPr>
    </w:p>
    <w:bookmarkStart w:id="28" w:name="page29"/>
    <w:bookmarkEnd w:id="28"/>
    <w:p>
      <w:pPr>
        <w:jc w:val="both"/>
        <w:ind w:left="4" w:right="26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provides information on awards made under the 2022 Plan to each of the named executive officers in 2025. Awards granted to the named executive officers under the 2022 Plan in 2025 include annual incentive awards, Performance Units and restricted stock awards.</w:t>
      </w:r>
    </w:p>
    <w:p>
      <w:pPr>
        <w:spacing w:after="0" w:line="1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28"/>
        </w:trPr>
        <w:tc>
          <w:tcPr>
            <w:tcW w:w="3360" w:type="dxa"/>
            <w:vAlign w:val="bottom"/>
            <w:tcBorders>
              <w:top w:val="single" w:sz="8" w:color="auto"/>
              <w:left w:val="single" w:sz="8" w:color="auto"/>
              <w:right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2320" w:type="dxa"/>
            <w:vAlign w:val="bottom"/>
            <w:tcBorders>
              <w:top w:val="single" w:sz="8" w:color="auto"/>
              <w:right w:val="single" w:sz="8" w:color="auto"/>
            </w:tcBorders>
            <w:gridSpan w:val="3"/>
          </w:tcPr>
          <w:p>
            <w:pPr>
              <w:jc w:val="center"/>
              <w:ind w:right="9"/>
              <w:spacing w:after="0" w:line="128" w:lineRule="exact"/>
              <w:rPr>
                <w:sz w:val="20"/>
                <w:szCs w:val="20"/>
                <w:color w:val="auto"/>
              </w:rPr>
            </w:pPr>
            <w:r>
              <w:rPr>
                <w:rFonts w:ascii="Times New Roman" w:cs="Times New Roman" w:eastAsia="Times New Roman" w:hAnsi="Times New Roman"/>
                <w:sz w:val="13"/>
                <w:szCs w:val="13"/>
                <w:b w:val="1"/>
                <w:bCs w:val="1"/>
                <w:color w:val="auto"/>
                <w:w w:val="95"/>
              </w:rPr>
              <w:t>Estimated Future Payouts Under</w:t>
            </w:r>
          </w:p>
        </w:tc>
        <w:tc>
          <w:tcPr>
            <w:tcW w:w="1340" w:type="dxa"/>
            <w:vAlign w:val="bottom"/>
            <w:tcBorders>
              <w:top w:val="single" w:sz="8" w:color="auto"/>
              <w:right w:val="single" w:sz="8" w:color="auto"/>
            </w:tcBorders>
            <w:gridSpan w:val="3"/>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Estimated Future</w:t>
            </w:r>
          </w:p>
        </w:tc>
        <w:tc>
          <w:tcPr>
            <w:tcW w:w="50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gridSpan w:val="3"/>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Non-Equity Incentive Plan</w:t>
            </w:r>
          </w:p>
        </w:tc>
        <w:tc>
          <w:tcPr>
            <w:tcW w:w="1340" w:type="dxa"/>
            <w:vAlign w:val="bottom"/>
            <w:tcBorders>
              <w:right w:val="single" w:sz="8" w:color="auto"/>
            </w:tcBorders>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Payouts Under Equity</w:t>
            </w:r>
          </w:p>
        </w:tc>
        <w:tc>
          <w:tcPr>
            <w:tcW w:w="5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60" w:type="dxa"/>
            <w:vAlign w:val="bottom"/>
            <w:tcBorders>
              <w:left w:val="single" w:sz="8" w:color="auto"/>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7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Incentive Plan Awards</w:t>
            </w:r>
          </w:p>
        </w:tc>
        <w:tc>
          <w:tcPr>
            <w:tcW w:w="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68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Closing</w:t>
            </w: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36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 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7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80" w:type="dxa"/>
            <w:vAlign w:val="bottom"/>
            <w:tcBorders>
              <w:right w:val="single" w:sz="8" w:color="auto"/>
            </w:tcBorders>
          </w:tcPr>
          <w:p>
            <w:pPr>
              <w:jc w:val="right"/>
              <w:ind w:right="91"/>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Max</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Different</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ind w:left="1580"/>
              <w:spacing w:after="0" w:line="135" w:lineRule="exact"/>
              <w:rPr>
                <w:sz w:val="20"/>
                <w:szCs w:val="20"/>
                <w:color w:val="auto"/>
              </w:rPr>
            </w:pPr>
            <w:r>
              <w:rPr>
                <w:rFonts w:ascii="Times New Roman" w:cs="Times New Roman" w:eastAsia="Times New Roman" w:hAnsi="Times New Roman"/>
                <w:sz w:val="13"/>
                <w:szCs w:val="13"/>
                <w:b w:val="1"/>
                <w:bCs w:val="1"/>
                <w:color w:val="auto"/>
              </w:rPr>
              <w:t>Name</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Rights (#)</w:t>
            </w:r>
          </w:p>
        </w:tc>
        <w:tc>
          <w:tcPr>
            <w:tcW w:w="780" w:type="dxa"/>
            <w:vAlign w:val="bottom"/>
            <w:tcBorders>
              <w:right w:val="single" w:sz="8" w:color="auto"/>
            </w:tcBorders>
          </w:tcPr>
          <w:p>
            <w:pPr>
              <w:jc w:val="right"/>
              <w:ind w:right="29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right w:val="single" w:sz="8" w:color="auto"/>
            </w:tcBorders>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Target ($)</w:t>
            </w:r>
          </w:p>
        </w:tc>
        <w:tc>
          <w:tcPr>
            <w:tcW w:w="780" w:type="dxa"/>
            <w:vAlign w:val="bottom"/>
            <w:tcBorders>
              <w:right w:val="single" w:sz="8" w:color="auto"/>
            </w:tcBorders>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Max ($)</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67"/>
        </w:trPr>
        <w:tc>
          <w:tcPr>
            <w:tcW w:w="336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3"/>
                <w:szCs w:val="13"/>
                <w:b w:val="1"/>
                <w:bCs w:val="1"/>
                <w:color w:val="auto"/>
              </w:rPr>
              <w:t>(a)</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780" w:type="dxa"/>
            <w:vAlign w:val="bottom"/>
            <w:tcBorders>
              <w:bottom w:val="single" w:sz="8" w:color="auto"/>
              <w:right w:val="single" w:sz="8" w:color="auto"/>
            </w:tcBorders>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780" w:type="dxa"/>
            <w:vAlign w:val="bottom"/>
            <w:tcBorders>
              <w:bottom w:val="single" w:sz="8" w:color="auto"/>
              <w:right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(f)</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(h)</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(j)</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(k)</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w:t>
            </w:r>
          </w:p>
        </w:tc>
        <w:tc>
          <w:tcPr>
            <w:tcW w:w="0" w:type="dxa"/>
            <w:vAlign w:val="bottom"/>
          </w:tcPr>
          <w:p>
            <w:pPr>
              <w:spacing w:after="0"/>
              <w:rPr>
                <w:sz w:val="1"/>
                <w:szCs w:val="1"/>
                <w:color w:val="auto"/>
              </w:rPr>
            </w:pPr>
          </w:p>
        </w:tc>
      </w:tr>
      <w:tr>
        <w:trPr>
          <w:trHeight w:val="187"/>
        </w:trPr>
        <w:tc>
          <w:tcPr>
            <w:tcW w:w="33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56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320" w:type="dxa"/>
            <w:vAlign w:val="bottom"/>
            <w:tcBorders>
              <w:right w:val="single" w:sz="8" w:color="auto"/>
            </w:tcBorders>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360" w:type="dxa"/>
            <w:vAlign w:val="bottom"/>
            <w:tcBorders>
              <w:left w:val="single" w:sz="8" w:color="auto"/>
              <w:right w:val="single" w:sz="8" w:color="auto"/>
            </w:tcBorders>
            <w:shd w:val="clear" w:color="auto" w:fill="CCEEFF"/>
          </w:tcPr>
          <w:p>
            <w:pPr>
              <w:ind w:left="60"/>
              <w:spacing w:after="0" w:line="240"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5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2,400,000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4,800,000</w:t>
            </w:r>
          </w:p>
        </w:tc>
        <w:tc>
          <w:tcPr>
            <w:tcW w:w="6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bottom w:val="single" w:sz="8" w:color="auto"/>
              <w:right w:val="single" w:sz="8" w:color="auto"/>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14"/>
                <w:szCs w:val="14"/>
                <w:color w:val="auto"/>
              </w:rPr>
              <w:t>Performance Units</w:t>
            </w:r>
            <w:r>
              <w:rPr>
                <w:rFonts w:ascii="Times New Roman" w:cs="Times New Roman" w:eastAsia="Times New Roman" w:hAnsi="Times New Roman"/>
                <w:sz w:val="21"/>
                <w:szCs w:val="21"/>
                <w:color w:val="auto"/>
                <w:vertAlign w:val="superscript"/>
              </w:rPr>
              <w:t>2</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12,000</w:t>
            </w:r>
          </w:p>
        </w:tc>
        <w:tc>
          <w:tcPr>
            <w:tcW w:w="78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2,400,000</w:t>
            </w: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6"/>
        </w:trPr>
        <w:tc>
          <w:tcPr>
            <w:tcW w:w="3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5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360" w:type="dxa"/>
            <w:vAlign w:val="bottom"/>
            <w:tcBorders>
              <w:left w:val="single" w:sz="8" w:color="auto"/>
              <w:right w:val="single" w:sz="8" w:color="auto"/>
            </w:tcBorders>
          </w:tcPr>
          <w:p>
            <w:pPr>
              <w:ind w:left="60"/>
              <w:spacing w:after="0" w:line="239"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181,250</w:t>
            </w:r>
          </w:p>
        </w:tc>
        <w:tc>
          <w:tcPr>
            <w:tcW w:w="7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362,500</w:t>
            </w:r>
          </w:p>
        </w:tc>
        <w:tc>
          <w:tcPr>
            <w:tcW w:w="7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725,000</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4"/>
                <w:szCs w:val="14"/>
                <w:color w:val="auto"/>
              </w:rPr>
              <w:t>Performance Units</w:t>
            </w:r>
            <w:r>
              <w:rPr>
                <w:rFonts w:ascii="Times New Roman" w:cs="Times New Roman" w:eastAsia="Times New Roman" w:hAnsi="Times New Roman"/>
                <w:sz w:val="21"/>
                <w:szCs w:val="21"/>
                <w:color w:val="auto"/>
                <w:vertAlign w:val="superscript"/>
              </w:rPr>
              <w:t>2</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19,500</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780,000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1,560,000</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bottom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4"/>
                <w:szCs w:val="14"/>
                <w:color w:val="auto"/>
              </w:rPr>
              <w:t>Restricted Stock</w:t>
            </w:r>
            <w:r>
              <w:rPr>
                <w:rFonts w:ascii="Times New Roman" w:cs="Times New Roman" w:eastAsia="Times New Roman" w:hAnsi="Times New Roman"/>
                <w:sz w:val="21"/>
                <w:szCs w:val="21"/>
                <w:color w:val="auto"/>
                <w:vertAlign w:val="superscript"/>
              </w:rPr>
              <w:t>3</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1/2/2025</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374,904</w:t>
            </w:r>
          </w:p>
        </w:tc>
        <w:tc>
          <w:tcPr>
            <w:tcW w:w="0" w:type="dxa"/>
            <w:vAlign w:val="bottom"/>
          </w:tcPr>
          <w:p>
            <w:pPr>
              <w:spacing w:after="0"/>
              <w:rPr>
                <w:sz w:val="1"/>
                <w:szCs w:val="1"/>
                <w:color w:val="auto"/>
              </w:rPr>
            </w:pPr>
          </w:p>
        </w:tc>
      </w:tr>
      <w:tr>
        <w:trPr>
          <w:trHeight w:val="186"/>
        </w:trPr>
        <w:tc>
          <w:tcPr>
            <w:tcW w:w="33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56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320" w:type="dxa"/>
            <w:vAlign w:val="bottom"/>
            <w:tcBorders>
              <w:right w:val="single" w:sz="8" w:color="auto"/>
            </w:tcBorders>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360" w:type="dxa"/>
            <w:vAlign w:val="bottom"/>
            <w:tcBorders>
              <w:left w:val="single" w:sz="8" w:color="auto"/>
              <w:right w:val="single" w:sz="8" w:color="auto"/>
            </w:tcBorders>
            <w:shd w:val="clear" w:color="auto" w:fill="CCEEFF"/>
          </w:tcPr>
          <w:p>
            <w:pPr>
              <w:ind w:left="60"/>
              <w:spacing w:after="0" w:line="240"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5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187,500</w:t>
            </w: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375,000</w:t>
            </w:r>
          </w:p>
        </w:tc>
        <w:tc>
          <w:tcPr>
            <w:tcW w:w="78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750,000</w:t>
            </w:r>
          </w:p>
        </w:tc>
        <w:tc>
          <w:tcPr>
            <w:tcW w:w="6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14"/>
                <w:szCs w:val="14"/>
                <w:color w:val="auto"/>
              </w:rPr>
              <w:t>Performance Units</w:t>
            </w:r>
            <w:r>
              <w:rPr>
                <w:rFonts w:ascii="Times New Roman" w:cs="Times New Roman" w:eastAsia="Times New Roman" w:hAnsi="Times New Roman"/>
                <w:sz w:val="21"/>
                <w:szCs w:val="21"/>
                <w:color w:val="auto"/>
                <w:vertAlign w:val="superscript"/>
              </w:rPr>
              <w:t>2</w:t>
            </w:r>
          </w:p>
        </w:tc>
        <w:tc>
          <w:tcPr>
            <w:tcW w:w="5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19,500</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780,000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1,560,000</w:t>
            </w:r>
          </w:p>
        </w:tc>
        <w:tc>
          <w:tcPr>
            <w:tcW w:w="6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bottom w:val="single" w:sz="8" w:color="auto"/>
              <w:right w:val="single" w:sz="8" w:color="auto"/>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14"/>
                <w:szCs w:val="14"/>
                <w:color w:val="auto"/>
              </w:rPr>
              <w:t>Restricted Stock</w:t>
            </w:r>
            <w:r>
              <w:rPr>
                <w:rFonts w:ascii="Times New Roman" w:cs="Times New Roman" w:eastAsia="Times New Roman" w:hAnsi="Times New Roman"/>
                <w:sz w:val="21"/>
                <w:szCs w:val="21"/>
                <w:color w:val="auto"/>
                <w:vertAlign w:val="superscript"/>
              </w:rPr>
              <w:t>3</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1/2/2025</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374,904</w:t>
            </w:r>
          </w:p>
        </w:tc>
        <w:tc>
          <w:tcPr>
            <w:tcW w:w="0" w:type="dxa"/>
            <w:vAlign w:val="bottom"/>
          </w:tcPr>
          <w:p>
            <w:pPr>
              <w:spacing w:after="0"/>
              <w:rPr>
                <w:sz w:val="1"/>
                <w:szCs w:val="1"/>
                <w:color w:val="auto"/>
              </w:rPr>
            </w:pPr>
          </w:p>
        </w:tc>
      </w:tr>
      <w:tr>
        <w:trPr>
          <w:trHeight w:val="186"/>
        </w:trPr>
        <w:tc>
          <w:tcPr>
            <w:tcW w:w="3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5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360" w:type="dxa"/>
            <w:vAlign w:val="bottom"/>
            <w:tcBorders>
              <w:left w:val="single" w:sz="8" w:color="auto"/>
              <w:right w:val="single" w:sz="8" w:color="auto"/>
            </w:tcBorders>
          </w:tcPr>
          <w:p>
            <w:pPr>
              <w:ind w:left="60"/>
              <w:spacing w:after="0" w:line="239"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745,000</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2,000,000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3,850,000</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bottom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4"/>
                <w:szCs w:val="14"/>
                <w:color w:val="auto"/>
              </w:rPr>
              <w:t>Restricted Stock</w:t>
            </w:r>
            <w:r>
              <w:rPr>
                <w:rFonts w:ascii="Times New Roman" w:cs="Times New Roman" w:eastAsia="Times New Roman" w:hAnsi="Times New Roman"/>
                <w:sz w:val="21"/>
                <w:szCs w:val="21"/>
                <w:color w:val="auto"/>
                <w:vertAlign w:val="superscript"/>
              </w:rPr>
              <w:t>3</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1/2/2025</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344</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299,923</w:t>
            </w:r>
          </w:p>
        </w:tc>
        <w:tc>
          <w:tcPr>
            <w:tcW w:w="0" w:type="dxa"/>
            <w:vAlign w:val="bottom"/>
          </w:tcPr>
          <w:p>
            <w:pPr>
              <w:spacing w:after="0"/>
              <w:rPr>
                <w:sz w:val="1"/>
                <w:szCs w:val="1"/>
                <w:color w:val="auto"/>
              </w:rPr>
            </w:pPr>
          </w:p>
        </w:tc>
      </w:tr>
      <w:tr>
        <w:trPr>
          <w:trHeight w:val="186"/>
        </w:trPr>
        <w:tc>
          <w:tcPr>
            <w:tcW w:w="33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56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320" w:type="dxa"/>
            <w:vAlign w:val="bottom"/>
            <w:tcBorders>
              <w:right w:val="single" w:sz="8" w:color="auto"/>
            </w:tcBorders>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360" w:type="dxa"/>
            <w:vAlign w:val="bottom"/>
            <w:tcBorders>
              <w:left w:val="single" w:sz="8" w:color="auto"/>
              <w:right w:val="single" w:sz="8" w:color="auto"/>
            </w:tcBorders>
            <w:shd w:val="clear" w:color="auto" w:fill="CCEEFF"/>
          </w:tcPr>
          <w:p>
            <w:pPr>
              <w:ind w:left="60"/>
              <w:spacing w:after="0" w:line="240"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5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140,000</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280,000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560,000</w:t>
            </w:r>
          </w:p>
        </w:tc>
        <w:tc>
          <w:tcPr>
            <w:tcW w:w="6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14"/>
                <w:szCs w:val="14"/>
                <w:color w:val="auto"/>
              </w:rPr>
              <w:t>Performance Units</w:t>
            </w:r>
            <w:r>
              <w:rPr>
                <w:rFonts w:ascii="Times New Roman" w:cs="Times New Roman" w:eastAsia="Times New Roman" w:hAnsi="Times New Roman"/>
                <w:sz w:val="21"/>
                <w:szCs w:val="21"/>
                <w:color w:val="auto"/>
                <w:vertAlign w:val="superscript"/>
              </w:rPr>
              <w:t>2</w:t>
            </w:r>
          </w:p>
        </w:tc>
        <w:tc>
          <w:tcPr>
            <w:tcW w:w="5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15,000</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6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bottom w:val="single" w:sz="8" w:color="auto"/>
              <w:right w:val="single" w:sz="8" w:color="auto"/>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14"/>
                <w:szCs w:val="14"/>
                <w:color w:val="auto"/>
              </w:rPr>
              <w:t>Restricted Stock</w:t>
            </w:r>
            <w:r>
              <w:rPr>
                <w:rFonts w:ascii="Times New Roman" w:cs="Times New Roman" w:eastAsia="Times New Roman" w:hAnsi="Times New Roman"/>
                <w:sz w:val="21"/>
                <w:szCs w:val="21"/>
                <w:color w:val="auto"/>
                <w:vertAlign w:val="superscript"/>
              </w:rPr>
              <w:t>3</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1/2/2025</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401</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349,620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4" w:right="180" w:hanging="424"/>
        <w:spacing w:after="0" w:line="233" w:lineRule="auto"/>
        <w:tabs>
          <w:tab w:leader="none" w:pos="42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are the threshold, target and maximum payouts under the annual bonus plan. The amount in column (d) represents the minimum payment level, which is 50% of the target; in the case for Mr. Rosen, it is 37.3% of the target. The amount shown in column (f) represents the maximum payout level, which is 200% of the target; in the case for</w:t>
      </w:r>
    </w:p>
    <w:p>
      <w:pPr>
        <w:ind w:left="424" w:righ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Rosen, it is 192.5% of the target. In the event that the threshold performance level with respect to the performance goals set by the Committee (i.e., 80% of the target performance goal; in the case of Mr. Rosen, for the Kaplan component, 65% of enterprise operating income target performance goal, 90% of enterprise revenue target performance goal) is not attained, no amount would be paid with respect to that goal. Additional information can be found in “Compensation Discussion and Analysis: Elements of Compensation - Annual Bonuses.”</w:t>
      </w:r>
    </w:p>
    <w:p>
      <w:pPr>
        <w:spacing w:after="0" w:line="338" w:lineRule="exact"/>
        <w:rPr>
          <w:rFonts w:ascii="Times New Roman" w:cs="Times New Roman" w:eastAsia="Times New Roman" w:hAnsi="Times New Roman"/>
          <w:sz w:val="14"/>
          <w:szCs w:val="14"/>
          <w:color w:val="auto"/>
        </w:rPr>
      </w:pPr>
    </w:p>
    <w:p>
      <w:pPr>
        <w:ind w:left="424" w:right="80" w:hanging="424"/>
        <w:spacing w:after="0" w:line="233" w:lineRule="auto"/>
        <w:tabs>
          <w:tab w:leader="none" w:pos="42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grants represent Performance Units granted as part of a four-year award cycle. The Committee has set the performance-based goals for these grants, which are to be paid in fiscal year 2029. The amount in column (d) represents the minimum payout per unit, which is $2.50 per unit. The amount shown in column (e) represents the target value of each unit, which is $100 per unit, and the amount in column (f) represents the maximum payout per unit, which is $200 per unit. In the event that the goals set by the Committee for these grants are not attained, no amount will be paid with respect to the portion attributable to such goals. Additional information can be found in “Compensation Discussion and Analysis: Elements of Compensation – Performance Units.”</w:t>
      </w:r>
    </w:p>
    <w:p>
      <w:pPr>
        <w:spacing w:after="0" w:line="204" w:lineRule="exact"/>
        <w:rPr>
          <w:rFonts w:ascii="Times New Roman" w:cs="Times New Roman" w:eastAsia="Times New Roman" w:hAnsi="Times New Roman"/>
          <w:sz w:val="14"/>
          <w:szCs w:val="14"/>
          <w:color w:val="auto"/>
        </w:rPr>
      </w:pPr>
    </w:p>
    <w:p>
      <w:pPr>
        <w:ind w:left="424" w:right="120" w:hanging="424"/>
        <w:spacing w:after="0" w:line="241" w:lineRule="auto"/>
        <w:tabs>
          <w:tab w:leader="none" w:pos="42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grants represent shares of restricted stock. These awards will vest on January 2, 2029. Grant date fair value calculated using the average of high and low prices of a share of the Company’s Class B Common stock as of January 2, 2025 ($871.87). Additional information can be found in “Compensation Discussion and Analysis: Elements of Compensation – Restricted Stock and Restricted Stock Units.”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97" w:right="439" w:bottom="1440" w:gutter="0" w:footer="0" w:header="0"/>
        </w:sectPr>
      </w:pPr>
    </w:p>
    <w:bookmarkStart w:id="29" w:name="page30"/>
    <w:bookmarkEnd w:id="29"/>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shows the number of shares covered by exercisable and unexercisable options and unvested restricted stock and restricted stock units held by the Company’s named executive officers on December 31, 2025.</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7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36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  Unearned</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Borders>
              <w:right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  Unearned</w:t>
            </w:r>
          </w:p>
        </w:tc>
        <w:tc>
          <w:tcPr>
            <w:tcW w:w="0" w:type="dxa"/>
            <w:vAlign w:val="bottom"/>
          </w:tcPr>
          <w:p>
            <w:pPr>
              <w:spacing w:after="0"/>
              <w:rPr>
                <w:sz w:val="1"/>
                <w:szCs w:val="1"/>
                <w:color w:val="auto"/>
              </w:rPr>
            </w:pPr>
          </w:p>
        </w:tc>
      </w:tr>
      <w:tr>
        <w:trPr>
          <w:trHeight w:val="149"/>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or Units</w:t>
            </w:r>
          </w:p>
        </w:tc>
        <w:tc>
          <w:tcPr>
            <w:tcW w:w="8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Shares or</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Unexercised</w:t>
            </w:r>
          </w:p>
        </w:tc>
        <w:tc>
          <w:tcPr>
            <w:tcW w:w="7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Exercise</w:t>
            </w:r>
          </w:p>
        </w:tc>
        <w:tc>
          <w:tcPr>
            <w:tcW w:w="8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3360" w:type="dxa"/>
            <w:vAlign w:val="bottom"/>
            <w:tcBorders>
              <w:left w:val="single" w:sz="8" w:color="auto"/>
              <w:right w:val="single" w:sz="8" w:color="auto"/>
            </w:tcBorders>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Exercisable</w:t>
            </w:r>
          </w:p>
        </w:tc>
        <w:tc>
          <w:tcPr>
            <w:tcW w:w="10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Unexercisable</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Expiration</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48"/>
        </w:trPr>
        <w:tc>
          <w:tcPr>
            <w:tcW w:w="3360" w:type="dxa"/>
            <w:vAlign w:val="bottom"/>
            <w:tcBorders>
              <w:left w:val="single" w:sz="8" w:color="auto"/>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tcBorders>
              <w:right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336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(a)</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0"/>
                <w:szCs w:val="10"/>
                <w:b w:val="1"/>
                <w:bCs w:val="1"/>
                <w:color w:val="auto"/>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0"/>
                <w:szCs w:val="10"/>
                <w:b w:val="1"/>
                <w:bCs w:val="1"/>
                <w:color w:val="auto"/>
              </w:rPr>
              <w:t>(3)</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0"/>
                <w:szCs w:val="10"/>
                <w:b w:val="1"/>
                <w:bCs w:val="1"/>
                <w:color w:val="auto"/>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15"/>
        </w:trPr>
        <w:tc>
          <w:tcPr>
            <w:tcW w:w="33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58,168</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12,877</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426.86</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9/10/2030</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CCEEFF"/>
              <w:right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3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845.72</w:t>
            </w: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4/1/2027</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1,046</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1,149,136</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top w:val="single" w:sz="8" w:color="auto"/>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3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1,046</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1,149,136</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3,494,076</w:t>
            </w:r>
          </w:p>
        </w:tc>
        <w:tc>
          <w:tcPr>
            <w:tcW w:w="0" w:type="dxa"/>
            <w:vAlign w:val="bottom"/>
          </w:tcPr>
          <w:p>
            <w:pPr>
              <w:spacing w:after="0"/>
              <w:rPr>
                <w:sz w:val="1"/>
                <w:szCs w:val="1"/>
                <w:color w:val="auto"/>
              </w:rPr>
            </w:pPr>
          </w:p>
        </w:tc>
      </w:tr>
      <w:tr>
        <w:trPr>
          <w:trHeight w:val="186"/>
        </w:trPr>
        <w:tc>
          <w:tcPr>
            <w:tcW w:w="33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837</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919,528</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top w:val="single" w:sz="8" w:color="auto"/>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976</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1,072,234</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bottom w:val="single" w:sz="8" w:color="CCEEFF"/>
              <w:right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424" w:right="40" w:hanging="424"/>
        <w:spacing w:after="0" w:line="261" w:lineRule="auto"/>
        <w:tabs>
          <w:tab w:leader="none" w:pos="4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O’Shaughnessy received an option grant in 2020 that vests ratably over a six-year period. Mr. Cooney received an option grant in connection with his promotion to Chief Financial Officer that vested ratably over a six-year period. The following are the vesting dates of outstanding options granted to the named executive officers:</w:t>
      </w:r>
    </w:p>
    <w:p>
      <w:pPr>
        <w:spacing w:after="0" w:line="175" w:lineRule="exact"/>
        <w:rPr>
          <w:sz w:val="20"/>
          <w:szCs w:val="20"/>
          <w:color w:val="auto"/>
        </w:rPr>
      </w:pPr>
    </w:p>
    <w:tbl>
      <w:tblPr>
        <w:tblLayout w:type="fixed"/>
        <w:tblInd w:w="1104"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1</w:t>
            </w:r>
          </w:p>
        </w:tc>
        <w:tc>
          <w:tcPr>
            <w:tcW w:w="28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Year 6</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Vested at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w:t>
            </w:r>
          </w:p>
        </w:tc>
        <w:tc>
          <w:tcPr>
            <w:tcW w:w="28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w:t>
            </w:r>
          </w:p>
        </w:tc>
        <w:tc>
          <w:tcPr>
            <w:tcW w:w="880" w:type="dxa"/>
            <w:vAlign w:val="bottom"/>
            <w:gridSpan w:val="2"/>
            <w:vMerge w:val="continue"/>
          </w:tcPr>
          <w:p>
            <w:pPr>
              <w:spacing w:after="0"/>
              <w:rPr>
                <w:sz w:val="12"/>
                <w:szCs w:val="12"/>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J. O’Shaughnessy</w:t>
            </w:r>
          </w:p>
        </w:tc>
        <w:tc>
          <w:tcPr>
            <w:tcW w:w="82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71,045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9/10/2021</w:t>
            </w:r>
          </w:p>
        </w:tc>
        <w:tc>
          <w:tcPr>
            <w:tcW w:w="2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w:t>
            </w:r>
          </w:p>
        </w:tc>
        <w:tc>
          <w:tcPr>
            <w:tcW w:w="7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9/10/2026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58,168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12,877</w:t>
            </w:r>
          </w:p>
        </w:tc>
        <w:tc>
          <w:tcPr>
            <w:tcW w:w="0" w:type="dxa"/>
            <w:vAlign w:val="bottom"/>
          </w:tcPr>
          <w:p>
            <w:pPr>
              <w:spacing w:after="0"/>
              <w:rPr>
                <w:sz w:val="1"/>
                <w:szCs w:val="1"/>
                <w:color w:val="auto"/>
              </w:rPr>
            </w:pPr>
          </w:p>
        </w:tc>
      </w:tr>
      <w:tr>
        <w:trPr>
          <w:trHeight w:val="193"/>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Wallace R. Cooney</w:t>
            </w: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4/1/2018</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4/1/2023</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other than the 2022 grant of restricted stock units to Mr. Maas, have been granted in the form of restricted stock under the Company’s 2022 Plan as of December 31,</w:t>
      </w:r>
    </w:p>
    <w:p>
      <w:pPr>
        <w:spacing w:after="0" w:line="3" w:lineRule="exact"/>
        <w:rPr>
          <w:rFonts w:ascii="Times New Roman" w:cs="Times New Roman" w:eastAsia="Times New Roman" w:hAnsi="Times New Roman"/>
          <w:sz w:val="14"/>
          <w:szCs w:val="14"/>
          <w:color w:val="auto"/>
        </w:rPr>
      </w:pPr>
    </w:p>
    <w:p>
      <w:pPr>
        <w:ind w:left="42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All of the awards listed below vest 100% at the end of the relevant award cycle. The following are the vesting dates of the grants to the named executive officers:</w:t>
      </w:r>
    </w:p>
    <w:p>
      <w:pPr>
        <w:spacing w:after="0" w:line="200" w:lineRule="exact"/>
        <w:rPr>
          <w:sz w:val="20"/>
          <w:szCs w:val="20"/>
          <w:color w:val="auto"/>
        </w:rPr>
      </w:pPr>
    </w:p>
    <w:tbl>
      <w:tblPr>
        <w:tblLayout w:type="fixed"/>
        <w:tblInd w:w="2744"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8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Wallace R. Cooney</w:t>
            </w:r>
          </w:p>
        </w:tc>
        <w:tc>
          <w:tcPr>
            <w:tcW w:w="1160" w:type="dxa"/>
            <w:vAlign w:val="bottom"/>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430</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1/2/2029</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616</w:t>
            </w:r>
          </w:p>
        </w:tc>
        <w:tc>
          <w:tcPr>
            <w:tcW w:w="4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1/4/2027</w:t>
            </w:r>
          </w:p>
        </w:tc>
        <w:tc>
          <w:tcPr>
            <w:tcW w:w="0" w:type="dxa"/>
            <w:vAlign w:val="bottom"/>
          </w:tcPr>
          <w:p>
            <w:pPr>
              <w:spacing w:after="0"/>
              <w:rPr>
                <w:sz w:val="1"/>
                <w:szCs w:val="1"/>
                <w:color w:val="auto"/>
              </w:rPr>
            </w:pPr>
          </w:p>
        </w:tc>
      </w:tr>
      <w:tr>
        <w:trPr>
          <w:trHeight w:val="19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Jacob M. Maas</w:t>
            </w:r>
          </w:p>
        </w:tc>
        <w:tc>
          <w:tcPr>
            <w:tcW w:w="11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rPr>
              <w:t>430</w:t>
            </w:r>
          </w:p>
        </w:tc>
        <w:tc>
          <w:tcPr>
            <w:tcW w:w="4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1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rPr>
              <w:t>616</w:t>
            </w:r>
          </w:p>
        </w:tc>
        <w:tc>
          <w:tcPr>
            <w:tcW w:w="4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1/4/2027</w:t>
            </w: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Andrew S. Rosen</w:t>
            </w:r>
          </w:p>
        </w:tc>
        <w:tc>
          <w:tcPr>
            <w:tcW w:w="1160" w:type="dxa"/>
            <w:vAlign w:val="bottom"/>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344</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1/2/2029</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493</w:t>
            </w:r>
          </w:p>
        </w:tc>
        <w:tc>
          <w:tcPr>
            <w:tcW w:w="4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1/4/2027</w:t>
            </w:r>
          </w:p>
        </w:tc>
        <w:tc>
          <w:tcPr>
            <w:tcW w:w="0" w:type="dxa"/>
            <w:vAlign w:val="bottom"/>
          </w:tcPr>
          <w:p>
            <w:pPr>
              <w:spacing w:after="0"/>
              <w:rPr>
                <w:sz w:val="1"/>
                <w:szCs w:val="1"/>
                <w:color w:val="auto"/>
              </w:rPr>
            </w:pPr>
          </w:p>
        </w:tc>
      </w:tr>
      <w:tr>
        <w:trPr>
          <w:trHeight w:val="19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Nicole M. Maddrey</w:t>
            </w:r>
          </w:p>
        </w:tc>
        <w:tc>
          <w:tcPr>
            <w:tcW w:w="11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rPr>
              <w:t>401</w:t>
            </w:r>
          </w:p>
        </w:tc>
        <w:tc>
          <w:tcPr>
            <w:tcW w:w="4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1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rPr>
              <w:t>575</w:t>
            </w:r>
          </w:p>
        </w:tc>
        <w:tc>
          <w:tcPr>
            <w:tcW w:w="4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1/4/2027</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44" w:right="220"/>
        <w:spacing w:after="0" w:line="233" w:lineRule="auto"/>
        <w:rPr>
          <w:sz w:val="20"/>
          <w:szCs w:val="20"/>
          <w:color w:val="auto"/>
        </w:rPr>
      </w:pPr>
      <w:r>
        <w:rPr>
          <w:rFonts w:ascii="Times New Roman" w:cs="Times New Roman" w:eastAsia="Times New Roman" w:hAnsi="Times New Roman"/>
          <w:sz w:val="14"/>
          <w:szCs w:val="14"/>
          <w:color w:val="auto"/>
        </w:rPr>
        <w:t>In 2022, Mr. Maas received a restricted stock unit award that is subject to price-based vesting conditions. Mr. Maas’ award vests as follows: 1,000 shares will vest if the Company’s Class B Common Stock’s closing share price meets or exceeds $700 per share for 90 consecutive calendar days; and an additional 1,000 shares will vest following each incremental increase of $100 per share (above $700) in the Company’s share price for 90 consecutive calendar days. Each target can only be achieved once through the award’s expiration date (December 31, 2027). The grant date fair value of the stock award was estimated using a Monte Carlo simulation and is recognized over the derived service period of each tranche. The first tranche of this award vested in 2024 and the second and third tranches vested in 2025.</w:t>
      </w:r>
    </w:p>
    <w:p>
      <w:pPr>
        <w:spacing w:after="0" w:line="204"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closing price of a share of the Company’s Class B Common Stock as of December 31, 2025 ($1,098.60).</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97" w:right="439" w:bottom="1440" w:gutter="0" w:footer="0" w:header="0"/>
        </w:sectPr>
      </w:pPr>
    </w:p>
    <w:bookmarkStart w:id="30" w:name="page31"/>
    <w:bookmarkEnd w:id="30"/>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shows the number of Class B shares acquired upon the exercise of options and/or vesting of stock awards held by the named executive officers in fiscal year 2025 and the value realized upon such vesting.</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4400" w:type="dxa"/>
            <w:vAlign w:val="bottom"/>
            <w:tcBorders>
              <w:top w:val="single" w:sz="8" w:color="auto"/>
              <w:left w:val="single" w:sz="8" w:color="auto"/>
              <w:right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2760" w:type="dxa"/>
            <w:vAlign w:val="bottom"/>
            <w:tcBorders>
              <w:top w:val="single" w:sz="8" w:color="auto"/>
              <w:bottom w:val="single" w:sz="8" w:color="auto"/>
              <w:right w:val="single" w:sz="8" w:color="auto"/>
            </w:tcBorders>
            <w:gridSpan w:val="2"/>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540" w:type="dxa"/>
            <w:vAlign w:val="bottom"/>
            <w:tcBorders>
              <w:top w:val="single" w:sz="8" w:color="auto"/>
              <w:bottom w:val="single" w:sz="8" w:color="auto"/>
              <w:right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4400" w:type="dxa"/>
            <w:vAlign w:val="bottom"/>
            <w:tcBorders>
              <w:left w:val="single" w:sz="8" w:color="auto"/>
              <w:right w:val="single" w:sz="8" w:color="auto"/>
            </w:tcBorders>
          </w:tcPr>
          <w:p>
            <w:pPr>
              <w:spacing w:after="0"/>
              <w:rPr>
                <w:sz w:val="10"/>
                <w:szCs w:val="10"/>
                <w:color w:val="auto"/>
              </w:rPr>
            </w:pPr>
          </w:p>
        </w:tc>
        <w:tc>
          <w:tcPr>
            <w:tcW w:w="3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20" w:type="dxa"/>
            <w:vAlign w:val="bottom"/>
            <w:tcBorders>
              <w:right w:val="single" w:sz="8" w:color="auto"/>
            </w:tcBorders>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5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720" w:type="dxa"/>
            <w:vAlign w:val="bottom"/>
          </w:tcPr>
          <w:p>
            <w:pPr>
              <w:jc w:val="center"/>
              <w:ind w:left="46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Borders>
              <w:left w:val="single" w:sz="8" w:color="auto"/>
              <w:right w:val="single" w:sz="8" w:color="auto"/>
            </w:tcBorders>
          </w:tcPr>
          <w:p>
            <w:pPr>
              <w:spacing w:after="0"/>
              <w:rPr>
                <w:sz w:val="12"/>
                <w:szCs w:val="12"/>
                <w:color w:val="auto"/>
              </w:rPr>
            </w:pPr>
          </w:p>
        </w:tc>
        <w:tc>
          <w:tcPr>
            <w:tcW w:w="340" w:type="dxa"/>
            <w:vAlign w:val="bottom"/>
            <w:vMerge w:val="continue"/>
          </w:tcPr>
          <w:p>
            <w:pPr>
              <w:spacing w:after="0"/>
              <w:rPr>
                <w:sz w:val="12"/>
                <w:szCs w:val="12"/>
                <w:color w:val="auto"/>
              </w:rPr>
            </w:pPr>
          </w:p>
        </w:tc>
        <w:tc>
          <w:tcPr>
            <w:tcW w:w="122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1540" w:type="dxa"/>
            <w:vAlign w:val="bottom"/>
            <w:tcBorders>
              <w:right w:val="single" w:sz="8" w:color="auto"/>
            </w:tcBorders>
            <w:vMerge w:val="continue"/>
          </w:tcPr>
          <w:p>
            <w:pPr>
              <w:spacing w:after="0"/>
              <w:rPr>
                <w:sz w:val="12"/>
                <w:szCs w:val="12"/>
                <w:color w:val="auto"/>
              </w:rPr>
            </w:pPr>
          </w:p>
        </w:tc>
        <w:tc>
          <w:tcPr>
            <w:tcW w:w="17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      Shares Acquired </w:t>
            </w:r>
          </w:p>
        </w:tc>
        <w:tc>
          <w:tcPr>
            <w:tcW w:w="22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340" w:type="dxa"/>
            <w:vAlign w:val="bottom"/>
          </w:tcPr>
          <w:p>
            <w:pPr>
              <w:spacing w:after="0"/>
              <w:rPr>
                <w:sz w:val="13"/>
                <w:szCs w:val="13"/>
                <w:color w:val="auto"/>
              </w:rPr>
            </w:pPr>
          </w:p>
        </w:tc>
        <w:tc>
          <w:tcPr>
            <w:tcW w:w="1220" w:type="dxa"/>
            <w:vAlign w:val="bottom"/>
            <w:tcBorders>
              <w:right w:val="single" w:sz="8" w:color="auto"/>
            </w:tcBorders>
          </w:tcPr>
          <w:p>
            <w:pPr>
              <w:jc w:val="center"/>
              <w:ind w:right="49"/>
              <w:spacing w:after="0" w:line="160" w:lineRule="exact"/>
              <w:rPr>
                <w:sz w:val="20"/>
                <w:szCs w:val="20"/>
                <w:color w:val="auto"/>
              </w:rPr>
            </w:pPr>
            <w:r>
              <w:rPr>
                <w:rFonts w:ascii="Times New Roman" w:cs="Times New Roman" w:eastAsia="Times New Roman" w:hAnsi="Times New Roman"/>
                <w:sz w:val="14"/>
                <w:szCs w:val="14"/>
                <w:b w:val="1"/>
                <w:bCs w:val="1"/>
                <w:color w:val="auto"/>
              </w:rPr>
              <w:t>on Exercise (#)</w:t>
            </w:r>
          </w:p>
        </w:tc>
        <w:tc>
          <w:tcPr>
            <w:tcW w:w="1540" w:type="dxa"/>
            <w:vAlign w:val="bottom"/>
            <w:tcBorders>
              <w:right w:val="single" w:sz="8" w:color="auto"/>
            </w:tcBorders>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   on Exercise ($)</w:t>
            </w:r>
          </w:p>
        </w:tc>
        <w:tc>
          <w:tcPr>
            <w:tcW w:w="1720" w:type="dxa"/>
            <w:vAlign w:val="bottom"/>
          </w:tcPr>
          <w:p>
            <w:pPr>
              <w:jc w:val="center"/>
              <w:ind w:left="449"/>
              <w:spacing w:after="0" w:line="160"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2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   Value Realized</w:t>
            </w:r>
          </w:p>
        </w:tc>
        <w:tc>
          <w:tcPr>
            <w:tcW w:w="0" w:type="dxa"/>
            <w:vAlign w:val="bottom"/>
          </w:tcPr>
          <w:p>
            <w:pPr>
              <w:spacing w:after="0"/>
              <w:rPr>
                <w:sz w:val="1"/>
                <w:szCs w:val="1"/>
                <w:color w:val="auto"/>
              </w:rPr>
            </w:pPr>
          </w:p>
        </w:tc>
      </w:tr>
      <w:tr>
        <w:trPr>
          <w:trHeight w:val="175"/>
        </w:trPr>
        <w:tc>
          <w:tcPr>
            <w:tcW w:w="44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w:t>
            </w:r>
          </w:p>
        </w:tc>
        <w:tc>
          <w:tcPr>
            <w:tcW w:w="1540" w:type="dxa"/>
            <w:vAlign w:val="bottom"/>
            <w:tcBorders>
              <w:bottom w:val="single" w:sz="8" w:color="auto"/>
              <w:right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w:t>
            </w:r>
          </w:p>
        </w:tc>
        <w:tc>
          <w:tcPr>
            <w:tcW w:w="1720" w:type="dxa"/>
            <w:vAlign w:val="bottom"/>
            <w:tcBorders>
              <w:bottom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on Vesting ($) (e)</w:t>
            </w:r>
          </w:p>
        </w:tc>
        <w:tc>
          <w:tcPr>
            <w:tcW w:w="0" w:type="dxa"/>
            <w:vAlign w:val="bottom"/>
          </w:tcPr>
          <w:p>
            <w:pPr>
              <w:spacing w:after="0"/>
              <w:rPr>
                <w:sz w:val="1"/>
                <w:szCs w:val="1"/>
                <w:color w:val="auto"/>
              </w:rPr>
            </w:pPr>
          </w:p>
        </w:tc>
      </w:tr>
      <w:tr>
        <w:trPr>
          <w:trHeight w:val="215"/>
        </w:trPr>
        <w:tc>
          <w:tcPr>
            <w:tcW w:w="440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Timothy J. O’Shaughnessy</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right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22,742</w:t>
            </w:r>
          </w:p>
        </w:tc>
        <w:tc>
          <w:tcPr>
            <w:tcW w:w="1540" w:type="dxa"/>
            <w:vAlign w:val="bottom"/>
            <w:tcBorders>
              <w:bottom w:val="single" w:sz="8" w:color="CCEEFF"/>
              <w:right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5,540,573</w:t>
            </w:r>
          </w:p>
        </w:tc>
        <w:tc>
          <w:tcPr>
            <w:tcW w:w="1720" w:type="dxa"/>
            <w:vAlign w:val="bottom"/>
            <w:tcBorders>
              <w:bottom w:val="single" w:sz="8" w:color="CCEEFF"/>
            </w:tcBorders>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CEEFF"/>
              <w:right w:val="single" w:sz="8" w:color="auto"/>
            </w:tcBorders>
            <w:shd w:val="clear" w:color="auto" w:fill="CCEEFF"/>
          </w:tcPr>
          <w:p>
            <w:pPr>
              <w:spacing w:after="0"/>
              <w:rPr>
                <w:sz w:val="18"/>
                <w:szCs w:val="18"/>
                <w:color w:val="auto"/>
              </w:rPr>
            </w:pPr>
          </w:p>
        </w:tc>
        <w:tc>
          <w:tcPr>
            <w:tcW w:w="1600" w:type="dxa"/>
            <w:vAlign w:val="bottom"/>
            <w:tcBorders>
              <w:bottom w:val="single" w:sz="8" w:color="CCEEFF"/>
              <w:right w:val="single" w:sz="8" w:color="auto"/>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6"/>
        </w:trPr>
        <w:tc>
          <w:tcPr>
            <w:tcW w:w="44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Wallace R. Cooney</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tcBorders>
              <w:top w:val="single" w:sz="8" w:color="auto"/>
              <w:right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720" w:type="dxa"/>
            <w:vAlign w:val="bottom"/>
            <w:tcBorders>
              <w:top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color w:val="auto"/>
              </w:rPr>
              <w:t>700</w:t>
            </w:r>
          </w:p>
        </w:tc>
        <w:tc>
          <w:tcPr>
            <w:tcW w:w="220" w:type="dxa"/>
            <w:vAlign w:val="bottom"/>
            <w:tcBorders>
              <w:top w:val="single" w:sz="8" w:color="auto"/>
              <w:right w:val="single" w:sz="8" w:color="auto"/>
            </w:tcBorders>
          </w:tcPr>
          <w:p>
            <w:pPr>
              <w:spacing w:after="0"/>
              <w:rPr>
                <w:sz w:val="16"/>
                <w:szCs w:val="16"/>
                <w:color w:val="auto"/>
              </w:rPr>
            </w:pPr>
          </w:p>
        </w:tc>
        <w:tc>
          <w:tcPr>
            <w:tcW w:w="1600" w:type="dxa"/>
            <w:vAlign w:val="bottom"/>
            <w:tcBorders>
              <w:top w:val="single" w:sz="8" w:color="auto"/>
              <w:right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color w:val="auto"/>
              </w:rPr>
              <w:t>610,309</w:t>
            </w:r>
          </w:p>
        </w:tc>
        <w:tc>
          <w:tcPr>
            <w:tcW w:w="0" w:type="dxa"/>
            <w:vAlign w:val="bottom"/>
          </w:tcPr>
          <w:p>
            <w:pPr>
              <w:spacing w:after="0"/>
              <w:rPr>
                <w:sz w:val="1"/>
                <w:szCs w:val="1"/>
                <w:color w:val="auto"/>
              </w:rPr>
            </w:pPr>
          </w:p>
        </w:tc>
      </w:tr>
      <w:tr>
        <w:trPr>
          <w:trHeight w:val="23"/>
        </w:trPr>
        <w:tc>
          <w:tcPr>
            <w:tcW w:w="440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40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Jacob M. Maas</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right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2,000</w:t>
            </w:r>
          </w:p>
        </w:tc>
        <w:tc>
          <w:tcPr>
            <w:tcW w:w="1540" w:type="dxa"/>
            <w:vAlign w:val="bottom"/>
            <w:tcBorders>
              <w:bottom w:val="single" w:sz="8" w:color="CCEEFF"/>
              <w:right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534,000</w:t>
            </w:r>
          </w:p>
        </w:tc>
        <w:tc>
          <w:tcPr>
            <w:tcW w:w="1720" w:type="dxa"/>
            <w:vAlign w:val="bottom"/>
            <w:tcBorders>
              <w:bottom w:val="single" w:sz="8" w:color="CCEEFF"/>
            </w:tcBorders>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2,700</w:t>
            </w:r>
          </w:p>
        </w:tc>
        <w:tc>
          <w:tcPr>
            <w:tcW w:w="220" w:type="dxa"/>
            <w:vAlign w:val="bottom"/>
            <w:tcBorders>
              <w:bottom w:val="single" w:sz="8" w:color="CCEEFF"/>
              <w:right w:val="single" w:sz="8" w:color="auto"/>
            </w:tcBorders>
            <w:shd w:val="clear" w:color="auto" w:fill="CCEEFF"/>
          </w:tcPr>
          <w:p>
            <w:pPr>
              <w:spacing w:after="0"/>
              <w:rPr>
                <w:sz w:val="18"/>
                <w:szCs w:val="18"/>
                <w:color w:val="auto"/>
              </w:rPr>
            </w:pPr>
          </w:p>
        </w:tc>
        <w:tc>
          <w:tcPr>
            <w:tcW w:w="1600" w:type="dxa"/>
            <w:vAlign w:val="bottom"/>
            <w:tcBorders>
              <w:bottom w:val="single" w:sz="8" w:color="CCEEFF"/>
              <w:right w:val="single" w:sz="8" w:color="auto"/>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2,516,289</w:t>
            </w:r>
          </w:p>
        </w:tc>
        <w:tc>
          <w:tcPr>
            <w:tcW w:w="0" w:type="dxa"/>
            <w:vAlign w:val="bottom"/>
          </w:tcPr>
          <w:p>
            <w:pPr>
              <w:spacing w:after="0"/>
              <w:rPr>
                <w:sz w:val="1"/>
                <w:szCs w:val="1"/>
                <w:color w:val="auto"/>
              </w:rPr>
            </w:pPr>
          </w:p>
        </w:tc>
      </w:tr>
      <w:tr>
        <w:trPr>
          <w:trHeight w:val="186"/>
        </w:trPr>
        <w:tc>
          <w:tcPr>
            <w:tcW w:w="44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Andrew S. Rosen</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tcBorders>
              <w:top w:val="single" w:sz="8" w:color="auto"/>
              <w:right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720" w:type="dxa"/>
            <w:vAlign w:val="bottom"/>
            <w:tcBorders>
              <w:top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color w:val="auto"/>
              </w:rPr>
              <w:t>560</w:t>
            </w:r>
          </w:p>
        </w:tc>
        <w:tc>
          <w:tcPr>
            <w:tcW w:w="220" w:type="dxa"/>
            <w:vAlign w:val="bottom"/>
            <w:tcBorders>
              <w:top w:val="single" w:sz="8" w:color="auto"/>
              <w:right w:val="single" w:sz="8" w:color="auto"/>
            </w:tcBorders>
          </w:tcPr>
          <w:p>
            <w:pPr>
              <w:spacing w:after="0"/>
              <w:rPr>
                <w:sz w:val="16"/>
                <w:szCs w:val="16"/>
                <w:color w:val="auto"/>
              </w:rPr>
            </w:pPr>
          </w:p>
        </w:tc>
        <w:tc>
          <w:tcPr>
            <w:tcW w:w="1600" w:type="dxa"/>
            <w:vAlign w:val="bottom"/>
            <w:tcBorders>
              <w:top w:val="single" w:sz="8" w:color="auto"/>
              <w:right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color w:val="auto"/>
              </w:rPr>
              <w:t>488,247</w:t>
            </w:r>
          </w:p>
        </w:tc>
        <w:tc>
          <w:tcPr>
            <w:tcW w:w="0" w:type="dxa"/>
            <w:vAlign w:val="bottom"/>
          </w:tcPr>
          <w:p>
            <w:pPr>
              <w:spacing w:after="0"/>
              <w:rPr>
                <w:sz w:val="1"/>
                <w:szCs w:val="1"/>
                <w:color w:val="auto"/>
              </w:rPr>
            </w:pPr>
          </w:p>
        </w:tc>
      </w:tr>
      <w:tr>
        <w:trPr>
          <w:trHeight w:val="23"/>
        </w:trPr>
        <w:tc>
          <w:tcPr>
            <w:tcW w:w="440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Nicole M. Maddrey</w:t>
            </w:r>
          </w:p>
        </w:tc>
        <w:tc>
          <w:tcPr>
            <w:tcW w:w="3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right w:val="single" w:sz="8" w:color="auto"/>
            </w:tcBorders>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tcBorders>
              <w:bottom w:val="single" w:sz="8" w:color="CCEEFF"/>
              <w:right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99"/>
              </w:rPr>
              <w:t>—</w:t>
            </w:r>
          </w:p>
        </w:tc>
        <w:tc>
          <w:tcPr>
            <w:tcW w:w="1720" w:type="dxa"/>
            <w:vAlign w:val="bottom"/>
            <w:tcBorders>
              <w:bottom w:val="single" w:sz="8" w:color="CCEEFF"/>
            </w:tcBorders>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rPr>
              <w:t>597</w:t>
            </w:r>
          </w:p>
        </w:tc>
        <w:tc>
          <w:tcPr>
            <w:tcW w:w="220" w:type="dxa"/>
            <w:vAlign w:val="bottom"/>
            <w:tcBorders>
              <w:bottom w:val="single" w:sz="8" w:color="CCEEFF"/>
              <w:right w:val="single" w:sz="8" w:color="auto"/>
            </w:tcBorders>
            <w:shd w:val="clear" w:color="auto" w:fill="CCEEFF"/>
          </w:tcPr>
          <w:p>
            <w:pPr>
              <w:spacing w:after="0"/>
              <w:rPr>
                <w:sz w:val="16"/>
                <w:szCs w:val="16"/>
                <w:color w:val="auto"/>
              </w:rPr>
            </w:pPr>
          </w:p>
        </w:tc>
        <w:tc>
          <w:tcPr>
            <w:tcW w:w="1600" w:type="dxa"/>
            <w:vAlign w:val="bottom"/>
            <w:tcBorders>
              <w:bottom w:val="single" w:sz="8" w:color="CCEEFF"/>
              <w:right w:val="single" w:sz="8" w:color="auto"/>
            </w:tcBorders>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520,506</w:t>
            </w:r>
          </w:p>
        </w:tc>
        <w:tc>
          <w:tcPr>
            <w:tcW w:w="0" w:type="dxa"/>
            <w:vAlign w:val="bottom"/>
          </w:tcPr>
          <w:p>
            <w:pPr>
              <w:spacing w:after="0"/>
              <w:rPr>
                <w:sz w:val="1"/>
                <w:szCs w:val="1"/>
                <w:color w:val="auto"/>
              </w:rPr>
            </w:pPr>
          </w:p>
        </w:tc>
      </w:tr>
      <w:tr>
        <w:trPr>
          <w:trHeight w:val="20"/>
        </w:trPr>
        <w:tc>
          <w:tcPr>
            <w:tcW w:w="4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The following table and the footnotes thereto set forth certain information as of December 31, 2025, concerning compensation plans of the Company under which equity securities of the Company are authorized to be issued. All equity awards are with respect to shares of Class B Common Stock.</w:t>
      </w:r>
    </w:p>
    <w:p>
      <w:pPr>
        <w:spacing w:after="0" w:line="184"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20" w:type="dxa"/>
            <w:vAlign w:val="bottom"/>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120" w:type="dxa"/>
            <w:vAlign w:val="bottom"/>
            <w:gridSpan w:val="3"/>
          </w:tcPr>
          <w:p>
            <w:pPr>
              <w:jc w:val="center"/>
              <w:ind w:left="344"/>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2120" w:type="dxa"/>
            <w:vAlign w:val="bottom"/>
            <w:gridSpan w:val="3"/>
          </w:tcPr>
          <w:p>
            <w:pPr>
              <w:jc w:val="center"/>
              <w:ind w:left="344"/>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1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20" w:type="dxa"/>
            <w:vAlign w:val="bottom"/>
            <w:gridSpan w:val="3"/>
          </w:tcPr>
          <w:p>
            <w:pPr>
              <w:jc w:val="center"/>
              <w:ind w:left="344"/>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1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120" w:type="dxa"/>
            <w:vAlign w:val="bottom"/>
            <w:gridSpan w:val="3"/>
          </w:tcPr>
          <w:p>
            <w:pPr>
              <w:jc w:val="center"/>
              <w:ind w:left="324"/>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1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120" w:type="dxa"/>
            <w:vAlign w:val="bottom"/>
            <w:gridSpan w:val="3"/>
          </w:tcPr>
          <w:p>
            <w:pPr>
              <w:jc w:val="center"/>
              <w:ind w:left="344"/>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(a)</w:t>
            </w:r>
          </w:p>
        </w:tc>
        <w:tc>
          <w:tcPr>
            <w:tcW w:w="2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w:t>
            </w:r>
          </w:p>
        </w:tc>
        <w:tc>
          <w:tcPr>
            <w:tcW w:w="2120" w:type="dxa"/>
            <w:vAlign w:val="bottom"/>
            <w:gridSpan w:val="3"/>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approved by security</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6"/>
                <w:szCs w:val="26"/>
                <w:color w:val="auto"/>
                <w:vertAlign w:val="superscript"/>
              </w:rPr>
              <w:t>(1)</w:t>
            </w:r>
          </w:p>
        </w:tc>
        <w:tc>
          <w:tcPr>
            <w:tcW w:w="2320" w:type="dxa"/>
            <w:vAlign w:val="bottom"/>
            <w:gridSpan w:val="3"/>
            <w:shd w:val="clear" w:color="auto" w:fill="CCEEFF"/>
          </w:tcPr>
          <w:p>
            <w:pPr>
              <w:jc w:val="right"/>
              <w:ind w:right="420"/>
              <w:spacing w:after="0" w:line="235" w:lineRule="exact"/>
              <w:rPr>
                <w:sz w:val="20"/>
                <w:szCs w:val="20"/>
                <w:color w:val="auto"/>
              </w:rPr>
            </w:pPr>
            <w:r>
              <w:rPr>
                <w:rFonts w:ascii="Times New Roman" w:cs="Times New Roman" w:eastAsia="Times New Roman" w:hAnsi="Times New Roman"/>
                <w:sz w:val="18"/>
                <w:szCs w:val="18"/>
                <w:color w:val="auto"/>
              </w:rPr>
              <w:t>73,045</w:t>
            </w:r>
            <w:r>
              <w:rPr>
                <w:rFonts w:ascii="Times New Roman" w:cs="Times New Roman" w:eastAsia="Times New Roman" w:hAnsi="Times New Roman"/>
                <w:sz w:val="26"/>
                <w:szCs w:val="26"/>
                <w:color w:val="auto"/>
                <w:vertAlign w:val="superscript"/>
              </w:rPr>
              <w:t>(1)(2)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$438.33</w:t>
            </w:r>
          </w:p>
        </w:tc>
        <w:tc>
          <w:tcPr>
            <w:tcW w:w="54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473,428</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04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73,045</w:t>
            </w:r>
          </w:p>
        </w:tc>
        <w:tc>
          <w:tcPr>
            <w:tcW w:w="7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438.33</w:t>
            </w:r>
          </w:p>
        </w:tc>
        <w:tc>
          <w:tcPr>
            <w:tcW w:w="54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473,428</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Legacy Plan and the 2022 Plan.</w:t>
      </w:r>
    </w:p>
    <w:p>
      <w:pPr>
        <w:spacing w:after="0" w:line="3" w:lineRule="exact"/>
        <w:rPr>
          <w:rFonts w:ascii="Times New Roman" w:cs="Times New Roman" w:eastAsia="Times New Roman" w:hAnsi="Times New Roman"/>
          <w:sz w:val="14"/>
          <w:szCs w:val="14"/>
          <w:color w:val="auto"/>
        </w:rPr>
      </w:pPr>
    </w:p>
    <w:p>
      <w:pPr>
        <w:ind w:left="424" w:right="840" w:hanging="424"/>
        <w:spacing w:after="0" w:line="221" w:lineRule="auto"/>
        <w:tabs>
          <w:tab w:leader="none" w:pos="4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does not include 25,396 restricted stock grants and contingently issuable shares awarded under the Legacy Plan or the 2022 Plan that were outstanding as of December 31, 2025.</w:t>
      </w:r>
    </w:p>
    <w:p>
      <w:pPr>
        <w:ind w:left="424" w:hanging="424"/>
        <w:spacing w:after="0"/>
        <w:tabs>
          <w:tab w:leader="none" w:pos="4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solely of shares available under the 2022 Plan. All shares available for issuance under the Legacy Plan are subject to outstanding awards.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4"/>
          </w:cols>
          <w:pgMar w:left="436" w:top="297" w:right="4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 VERSUS PERFORMANCE</w:t>
      </w:r>
    </w:p>
    <w:p>
      <w:pPr>
        <w:spacing w:after="0" w:line="22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following table and supporting graphics provide information regarding the relationship between executive compensation actually paid (as defined by SEC rules) and the Company’s financial performance as required by Item 402(v) of Regulation S-K. For further information about how the Company aligns executive compensation with performance, see “Compensation Discussion and Analysis” in this Proxy Statement. The amounts in the table below are calculated in accordance with SEC rules and do not represent amounts actually earned or realized by the named executive officers (NEOs).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420" w:type="dxa"/>
            <w:vAlign w:val="bottom"/>
            <w:tcBorders>
              <w:top w:val="single" w:sz="8" w:color="auto"/>
              <w:left w:val="single" w:sz="8" w:color="auto"/>
              <w:right w:val="single" w:sz="8" w:color="auto"/>
            </w:tcBorders>
          </w:tcPr>
          <w:p>
            <w:pPr>
              <w:spacing w:after="0"/>
              <w:rPr>
                <w:sz w:val="14"/>
                <w:szCs w:val="14"/>
                <w:color w:val="auto"/>
              </w:rPr>
            </w:pPr>
          </w:p>
        </w:tc>
        <w:tc>
          <w:tcPr>
            <w:tcW w:w="116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spacing w:after="0"/>
              <w:rPr>
                <w:sz w:val="14"/>
                <w:szCs w:val="14"/>
                <w:color w:val="auto"/>
              </w:rPr>
            </w:pPr>
          </w:p>
        </w:tc>
        <w:tc>
          <w:tcPr>
            <w:tcW w:w="1120" w:type="dxa"/>
            <w:vAlign w:val="bottom"/>
            <w:tcBorders>
              <w:top w:val="single" w:sz="8" w:color="auto"/>
              <w:right w:val="single" w:sz="8" w:color="auto"/>
            </w:tcBorders>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Borders>
              <w:top w:val="single" w:sz="8" w:color="auto"/>
              <w:right w:val="single" w:sz="8" w:color="auto"/>
            </w:tcBorders>
          </w:tcPr>
          <w:p>
            <w:pPr>
              <w:spacing w:after="0"/>
              <w:rPr>
                <w:sz w:val="14"/>
                <w:szCs w:val="14"/>
                <w:color w:val="auto"/>
              </w:rPr>
            </w:pPr>
          </w:p>
        </w:tc>
        <w:tc>
          <w:tcPr>
            <w:tcW w:w="2020" w:type="dxa"/>
            <w:vAlign w:val="bottom"/>
            <w:tcBorders>
              <w:top w:val="single" w:sz="8" w:color="auto"/>
              <w:right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96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24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20" w:type="dxa"/>
            <w:vAlign w:val="bottom"/>
            <w:tcBorders>
              <w:right w:val="single" w:sz="8" w:color="auto"/>
            </w:tcBorders>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 On:</w:t>
            </w:r>
          </w:p>
        </w:tc>
        <w:tc>
          <w:tcPr>
            <w:tcW w:w="9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7"/>
        </w:trPr>
        <w:tc>
          <w:tcPr>
            <w:tcW w:w="2420" w:type="dxa"/>
            <w:vAlign w:val="bottom"/>
            <w:tcBorders>
              <w:left w:val="single" w:sz="8" w:color="auto"/>
              <w:right w:val="single" w:sz="8" w:color="auto"/>
            </w:tcBorders>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vMerge w:val="restart"/>
          </w:tcPr>
          <w:p>
            <w:pPr>
              <w:jc w:val="center"/>
              <w:ind w:left="128"/>
              <w:spacing w:after="0" w:line="124"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140" w:type="dxa"/>
            <w:vAlign w:val="bottom"/>
            <w:tcBorders>
              <w:right w:val="single" w:sz="8" w:color="auto"/>
            </w:tcBorders>
            <w:vMerge w:val="restart"/>
          </w:tcPr>
          <w:p>
            <w:pPr>
              <w:jc w:val="center"/>
              <w:ind w:left="128"/>
              <w:spacing w:after="0" w:line="12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080" w:type="dxa"/>
            <w:vAlign w:val="bottom"/>
            <w:tcBorders>
              <w:right w:val="single" w:sz="8" w:color="auto"/>
            </w:tcBorders>
            <w:vMerge w:val="restart"/>
          </w:tcPr>
          <w:p>
            <w:pPr>
              <w:jc w:val="center"/>
              <w:ind w:left="128"/>
              <w:spacing w:after="0" w:line="124"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77"/>
        </w:trPr>
        <w:tc>
          <w:tcPr>
            <w:tcW w:w="2420" w:type="dxa"/>
            <w:vAlign w:val="bottom"/>
            <w:tcBorders>
              <w:left w:val="single" w:sz="8" w:color="auto"/>
              <w:right w:val="single" w:sz="8" w:color="auto"/>
            </w:tcBorders>
          </w:tcPr>
          <w:p>
            <w:pPr>
              <w:spacing w:after="0"/>
              <w:rPr>
                <w:sz w:val="6"/>
                <w:szCs w:val="6"/>
                <w:color w:val="auto"/>
              </w:rPr>
            </w:pPr>
          </w:p>
        </w:tc>
        <w:tc>
          <w:tcPr>
            <w:tcW w:w="1160" w:type="dxa"/>
            <w:vAlign w:val="bottom"/>
            <w:tcBorders>
              <w:right w:val="single" w:sz="8" w:color="auto"/>
            </w:tcBorders>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4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96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tcBorders>
              <w:right w:val="single" w:sz="8" w:color="auto"/>
            </w:tcBorders>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24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140" w:type="dxa"/>
            <w:vAlign w:val="bottom"/>
            <w:tcBorders>
              <w:right w:val="single" w:sz="8" w:color="auto"/>
            </w:tcBorders>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Borders>
              <w:right w:val="single" w:sz="8" w:color="auto"/>
            </w:tcBorders>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8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9"/>
        </w:trPr>
        <w:tc>
          <w:tcPr>
            <w:tcW w:w="2420" w:type="dxa"/>
            <w:vAlign w:val="bottom"/>
            <w:tcBorders>
              <w:left w:val="single" w:sz="8" w:color="auto"/>
              <w:right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60" w:type="dxa"/>
            <w:vAlign w:val="bottom"/>
            <w:tcBorders>
              <w:right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14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2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for Non-CEO</w:t>
            </w:r>
          </w:p>
        </w:tc>
        <w:tc>
          <w:tcPr>
            <w:tcW w:w="1140" w:type="dxa"/>
            <w:vAlign w:val="bottom"/>
            <w:tcBorders>
              <w:right w:val="single" w:sz="8" w:color="auto"/>
            </w:tcBorders>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to Non-CEO</w:t>
            </w:r>
          </w:p>
        </w:tc>
        <w:tc>
          <w:tcPr>
            <w:tcW w:w="102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96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Impairments</w:t>
            </w:r>
          </w:p>
        </w:tc>
        <w:tc>
          <w:tcPr>
            <w:tcW w:w="0" w:type="dxa"/>
            <w:vAlign w:val="bottom"/>
          </w:tcPr>
          <w:p>
            <w:pPr>
              <w:spacing w:after="0"/>
              <w:rPr>
                <w:sz w:val="1"/>
                <w:szCs w:val="1"/>
                <w:color w:val="auto"/>
              </w:rPr>
            </w:pPr>
          </w:p>
        </w:tc>
      </w:tr>
      <w:tr>
        <w:trPr>
          <w:trHeight w:val="148"/>
        </w:trPr>
        <w:tc>
          <w:tcPr>
            <w:tcW w:w="2420" w:type="dxa"/>
            <w:vAlign w:val="bottom"/>
            <w:tcBorders>
              <w:left w:val="single" w:sz="8" w:color="auto"/>
              <w:right w:val="single" w:sz="8" w:color="auto"/>
            </w:tcBorders>
            <w:vMerge w:val="continue"/>
          </w:tcPr>
          <w:p>
            <w:pPr>
              <w:spacing w:after="0"/>
              <w:rPr>
                <w:sz w:val="12"/>
                <w:szCs w:val="12"/>
                <w:color w:val="auto"/>
              </w:rPr>
            </w:pPr>
          </w:p>
        </w:tc>
        <w:tc>
          <w:tcPr>
            <w:tcW w:w="116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CEO ($)</w:t>
            </w:r>
          </w:p>
        </w:tc>
        <w:tc>
          <w:tcPr>
            <w:tcW w:w="114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to CEO ($)</w:t>
            </w:r>
          </w:p>
        </w:tc>
        <w:tc>
          <w:tcPr>
            <w:tcW w:w="112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NEOs ($)</w:t>
            </w:r>
          </w:p>
        </w:tc>
        <w:tc>
          <w:tcPr>
            <w:tcW w:w="1140" w:type="dxa"/>
            <w:vAlign w:val="bottom"/>
            <w:tcBorders>
              <w:right w:val="single" w:sz="8" w:color="auto"/>
            </w:tcBorders>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NEOs ($)</w:t>
            </w:r>
          </w:p>
        </w:tc>
        <w:tc>
          <w:tcPr>
            <w:tcW w:w="102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Return ($)</w:t>
            </w:r>
          </w:p>
        </w:tc>
        <w:tc>
          <w:tcPr>
            <w:tcW w:w="100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Return ($)</w:t>
            </w:r>
          </w:p>
        </w:tc>
        <w:tc>
          <w:tcPr>
            <w:tcW w:w="960" w:type="dxa"/>
            <w:vAlign w:val="bottom"/>
            <w:tcBorders>
              <w:right w:val="single" w:sz="8" w:color="auto"/>
            </w:tcBorders>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 millions)</w:t>
            </w:r>
          </w:p>
        </w:tc>
        <w:tc>
          <w:tcPr>
            <w:tcW w:w="1080" w:type="dxa"/>
            <w:vAlign w:val="bottom"/>
            <w:tcBorders>
              <w:right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187"/>
        </w:trPr>
        <w:tc>
          <w:tcPr>
            <w:tcW w:w="242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160" w:type="dxa"/>
            <w:vAlign w:val="bottom"/>
            <w:tcBorders>
              <w:bottom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140" w:type="dxa"/>
            <w:vAlign w:val="bottom"/>
            <w:tcBorders>
              <w:bottom w:val="single" w:sz="8" w:color="auto"/>
              <w:right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(c)</w:t>
            </w:r>
          </w:p>
        </w:tc>
        <w:tc>
          <w:tcPr>
            <w:tcW w:w="1120" w:type="dxa"/>
            <w:vAlign w:val="bottom"/>
            <w:tcBorders>
              <w:bottom w:val="single" w:sz="8" w:color="auto"/>
              <w:right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w:t>
            </w:r>
          </w:p>
        </w:tc>
        <w:tc>
          <w:tcPr>
            <w:tcW w:w="1140" w:type="dxa"/>
            <w:vAlign w:val="bottom"/>
            <w:tcBorders>
              <w:bottom w:val="single" w:sz="8" w:color="auto"/>
              <w:right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(e)</w:t>
            </w:r>
          </w:p>
        </w:tc>
        <w:tc>
          <w:tcPr>
            <w:tcW w:w="1020" w:type="dxa"/>
            <w:vAlign w:val="bottom"/>
            <w:tcBorders>
              <w:bottom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000" w:type="dxa"/>
            <w:vAlign w:val="bottom"/>
            <w:tcBorders>
              <w:bottom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960" w:type="dxa"/>
            <w:vAlign w:val="bottom"/>
            <w:tcBorders>
              <w:bottom w:val="single" w:sz="8" w:color="auto"/>
              <w:right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(h)</w:t>
            </w:r>
          </w:p>
        </w:tc>
        <w:tc>
          <w:tcPr>
            <w:tcW w:w="1080" w:type="dxa"/>
            <w:vAlign w:val="bottom"/>
            <w:tcBorders>
              <w:bottom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0" w:type="dxa"/>
            <w:vAlign w:val="bottom"/>
          </w:tcPr>
          <w:p>
            <w:pPr>
              <w:spacing w:after="0"/>
              <w:rPr>
                <w:sz w:val="1"/>
                <w:szCs w:val="1"/>
                <w:color w:val="auto"/>
              </w:rPr>
            </w:pPr>
          </w:p>
        </w:tc>
      </w:tr>
      <w:tr>
        <w:trPr>
          <w:trHeight w:val="215"/>
        </w:trPr>
        <w:tc>
          <w:tcPr>
            <w:tcW w:w="2420" w:type="dxa"/>
            <w:vAlign w:val="bottom"/>
            <w:tcBorders>
              <w:left w:val="single" w:sz="8" w:color="auto"/>
              <w:bottom w:val="single" w:sz="8" w:color="CCEEFF"/>
              <w:right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2025</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3,989,759</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9,776,895</w:t>
            </w: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4,550,733</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3,948,261</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216.22</w:t>
            </w:r>
          </w:p>
        </w:tc>
        <w:tc>
          <w:tcPr>
            <w:tcW w:w="10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73.22</w:t>
            </w:r>
          </w:p>
        </w:tc>
        <w:tc>
          <w:tcPr>
            <w:tcW w:w="9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303.3</w:t>
            </w:r>
          </w:p>
        </w:tc>
        <w:tc>
          <w:tcPr>
            <w:tcW w:w="108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279.3</w:t>
            </w:r>
          </w:p>
        </w:tc>
        <w:tc>
          <w:tcPr>
            <w:tcW w:w="0" w:type="dxa"/>
            <w:vAlign w:val="bottom"/>
          </w:tcPr>
          <w:p>
            <w:pPr>
              <w:spacing w:after="0"/>
              <w:rPr>
                <w:sz w:val="1"/>
                <w:szCs w:val="1"/>
                <w:color w:val="auto"/>
              </w:rPr>
            </w:pPr>
          </w:p>
        </w:tc>
      </w:tr>
      <w:tr>
        <w:trPr>
          <w:trHeight w:val="186"/>
        </w:trPr>
        <w:tc>
          <w:tcPr>
            <w:tcW w:w="242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w w:val="99"/>
              </w:rPr>
              <w:t>2024</w:t>
            </w:r>
          </w:p>
        </w:tc>
        <w:tc>
          <w:tcPr>
            <w:tcW w:w="11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3,915,247</w:t>
            </w:r>
          </w:p>
        </w:tc>
        <w:tc>
          <w:tcPr>
            <w:tcW w:w="11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7,648,942</w:t>
            </w:r>
          </w:p>
        </w:tc>
        <w:tc>
          <w:tcPr>
            <w:tcW w:w="11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3,045,433</w:t>
            </w:r>
          </w:p>
        </w:tc>
        <w:tc>
          <w:tcPr>
            <w:tcW w:w="11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3,476,494</w:t>
            </w:r>
          </w:p>
        </w:tc>
        <w:tc>
          <w:tcPr>
            <w:tcW w:w="10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170.27</w:t>
            </w:r>
          </w:p>
        </w:tc>
        <w:tc>
          <w:tcPr>
            <w:tcW w:w="100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73.95</w:t>
            </w:r>
          </w:p>
        </w:tc>
        <w:tc>
          <w:tcPr>
            <w:tcW w:w="9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732.6</w:t>
            </w:r>
          </w:p>
        </w:tc>
        <w:tc>
          <w:tcPr>
            <w:tcW w:w="108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302.4</w:t>
            </w:r>
          </w:p>
        </w:tc>
        <w:tc>
          <w:tcPr>
            <w:tcW w:w="0" w:type="dxa"/>
            <w:vAlign w:val="bottom"/>
          </w:tcPr>
          <w:p>
            <w:pPr>
              <w:spacing w:after="0"/>
              <w:rPr>
                <w:sz w:val="1"/>
                <w:szCs w:val="1"/>
                <w:color w:val="auto"/>
              </w:rPr>
            </w:pPr>
          </w:p>
        </w:tc>
      </w:tr>
      <w:tr>
        <w:trPr>
          <w:trHeight w:val="2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420" w:type="dxa"/>
            <w:vAlign w:val="bottom"/>
            <w:tcBorders>
              <w:left w:val="single" w:sz="8" w:color="auto"/>
              <w:bottom w:val="single" w:sz="8" w:color="CCEEFF"/>
              <w:right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2023</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1,781,256</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4,259,793</w:t>
            </w: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2,684,386</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2,909,823</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134.79</w:t>
            </w:r>
          </w:p>
        </w:tc>
        <w:tc>
          <w:tcPr>
            <w:tcW w:w="10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69.00</w:t>
            </w:r>
          </w:p>
        </w:tc>
        <w:tc>
          <w:tcPr>
            <w:tcW w:w="9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211.7</w:t>
            </w:r>
          </w:p>
        </w:tc>
        <w:tc>
          <w:tcPr>
            <w:tcW w:w="108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218.5</w:t>
            </w:r>
          </w:p>
        </w:tc>
        <w:tc>
          <w:tcPr>
            <w:tcW w:w="0" w:type="dxa"/>
            <w:vAlign w:val="bottom"/>
          </w:tcPr>
          <w:p>
            <w:pPr>
              <w:spacing w:after="0"/>
              <w:rPr>
                <w:sz w:val="1"/>
                <w:szCs w:val="1"/>
                <w:color w:val="auto"/>
              </w:rPr>
            </w:pPr>
          </w:p>
        </w:tc>
      </w:tr>
      <w:tr>
        <w:trPr>
          <w:trHeight w:val="186"/>
        </w:trPr>
        <w:tc>
          <w:tcPr>
            <w:tcW w:w="242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w w:val="99"/>
              </w:rPr>
              <w:t>2022</w:t>
            </w:r>
          </w:p>
        </w:tc>
        <w:tc>
          <w:tcPr>
            <w:tcW w:w="11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3,487,464</w:t>
            </w:r>
          </w:p>
        </w:tc>
        <w:tc>
          <w:tcPr>
            <w:tcW w:w="11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4,277,957</w:t>
            </w:r>
          </w:p>
        </w:tc>
        <w:tc>
          <w:tcPr>
            <w:tcW w:w="11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2,997,459</w:t>
            </w:r>
          </w:p>
        </w:tc>
        <w:tc>
          <w:tcPr>
            <w:tcW w:w="11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3,254,318</w:t>
            </w:r>
          </w:p>
        </w:tc>
        <w:tc>
          <w:tcPr>
            <w:tcW w:w="10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115.65</w:t>
            </w:r>
          </w:p>
        </w:tc>
        <w:tc>
          <w:tcPr>
            <w:tcW w:w="100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60.81</w:t>
            </w:r>
          </w:p>
        </w:tc>
        <w:tc>
          <w:tcPr>
            <w:tcW w:w="9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70.4</w:t>
            </w:r>
          </w:p>
        </w:tc>
        <w:tc>
          <w:tcPr>
            <w:tcW w:w="108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271.7</w:t>
            </w:r>
          </w:p>
        </w:tc>
        <w:tc>
          <w:tcPr>
            <w:tcW w:w="0" w:type="dxa"/>
            <w:vAlign w:val="bottom"/>
          </w:tcPr>
          <w:p>
            <w:pPr>
              <w:spacing w:after="0"/>
              <w:rPr>
                <w:sz w:val="1"/>
                <w:szCs w:val="1"/>
                <w:color w:val="auto"/>
              </w:rPr>
            </w:pPr>
          </w:p>
        </w:tc>
      </w:tr>
      <w:tr>
        <w:trPr>
          <w:trHeight w:val="2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20" w:type="dxa"/>
            <w:vAlign w:val="bottom"/>
            <w:tcBorders>
              <w:left w:val="single" w:sz="8" w:color="auto"/>
              <w:bottom w:val="single" w:sz="8" w:color="CCEEFF"/>
              <w:right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2021</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2,272,461</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7,665,501</w:t>
            </w: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2,438,194</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2,712,613</w:t>
            </w: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0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50.54</w:t>
            </w:r>
          </w:p>
        </w:tc>
        <w:tc>
          <w:tcPr>
            <w:tcW w:w="96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353.3</w:t>
            </w:r>
          </w:p>
        </w:tc>
        <w:tc>
          <w:tcPr>
            <w:tcW w:w="108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168.2</w:t>
            </w:r>
          </w:p>
        </w:tc>
        <w:tc>
          <w:tcPr>
            <w:tcW w:w="0" w:type="dxa"/>
            <w:vAlign w:val="bottom"/>
          </w:tcPr>
          <w:p>
            <w:pPr>
              <w:spacing w:after="0"/>
              <w:rPr>
                <w:sz w:val="1"/>
                <w:szCs w:val="1"/>
                <w:color w:val="auto"/>
              </w:rPr>
            </w:pPr>
          </w:p>
        </w:tc>
      </w:tr>
      <w:tr>
        <w:trPr>
          <w:trHeight w:val="20"/>
        </w:trPr>
        <w:tc>
          <w:tcPr>
            <w:tcW w:w="2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Column (b). </w:t>
      </w:r>
      <w:r>
        <w:rPr>
          <w:rFonts w:ascii="Times New Roman" w:cs="Times New Roman" w:eastAsia="Times New Roman" w:hAnsi="Times New Roman"/>
          <w:sz w:val="18"/>
          <w:szCs w:val="18"/>
          <w:color w:val="auto"/>
        </w:rPr>
        <w:t>Reflects compensation amounts reported in the “Summary Compensation Table” for our CEO, Timothy J. O’Shaughnessy,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respective years shown.</w:t>
      </w:r>
    </w:p>
    <w:p>
      <w:pPr>
        <w:spacing w:after="0" w:line="155" w:lineRule="exact"/>
        <w:rPr>
          <w:sz w:val="20"/>
          <w:szCs w:val="20"/>
          <w:color w:val="auto"/>
        </w:rPr>
      </w:pPr>
    </w:p>
    <w:p>
      <w:pPr>
        <w:ind w:right="1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Column (c). </w:t>
      </w:r>
      <w:r>
        <w:rPr>
          <w:rFonts w:ascii="Times New Roman" w:cs="Times New Roman" w:eastAsia="Times New Roman" w:hAnsi="Times New Roman"/>
          <w:sz w:val="18"/>
          <w:szCs w:val="18"/>
          <w:color w:val="auto"/>
        </w:rPr>
        <w:t>“Compensation actually paid” to the CEO in each of 2025, 2024, 2023, 2022, and 2021 reflects the respective amounts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column (b) of the table above, adjusted as set forth in the table below, as determined in accordance with Item 402(v) of Regulation S-K. The dollar amounts reflected in the table above do not reflect the actual amount of compensation earned or paid to the CEO during the applicable year. The adjustments in the table below were made to Mr. O’Shaughnessy’s total compensation for each year to determine the compensation actually paid in accordance with SEC rules: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606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Mr. O’Shaughnessy</w:t>
            </w:r>
          </w:p>
        </w:tc>
        <w:tc>
          <w:tcPr>
            <w:tcW w:w="8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right w:val="single" w:sz="8" w:color="auto"/>
            </w:tcBorders>
          </w:tcPr>
          <w:p>
            <w:pPr>
              <w:spacing w:after="0"/>
              <w:rPr>
                <w:sz w:val="14"/>
                <w:szCs w:val="14"/>
                <w:color w:val="auto"/>
              </w:rPr>
            </w:pPr>
          </w:p>
        </w:tc>
      </w:tr>
      <w:tr>
        <w:trPr>
          <w:trHeight w:val="142"/>
        </w:trPr>
        <w:tc>
          <w:tcPr>
            <w:tcW w:w="6060" w:type="dxa"/>
            <w:vAlign w:val="bottom"/>
            <w:tcBorders>
              <w:left w:val="single" w:sz="8" w:color="auto"/>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06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Compensation as reported in Summary Compensation Table (SCT)</w:t>
            </w:r>
          </w:p>
        </w:tc>
        <w:tc>
          <w:tcPr>
            <w:tcW w:w="9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$ 3,989,759</w:t>
            </w:r>
          </w:p>
        </w:tc>
        <w:tc>
          <w:tcPr>
            <w:tcW w:w="90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$ 3,915,247</w:t>
            </w: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$1,781,256</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$3,487,464</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$2,272,461</w:t>
            </w:r>
          </w:p>
        </w:tc>
      </w:tr>
      <w:tr>
        <w:trPr>
          <w:trHeight w:val="186"/>
        </w:trPr>
        <w:tc>
          <w:tcPr>
            <w:tcW w:w="60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Less: Change in Pension Value and Non-Qualified Deferred Compensation Earnings reported in SCT</w:t>
            </w:r>
          </w:p>
        </w:tc>
        <w:tc>
          <w:tcPr>
            <w:tcW w:w="9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(61,284)  </w:t>
            </w:r>
          </w:p>
        </w:tc>
        <w:tc>
          <w:tcPr>
            <w:tcW w:w="90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(51,487)</w:t>
            </w: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(34,382)  </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(22,908)  </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(19,561)  </w:t>
            </w:r>
          </w:p>
        </w:tc>
      </w:tr>
      <w:tr>
        <w:trPr>
          <w:trHeight w:val="23"/>
        </w:trPr>
        <w:tc>
          <w:tcPr>
            <w:tcW w:w="606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186"/>
        </w:trPr>
        <w:tc>
          <w:tcPr>
            <w:tcW w:w="6060" w:type="dxa"/>
            <w:vAlign w:val="bottom"/>
            <w:tcBorders>
              <w:left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Plus: Pension value attributable to current year’s service cost and any change in pension value</w:t>
            </w:r>
          </w:p>
        </w:tc>
        <w:tc>
          <w:tcPr>
            <w:tcW w:w="92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45"/>
        </w:trPr>
        <w:tc>
          <w:tcPr>
            <w:tcW w:w="606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attributable to plan amendments made in the current year</w:t>
            </w:r>
          </w:p>
        </w:tc>
        <w:tc>
          <w:tcPr>
            <w:tcW w:w="9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32,909</w:t>
            </w:r>
          </w:p>
        </w:tc>
        <w:tc>
          <w:tcPr>
            <w:tcW w:w="90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23,816</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18,178</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17,528</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16,048</w:t>
            </w:r>
          </w:p>
        </w:tc>
      </w:tr>
      <w:tr>
        <w:trPr>
          <w:trHeight w:val="186"/>
        </w:trPr>
        <w:tc>
          <w:tcPr>
            <w:tcW w:w="60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Less: Fair value of Stock and Option Awards reported in SCT during fiscal year</w:t>
            </w:r>
          </w:p>
        </w:tc>
        <w:tc>
          <w:tcPr>
            <w:tcW w:w="92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06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186"/>
        </w:trPr>
        <w:tc>
          <w:tcPr>
            <w:tcW w:w="6060" w:type="dxa"/>
            <w:vAlign w:val="bottom"/>
            <w:tcBorders>
              <w:left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Plus: Fair value of equity compensation granted in current year that are outstanding and unvested as</w:t>
            </w:r>
          </w:p>
        </w:tc>
        <w:tc>
          <w:tcPr>
            <w:tcW w:w="92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44"/>
        </w:trPr>
        <w:tc>
          <w:tcPr>
            <w:tcW w:w="606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of year-end</w:t>
            </w:r>
          </w:p>
        </w:tc>
        <w:tc>
          <w:tcPr>
            <w:tcW w:w="9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0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Change in fair value from end of prior fiscal year to vesting date for awards made in prior fiscal years</w:t>
            </w:r>
          </w:p>
        </w:tc>
        <w:tc>
          <w:tcPr>
            <w:tcW w:w="92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r>
      <w:tr>
        <w:trPr>
          <w:trHeight w:val="216"/>
        </w:trPr>
        <w:tc>
          <w:tcPr>
            <w:tcW w:w="60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that vested during current fiscal year</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3,259,684</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73,393</w:t>
            </w:r>
          </w:p>
        </w:tc>
        <w:tc>
          <w:tcPr>
            <w:tcW w:w="30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(314,046)  </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(187,892)  </w:t>
            </w:r>
          </w:p>
        </w:tc>
        <w:tc>
          <w:tcPr>
            <w:tcW w:w="200" w:type="dxa"/>
            <w:vAlign w:val="bottom"/>
          </w:tcPr>
          <w:p>
            <w:pPr>
              <w:spacing w:after="0"/>
              <w:rPr>
                <w:sz w:val="18"/>
                <w:szCs w:val="18"/>
                <w:color w:val="auto"/>
              </w:rPr>
            </w:pPr>
          </w:p>
        </w:tc>
        <w:tc>
          <w:tcPr>
            <w:tcW w:w="86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757,186</w:t>
            </w:r>
          </w:p>
        </w:tc>
      </w:tr>
      <w:tr>
        <w:trPr>
          <w:trHeight w:val="23"/>
        </w:trPr>
        <w:tc>
          <w:tcPr>
            <w:tcW w:w="606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186"/>
        </w:trPr>
        <w:tc>
          <w:tcPr>
            <w:tcW w:w="6060" w:type="dxa"/>
            <w:vAlign w:val="bottom"/>
            <w:tcBorders>
              <w:left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 in fair value from end of prior fiscal year to end of current fiscal year for awards made in</w:t>
            </w:r>
          </w:p>
        </w:tc>
        <w:tc>
          <w:tcPr>
            <w:tcW w:w="92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45"/>
        </w:trPr>
        <w:tc>
          <w:tcPr>
            <w:tcW w:w="606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prior fiscal years that were unvested at end of current fiscal year</w:t>
            </w:r>
          </w:p>
        </w:tc>
        <w:tc>
          <w:tcPr>
            <w:tcW w:w="9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2,555,827</w:t>
            </w:r>
          </w:p>
        </w:tc>
        <w:tc>
          <w:tcPr>
            <w:tcW w:w="90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3,687,973</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2,808,787</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983,765</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4,639,367</w:t>
            </w:r>
          </w:p>
        </w:tc>
      </w:tr>
      <w:tr>
        <w:trPr>
          <w:trHeight w:val="186"/>
        </w:trPr>
        <w:tc>
          <w:tcPr>
            <w:tcW w:w="60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Fair value of awards forfeited in current fiscal year determined at end of prior fiscal year</w:t>
            </w:r>
          </w:p>
        </w:tc>
        <w:tc>
          <w:tcPr>
            <w:tcW w:w="92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06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186"/>
        </w:trPr>
        <w:tc>
          <w:tcPr>
            <w:tcW w:w="6060" w:type="dxa"/>
            <w:vAlign w:val="bottom"/>
            <w:tcBorders>
              <w:left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 or other earnings paid on stock or option awards in the current fiscal year prior to the</w:t>
            </w:r>
          </w:p>
        </w:tc>
        <w:tc>
          <w:tcPr>
            <w:tcW w:w="92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45"/>
        </w:trPr>
        <w:tc>
          <w:tcPr>
            <w:tcW w:w="606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vesting date that are not otherwise included in the total compensation for the current fiscal year</w:t>
            </w:r>
          </w:p>
        </w:tc>
        <w:tc>
          <w:tcPr>
            <w:tcW w:w="9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0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Compensation Actually Paid to CEO</w:t>
            </w:r>
          </w:p>
        </w:tc>
        <w:tc>
          <w:tcPr>
            <w:tcW w:w="92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$ 9,776,895</w:t>
            </w:r>
          </w:p>
        </w:tc>
        <w:tc>
          <w:tcPr>
            <w:tcW w:w="90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$ 7,648,942</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4,259,793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4,277,957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7,665,501</w:t>
            </w:r>
          </w:p>
        </w:tc>
      </w:tr>
      <w:tr>
        <w:trPr>
          <w:trHeight w:val="23"/>
        </w:trPr>
        <w:tc>
          <w:tcPr>
            <w:tcW w:w="606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w:t>
      </w:r>
    </w:p>
    <w:p>
      <w:pPr>
        <w:spacing w:after="0" w:line="172" w:lineRule="exact"/>
        <w:rPr>
          <w:sz w:val="20"/>
          <w:szCs w:val="20"/>
          <w:color w:val="auto"/>
        </w:rPr>
      </w:pPr>
    </w:p>
    <w:p>
      <w:pPr>
        <w:jc w:val="both"/>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Column (d). </w:t>
      </w:r>
      <w:r>
        <w:rPr>
          <w:rFonts w:ascii="Times New Roman" w:cs="Times New Roman" w:eastAsia="Times New Roman" w:hAnsi="Times New Roman"/>
          <w:sz w:val="18"/>
          <w:szCs w:val="18"/>
          <w:color w:val="auto"/>
        </w:rPr>
        <w:t>The dollar amounts reported under Average Summary Compensation Total for non-CEO NEOs represent the average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reported for the Company’s named executive officers (NEOs) as a group (excluding 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93"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individual serving as the CEO for such year) in the “Total” column of the “Summary Compensation Table” for the respective years shown. The names of the NEOs included for purposes of calculating the average amounts in each applicable year are as follows:</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2021: Wallace R. Cooney, Andrew S. Rosen, Jacob M. Maas, Nicole M. Maddrey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2022: Wallace R. Cooney, Andrew S. Rosen, Jacob M. Maas, Nicole M. Maddrey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2023: Wallace R. Cooney, Andrew S. Rosen, Jacob M. Maas, Nicole M. Maddrey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2024: Wallace R. Cooney, Andrew S. Rosen, Jacob M. Maas, Nicole M. Maddrey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2025: Wallace R. Cooney, Andrew S. Rosen, Jacob M. Maas, Nicole M. Maddrey</w:t>
      </w:r>
    </w:p>
    <w:p>
      <w:pPr>
        <w:spacing w:after="0" w:line="221" w:lineRule="exact"/>
        <w:rPr>
          <w:sz w:val="20"/>
          <w:szCs w:val="20"/>
          <w:color w:val="auto"/>
        </w:rPr>
      </w:pPr>
    </w:p>
    <w:p>
      <w:pPr>
        <w:ind w:left="120"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Column (e). </w:t>
      </w:r>
      <w:r>
        <w:rPr>
          <w:rFonts w:ascii="Times New Roman" w:cs="Times New Roman" w:eastAsia="Times New Roman" w:hAnsi="Times New Roman"/>
          <w:sz w:val="18"/>
          <w:szCs w:val="18"/>
          <w:color w:val="auto"/>
        </w:rPr>
        <w:t>Average “compensation actually paid” for the non-CEO NEOs in each of 2025, 2024, 2023, 2022, and 2021 reflects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amounts set forth in column (d) of the table above, adjusted as set forth in the table below, as determined in accordance with Item 402(v) of Regulation S-K. The dollar amounts reflected in the table above do not reflect the actual amount of compensation earned or paid to the non-CEO NEOs during the applicable year. The adjustments in the table below were made to non-CEO NEOs total compensation for each year to determine the compensation actually paid:</w:t>
      </w:r>
    </w:p>
    <w:p>
      <w:pPr>
        <w:spacing w:after="0" w:line="208" w:lineRule="exact"/>
        <w:rPr>
          <w:sz w:val="20"/>
          <w:szCs w:val="20"/>
          <w:color w:val="auto"/>
        </w:rPr>
      </w:pPr>
    </w:p>
    <w:tbl>
      <w:tblPr>
        <w:tblLayout w:type="fixed"/>
        <w:tblInd w:w="130" w:type="dxa"/>
        <w:tblCellMar>
          <w:top w:w="0" w:type="dxa"/>
          <w:left w:w="0" w:type="dxa"/>
          <w:bottom w:w="0" w:type="dxa"/>
          <w:right w:w="0" w:type="dxa"/>
        </w:tblCellMar>
      </w:tblPr>
      <w:tr>
        <w:trPr>
          <w:trHeight w:val="162"/>
        </w:trPr>
        <w:tc>
          <w:tcPr>
            <w:tcW w:w="6640" w:type="dxa"/>
            <w:vAlign w:val="bottom"/>
            <w:tcBorders>
              <w:top w:val="single" w:sz="8" w:color="auto"/>
              <w:left w:val="single" w:sz="8" w:color="auto"/>
              <w:right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2600" w:type="dxa"/>
            <w:vAlign w:val="bottom"/>
            <w:tcBorders>
              <w:top w:val="single" w:sz="8" w:color="auto"/>
              <w:bottom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Non-CEO NEO Averages</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right w:val="single" w:sz="8" w:color="auto"/>
            </w:tcBorders>
          </w:tcPr>
          <w:p>
            <w:pPr>
              <w:spacing w:after="0"/>
              <w:rPr>
                <w:sz w:val="14"/>
                <w:szCs w:val="14"/>
                <w:color w:val="auto"/>
              </w:rPr>
            </w:pPr>
          </w:p>
        </w:tc>
      </w:tr>
      <w:tr>
        <w:trPr>
          <w:trHeight w:val="142"/>
        </w:trPr>
        <w:tc>
          <w:tcPr>
            <w:tcW w:w="6640" w:type="dxa"/>
            <w:vAlign w:val="bottom"/>
            <w:tcBorders>
              <w:left w:val="single" w:sz="8" w:color="auto"/>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right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64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Compensation as reported in Summary Compensation Table (SCT)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4,550,733</w:t>
            </w:r>
          </w:p>
        </w:tc>
        <w:tc>
          <w:tcPr>
            <w:tcW w:w="82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$3,045,433</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8"/>
              </w:rPr>
              <w:t>$2,684,386</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$2,997,459</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$2,438,194</w:t>
            </w:r>
          </w:p>
        </w:tc>
      </w:tr>
      <w:tr>
        <w:trPr>
          <w:trHeight w:val="186"/>
        </w:trPr>
        <w:tc>
          <w:tcPr>
            <w:tcW w:w="66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Less: Change in Pension Value and Non-Qualified Deferred Compensation Earnings reported in SCT</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(1,810,775)</w:t>
            </w:r>
          </w:p>
        </w:tc>
        <w:tc>
          <w:tcPr>
            <w:tcW w:w="82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(110,246)</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(383,147)</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(5,709)</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(53,904)</w:t>
            </w:r>
          </w:p>
        </w:tc>
      </w:tr>
      <w:tr>
        <w:trPr>
          <w:trHeight w:val="23"/>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186"/>
        </w:trPr>
        <w:tc>
          <w:tcPr>
            <w:tcW w:w="6640" w:type="dxa"/>
            <w:vAlign w:val="bottom"/>
            <w:tcBorders>
              <w:left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Plus: Pension value attributable to current year’s service cost and any change in pension value attributable to</w:t>
            </w: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r>
      <w:tr>
        <w:trPr>
          <w:trHeight w:val="244"/>
        </w:trPr>
        <w:tc>
          <w:tcPr>
            <w:tcW w:w="664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plan amendments made in the current year</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286,188</w:t>
            </w:r>
          </w:p>
        </w:tc>
        <w:tc>
          <w:tcPr>
            <w:tcW w:w="82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297,190</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165,774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221,244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219,571</w:t>
            </w:r>
          </w:p>
        </w:tc>
      </w:tr>
      <w:tr>
        <w:trPr>
          <w:trHeight w:val="186"/>
        </w:trPr>
        <w:tc>
          <w:tcPr>
            <w:tcW w:w="66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Less: Fair value of Stock and Option Awards reported in SCT during fiscal year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(349,838)</w:t>
            </w:r>
          </w:p>
        </w:tc>
        <w:tc>
          <w:tcPr>
            <w:tcW w:w="82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(350,187)</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(873,519)</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(342,750)</w:t>
            </w:r>
          </w:p>
        </w:tc>
      </w:tr>
      <w:tr>
        <w:trPr>
          <w:trHeight w:val="23"/>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14"/>
        </w:trPr>
        <w:tc>
          <w:tcPr>
            <w:tcW w:w="664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Plus: Fair value of equity compensation granted in current year that are outstanding and unvested as of year-end</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439,495</w:t>
            </w:r>
          </w:p>
        </w:tc>
        <w:tc>
          <w:tcPr>
            <w:tcW w:w="82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401,083</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928,991</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392,407</w:t>
            </w:r>
          </w:p>
        </w:tc>
      </w:tr>
      <w:tr>
        <w:trPr>
          <w:trHeight w:val="186"/>
        </w:trPr>
        <w:tc>
          <w:tcPr>
            <w:tcW w:w="66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Plus: Fair value of equity compensation granted and vested in current year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186"/>
        </w:trPr>
        <w:tc>
          <w:tcPr>
            <w:tcW w:w="6640" w:type="dxa"/>
            <w:vAlign w:val="bottom"/>
            <w:tcBorders>
              <w:left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 in fair value from end of prior fiscal year to vesting date for awards made in prior fiscal years that</w:t>
            </w: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r>
      <w:tr>
        <w:trPr>
          <w:trHeight w:val="245"/>
        </w:trPr>
        <w:tc>
          <w:tcPr>
            <w:tcW w:w="664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vested during current fiscal year</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91,383</w:t>
            </w:r>
          </w:p>
        </w:tc>
        <w:tc>
          <w:tcPr>
            <w:tcW w:w="82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64,499</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2,363</w:t>
            </w:r>
          </w:p>
        </w:tc>
      </w:tr>
      <w:tr>
        <w:trPr>
          <w:trHeight w:val="186"/>
        </w:trPr>
        <w:tc>
          <w:tcPr>
            <w:tcW w:w="66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Change in fair value from end of prior fiscal year to end of current fiscal year for awards made in prior fiscal</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r>
      <w:tr>
        <w:trPr>
          <w:trHeight w:val="216"/>
        </w:trPr>
        <w:tc>
          <w:tcPr>
            <w:tcW w:w="664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years that were unvested at end of current fiscal year</w:t>
            </w: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741,075</w:t>
            </w:r>
          </w:p>
        </w:tc>
        <w:tc>
          <w:tcPr>
            <w:tcW w:w="8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179,618</w:t>
            </w:r>
          </w:p>
        </w:tc>
        <w:tc>
          <w:tcPr>
            <w:tcW w:w="120" w:type="dxa"/>
            <w:vAlign w:val="bottom"/>
          </w:tcPr>
          <w:p>
            <w:pPr>
              <w:spacing w:after="0"/>
              <w:rPr>
                <w:sz w:val="18"/>
                <w:szCs w:val="18"/>
                <w:color w:val="auto"/>
              </w:rPr>
            </w:pPr>
          </w:p>
        </w:tc>
        <w:tc>
          <w:tcPr>
            <w:tcW w:w="7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390,704</w:t>
            </w:r>
          </w:p>
        </w:tc>
        <w:tc>
          <w:tcPr>
            <w:tcW w:w="100" w:type="dxa"/>
            <w:vAlign w:val="bottom"/>
          </w:tcPr>
          <w:p>
            <w:pPr>
              <w:spacing w:after="0"/>
              <w:rPr>
                <w:sz w:val="18"/>
                <w:szCs w:val="18"/>
                <w:color w:val="auto"/>
              </w:rPr>
            </w:pPr>
          </w:p>
        </w:tc>
        <w:tc>
          <w:tcPr>
            <w:tcW w:w="7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(14,836)</w:t>
            </w: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56,732</w:t>
            </w:r>
          </w:p>
        </w:tc>
      </w:tr>
      <w:tr>
        <w:trPr>
          <w:trHeight w:val="23"/>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15"/>
        </w:trPr>
        <w:tc>
          <w:tcPr>
            <w:tcW w:w="664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Fair value of awards forfeited in current fiscal year determined at end of prior fiscal year</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6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Dividends or other earnings paid on stock or option awards in the current fiscal year prior to the vesting date</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r>
      <w:tr>
        <w:trPr>
          <w:trHeight w:val="216"/>
        </w:trPr>
        <w:tc>
          <w:tcPr>
            <w:tcW w:w="664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that are not otherwise included in the total compensation for the current fiscal year</w:t>
            </w: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8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190"/>
        </w:trPr>
        <w:tc>
          <w:tcPr>
            <w:tcW w:w="6640" w:type="dxa"/>
            <w:vAlign w:val="bottom"/>
            <w:tcBorders>
              <w:left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Average Compensation Actually Paid to Non-CEO NEOs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3,948,261</w:t>
            </w:r>
          </w:p>
        </w:tc>
        <w:tc>
          <w:tcPr>
            <w:tcW w:w="82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$3,476,494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2,909,823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3,254,318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right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2,712,613</w:t>
            </w:r>
          </w:p>
        </w:tc>
      </w:tr>
      <w:tr>
        <w:trPr>
          <w:trHeight w:val="20"/>
        </w:trPr>
        <w:tc>
          <w:tcPr>
            <w:tcW w:w="6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120" w:right="100" w:firstLine="991"/>
        <w:spacing w:after="0" w:line="255" w:lineRule="auto"/>
        <w:rPr>
          <w:sz w:val="20"/>
          <w:szCs w:val="20"/>
          <w:color w:val="auto"/>
        </w:rPr>
      </w:pPr>
      <w:r>
        <w:rPr>
          <w:rFonts w:ascii="Times New Roman" w:cs="Times New Roman" w:eastAsia="Times New Roman" w:hAnsi="Times New Roman"/>
          <w:sz w:val="18"/>
          <w:szCs w:val="18"/>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stock award grant date fair values are calculated using the stock price as of date of grant. Adjustments to the restricted stock fair values have been made using the stock price as of year end and as of each date of vesting. The grant date fair value of Mr. Maas’ restricted stock unit award was estimated using a Monte Carlo simulation. An adjustment to Mr. Maas’ restricted stock unit award has been made using a Monte Carlo simulation as of year end 2025, 2024, 2023 and 2022 using the stock price as of the measurement date and updated assumptions (i.e., volatility, dividend yield, risk free rate) as of the measurement date.</w:t>
      </w:r>
    </w:p>
    <w:p>
      <w:pPr>
        <w:spacing w:after="0" w:line="185" w:lineRule="exact"/>
        <w:rPr>
          <w:sz w:val="20"/>
          <w:szCs w:val="20"/>
          <w:color w:val="auto"/>
        </w:rPr>
      </w:pPr>
    </w:p>
    <w:p>
      <w:pPr>
        <w:ind w:left="120"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Column (f). </w:t>
      </w:r>
      <w:r>
        <w:rPr>
          <w:rFonts w:ascii="Times New Roman" w:cs="Times New Roman" w:eastAsia="Times New Roman" w:hAnsi="Times New Roman"/>
          <w:sz w:val="18"/>
          <w:szCs w:val="18"/>
          <w:color w:val="auto"/>
        </w:rPr>
        <w:t>The Total Shareholder Return (TSR) reflects the value as of each measurement date (December 31, 2025, 2024, 2023,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2021) of an initial investment of $100 on December 31, 2020 in the Company’s Class B Common Stock. For purposes of the TSR, it has been assumed that quarterly dividends were reinvested.</w:t>
      </w:r>
    </w:p>
    <w:p>
      <w:pPr>
        <w:spacing w:after="0" w:line="171" w:lineRule="exact"/>
        <w:rPr>
          <w:sz w:val="20"/>
          <w:szCs w:val="20"/>
          <w:color w:val="auto"/>
        </w:rPr>
      </w:pPr>
    </w:p>
    <w:p>
      <w:pPr>
        <w:ind w:left="120"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Column (g). </w:t>
      </w:r>
      <w:r>
        <w:rPr>
          <w:rFonts w:ascii="Times New Roman" w:cs="Times New Roman" w:eastAsia="Times New Roman" w:hAnsi="Times New Roman"/>
          <w:sz w:val="18"/>
          <w:szCs w:val="18"/>
          <w:color w:val="auto"/>
        </w:rPr>
        <w:t>The Peer Group TSR reflects the value as of each measurement date (December 31, 2025, 2024, 2023, 2022, and 2021)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investment of $100 on December 31, 2020 in a custom peer group index comprised of a composite group of education and television broadcasting companies weighted by market capitalization, which includes Covista Inc. (formerly Adtalem Global Education Inc.), Chegg, Inc., The E.W. Scripps Company, Grand Canyon Education Inc., Nexstar Media Group Inc., Gray Media, Inc., New Oriental Education &amp; Technology Group Inc., Pearson plc and Tegna Inc. For purposes of the Peer Group TSR it has been assumed that dividends were reinvested on a quarterly basis.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Column (h). </w:t>
      </w:r>
      <w:r>
        <w:rPr>
          <w:rFonts w:ascii="Times New Roman" w:cs="Times New Roman" w:eastAsia="Times New Roman" w:hAnsi="Times New Roman"/>
          <w:sz w:val="18"/>
          <w:szCs w:val="18"/>
          <w:color w:val="auto"/>
        </w:rPr>
        <w:t>Reflects “Net Income” in the Company’s Consolidated Statements of Operations included in the Company’s Annual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Form 10-K for each of the years ended December 31, 2025, 2024, 2023, 2022, and 2021, respectively.</w:t>
      </w:r>
    </w:p>
    <w:p>
      <w:pPr>
        <w:spacing w:after="0" w:line="155" w:lineRule="exact"/>
        <w:rPr>
          <w:sz w:val="20"/>
          <w:szCs w:val="20"/>
          <w:color w:val="auto"/>
        </w:rPr>
      </w:pPr>
    </w:p>
    <w:p>
      <w:pPr>
        <w:ind w:left="120"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Column (i). </w:t>
      </w:r>
      <w:r>
        <w:rPr>
          <w:rFonts w:ascii="Times New Roman" w:cs="Times New Roman" w:eastAsia="Times New Roman" w:hAnsi="Times New Roman"/>
          <w:sz w:val="18"/>
          <w:szCs w:val="18"/>
          <w:color w:val="auto"/>
        </w:rPr>
        <w:t>The Company’s selected measure is “Operating Income before Amortization and Impairments” reported as Income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Operations before Amortization of Intangible Assets and Impairment of Goodwill and Other Long-Lived Assets in Note 19. Business Segments of the Company’s Financial Statements included in the Annual Reports on Form 10-K for each of the years ended December 31, 2025, 2024, 2023, 2022, and 2021,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229"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As described in greater detail in the “Compensation Discussion and Analysis” in this Proxy Statement, the Company’s approach to executive compensation is designed to directly link pay to performance, attract, retain and motivate qualified, talented and diverse employees who are enthusiastic about the Company’s mission and culture, and reward executives for making decisions that will enhance the long-term value of the Company. The most important financial and non-financial measures used by the Company to link compensation actually paid (as defined by SEC rules) to the Company’s named executive officers for the most recently completed fiscal year to the Company’s performance are:</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                           Performance Measures 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-5080</wp:posOffset>
            </wp:positionV>
            <wp:extent cx="3187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87065" cy="825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Operating Income before Amortization and Impairments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Adjusted Operating Cash Flow (non-GAAP measure)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Compliance with Laws and Regulations (Kaplan)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29"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 Company utilizes several performance measures to align executive compensation with performance; not all of which are presented in the Pay versus Performance table. However, the Company generally seeks to incentivize executives for making decisions that will enhance the long-term value of the Company, and therefore does not specifically align the Company’s performance measures with compensation actually paid for a particular year as computed in accordance with Item 402(v) of Regulation S-K. The Company is providing the following graphic descriptions of the relationships between information presented in the Pay versus Performance table.</w:t>
      </w:r>
    </w:p>
    <w:p>
      <w:pPr>
        <w:spacing w:after="0" w:line="183"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“Compensation actually paid”, as required under Item 402(v) of Regulation S-K, reflects adjusted values to unvested and vested equity awards during the years shown in the table based on year-end stock prices and various accounting valuation assumptions, but does not necessarily reflect the actual amounts paid out for those awards. “Compensation actually paid” generally fluctuates due to stock price achievement.</w:t>
      </w:r>
    </w:p>
    <w:p>
      <w:pPr>
        <w:spacing w:after="0" w:line="176" w:lineRule="exact"/>
        <w:rPr>
          <w:sz w:val="20"/>
          <w:szCs w:val="20"/>
          <w:color w:val="auto"/>
        </w:rPr>
      </w:pPr>
    </w:p>
    <w:p>
      <w:pPr>
        <w:ind w:left="120" w:right="580" w:firstLine="991"/>
        <w:spacing w:after="0" w:line="282" w:lineRule="auto"/>
        <w:rPr>
          <w:sz w:val="20"/>
          <w:szCs w:val="20"/>
          <w:color w:val="auto"/>
        </w:rPr>
      </w:pPr>
      <w:r>
        <w:rPr>
          <w:rFonts w:ascii="Times New Roman" w:cs="Times New Roman" w:eastAsia="Times New Roman" w:hAnsi="Times New Roman"/>
          <w:sz w:val="18"/>
          <w:szCs w:val="18"/>
          <w:color w:val="auto"/>
        </w:rPr>
        <w:t>The graphical presentation below represents the cumulative total shareholder return (TSR) for the Company and custom peer group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131445</wp:posOffset>
            </wp:positionV>
            <wp:extent cx="3634740" cy="2031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347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graphical presentation below represents the Company’s net income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131445</wp:posOffset>
            </wp:positionV>
            <wp:extent cx="3634740" cy="1791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347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The graphical presentation below represents the Company’s operating income before amortization and impairments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131445</wp:posOffset>
            </wp:positionV>
            <wp:extent cx="3634740" cy="2014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3474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80"/>
          </w:cols>
          <w:pgMar w:left="320" w:top="482" w:right="79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PENSION BENEFITS</w:t>
      </w:r>
    </w:p>
    <w:p>
      <w:pPr>
        <w:spacing w:after="0" w:line="22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The Pension Benefits Table includes information related to the Company’s funded and tax-qualified defined benefit plan, the Retirement Plan, as well as the associated unfunded and non-qualified supplemental executive retirement plan, the SERP. This information reflects the plan provisions in effect as of December 31, 2025. As noted in the Retirement Benefits section above, certain changes were made to the tax-qualified Retirement Plan effective as of January 1, 2024. The Retirement Plan covers most employees of the Company and provides benefits that are based on formulas that take into account base salary and qualifying service. These formulas are outlined in individual affiliate benefits schedules, including the Graham Schedule, the Newsweek Schedule, the Kaplan Schedule and the Cash Balance Retirement Program (renamed in January 2024 as the Company Contribution Plan or the “CC Plan”), and the Secure Retirement Account (“SRA”) which closed on December 31, 2023. Benefits under the Retirement Plan, except the CC Plan, vest after three years of service. Benefits under the CC Plan vest after one year of service. All of the named executive officers are fully vested in their benefits under the Retirement Plan.</w:t>
      </w:r>
    </w:p>
    <w:p>
      <w:pPr>
        <w:spacing w:after="0" w:line="188"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SERP provides supplemental defined benefit retirement benefits that are calculated based on the formulas in the Retirement Plan, and includes in the calculation compensation from annual bonuses in the case of Mr. Rosen, rather than just base salary, without regard to (i) the salary limitation applicable to tax-qualified plans ($350,000 in 2025) or (ii) the benefit limitation applicable to tax-qualified plans ($280,000 in 2025, commencing at age 65). The SERP provides benefits only to the extent that the benefit described above exceeds the benefit in the Retirement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Graham Schedule</w:t>
      </w:r>
    </w:p>
    <w:p>
      <w:pPr>
        <w:spacing w:after="0" w:line="22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Mr. Cooney, Mr. Rosen and Ms. Maddrey are participants in the Graham Schedule. Benefits payable under the Graham Schedule include the following, subject to the limitations on tax-qualified plans mentioned above:</w:t>
      </w:r>
    </w:p>
    <w:p>
      <w:pPr>
        <w:spacing w:after="0" w:line="67" w:lineRule="exact"/>
        <w:rPr>
          <w:sz w:val="20"/>
          <w:szCs w:val="20"/>
          <w:color w:val="auto"/>
        </w:rPr>
      </w:pPr>
    </w:p>
    <w:p>
      <w:pPr>
        <w:ind w:left="1760" w:right="140" w:hanging="225"/>
        <w:spacing w:after="0" w:line="254" w:lineRule="auto"/>
        <w:tabs>
          <w:tab w:leader="none" w:pos="1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pension (payable one-twelfth each month) option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to up to 30 years, until the plan was amended in 2011 to recognize credited service in excess of 30 years).</w:t>
      </w:r>
    </w:p>
    <w:p>
      <w:pPr>
        <w:spacing w:after="0" w:line="97" w:lineRule="exact"/>
        <w:rPr>
          <w:rFonts w:ascii="Times New Roman" w:cs="Times New Roman" w:eastAsia="Times New Roman" w:hAnsi="Times New Roman"/>
          <w:sz w:val="18"/>
          <w:szCs w:val="18"/>
          <w:color w:val="auto"/>
        </w:rPr>
      </w:pPr>
    </w:p>
    <w:p>
      <w:pPr>
        <w:ind w:left="1760" w:hanging="225"/>
        <w:spacing w:after="0"/>
        <w:tabs>
          <w:tab w:leader="none" w:pos="1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Pension Supplement equal to $200 multiplied by years of credited service.</w:t>
      </w:r>
    </w:p>
    <w:p>
      <w:pPr>
        <w:spacing w:after="0" w:line="130" w:lineRule="exact"/>
        <w:rPr>
          <w:rFonts w:ascii="Times New Roman" w:cs="Times New Roman" w:eastAsia="Times New Roman" w:hAnsi="Times New Roman"/>
          <w:sz w:val="18"/>
          <w:szCs w:val="18"/>
          <w:color w:val="auto"/>
        </w:rPr>
      </w:pPr>
    </w:p>
    <w:p>
      <w:pPr>
        <w:ind w:left="1760" w:right="60" w:hanging="225"/>
        <w:spacing w:after="0" w:line="258" w:lineRule="auto"/>
        <w:tabs>
          <w:tab w:leader="none" w:pos="1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temporary Pre-Age 65 supplement of $2,075 per month payable until age 65 to certain eligible employees retiring at or after age 55 with 10 years of vesting service. This reflects an amendment made in 2018 increasing the supplement by $1,825 for certain eligible employees as of September 1, 2018. Employees not eligible for the increased supplement receive the plan’s existing Pre-Age 65 supplement of $250 per month. The change in the Pre-Age 65 supplement was made to help offset changes to the Company’s retiree medical plan.</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Vested benefits under the Retirement Plan are generally payable in the form of a single life annuity or lump-sum payment (which was adopted in 2018 to permit certain eligible employees commencing a benefit on or after January 1, 2019, to elect a single, lump-sum payment).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10 years of service, the reduction is 60%; at age 58, the reduction is 26%. However, if the employee’s age plus years of service at retirement is at least 90 (the “Rule of 90”), then there is no reduction for early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Newsweek Schedule</w:t>
      </w:r>
    </w:p>
    <w:p>
      <w:pPr>
        <w:spacing w:after="0" w:line="229"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A portion of Mr. Rosen’s pension benefit was earned under the Newsweek Schedule. Vested benefits payable under this Schedule include the following, subject to the limitations on tax-qualified plans mentioned above:</w:t>
      </w:r>
    </w:p>
    <w:p>
      <w:pPr>
        <w:spacing w:after="0" w:line="67" w:lineRule="exact"/>
        <w:rPr>
          <w:sz w:val="20"/>
          <w:szCs w:val="20"/>
          <w:color w:val="auto"/>
        </w:rPr>
      </w:pPr>
    </w:p>
    <w:p>
      <w:pPr>
        <w:ind w:left="1760" w:right="80" w:hanging="225"/>
        <w:spacing w:after="0" w:line="282" w:lineRule="auto"/>
        <w:tabs>
          <w:tab w:leader="none" w:pos="1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93" w:right="459" w:bottom="1440" w:gutter="0" w:footer="0" w:header="0"/>
        </w:sectPr>
      </w:pPr>
    </w:p>
    <w:bookmarkStart w:id="36" w:name="page37"/>
    <w:bookmarkEnd w:id="36"/>
    <w:p>
      <w:pPr>
        <w:jc w:val="center"/>
        <w:ind w:right="-39"/>
        <w:spacing w:after="0"/>
        <w:tabs>
          <w:tab w:leader="none" w:pos="1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7"/>
          <w:szCs w:val="17"/>
          <w:color w:val="auto"/>
        </w:rPr>
        <w:t>An annual Cash Pension Supplement equal to $150, multiplied by years of credited service (up to 30 years).</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Newsweek Schedule permits early retirement with full benefits at various combinations of age and service. Mr. Rosen became eligible for an unreduced early retirement benefit at age 60.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Company Contribution Plan</w:t>
      </w:r>
    </w:p>
    <w:p>
      <w:pPr>
        <w:spacing w:after="0" w:line="229"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Effective January 1, 2024, the Cash Balance Retirement Program (including the Graham and Kaplan Cash Balance Schedules) were renamed the Company Contribution Plan. The CC Plan was amended to provide a Company contribution credit of 8% of base salary for employees with fewer than 10 years of service and 10% of base salary for those with 10 or more years of service. Mr. O’Shaughnessy, Mr. Maas, Mr. Cooney, Mr. Rosen, and Ms. Maddrey are participants and each receive a 10% contribution.</w:t>
      </w:r>
    </w:p>
    <w:p>
      <w:pPr>
        <w:spacing w:after="0" w:line="180"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Prior to January 1, 2024, a portion of Mr. O’Shaughnessy’s and Mr. Maas’ pension benefits was earned under the Graham Cash Balance Schedule while Mr. Rosen’s was earned under the Kaplan Schedule. Under these schedules, each employee had an account (expressed as a lump-sum amount, rather than as an annuity) that was credited with quarterly pay-based credits and interest credits. Interest under both schedules was credited on these accounts at the greater of an annualized rate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SRA Schedule</w:t>
      </w:r>
    </w:p>
    <w:p>
      <w:pPr>
        <w:spacing w:after="0" w:line="229"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A portion of Mr. O’Shaughnessy’s, Mr. Cooney’s, Mr. Maas’, Mr. Rosen’s and Ms. Maddrey’s pension benefits was earned under the SRA Schedule. Effective December 31, 2023, the SRA Schedule was closed, and employees no longer earn pay-based credits. However, employees continue to earn monthly interest credits. Under the SRA Schedule, each employee has an account (expressed as a lump-sum amount, rather than as an annuity) that is credited with monthly interest credits. Interest is credited on these accounts at the greater of an annualized rate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SERP Benefits</w:t>
      </w:r>
    </w:p>
    <w:p>
      <w:pPr>
        <w:spacing w:after="0" w:line="22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As explained above, the SERP, closed to new participants since December 2015, provides benefits to certain eligible employees (including Mr. Rosen) under the formulas outlined above, including bonuses in addition to salary, in the case of Mr. Rosen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excluding the lump sum option, in the Retirement Plan, provided that any benefits otherwise payable before the first day of the seventh month following retirement will be withheld until such date. Benefits provided under the SRA Schedule (which was closed on December 31, 2023) are not covered by the SERP.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20" w:type="dxa"/>
            <w:vAlign w:val="bottom"/>
            <w:tcBorders>
              <w:top w:val="single" w:sz="8" w:color="auto"/>
              <w:left w:val="single" w:sz="8" w:color="auto"/>
              <w:righ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Borders>
              <w:top w:val="single" w:sz="8" w:color="auto"/>
              <w:right w:val="single" w:sz="8" w:color="auto"/>
            </w:tcBorders>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Present</w:t>
            </w:r>
          </w:p>
        </w:tc>
        <w:tc>
          <w:tcPr>
            <w:tcW w:w="7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of</w:t>
            </w:r>
          </w:p>
        </w:tc>
        <w:tc>
          <w:tcPr>
            <w:tcW w:w="94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6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94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FY</w:t>
            </w:r>
          </w:p>
        </w:tc>
        <w:tc>
          <w:tcPr>
            <w:tcW w:w="0" w:type="dxa"/>
            <w:vAlign w:val="bottom"/>
          </w:tcPr>
          <w:p>
            <w:pPr>
              <w:spacing w:after="0"/>
              <w:rPr>
                <w:sz w:val="1"/>
                <w:szCs w:val="1"/>
                <w:color w:val="auto"/>
              </w:rPr>
            </w:pPr>
          </w:p>
        </w:tc>
      </w:tr>
      <w:tr>
        <w:trPr>
          <w:trHeight w:val="149"/>
        </w:trPr>
        <w:tc>
          <w:tcPr>
            <w:tcW w:w="1720" w:type="dxa"/>
            <w:vAlign w:val="bottom"/>
            <w:tcBorders>
              <w:left w:val="single" w:sz="8" w:color="auto"/>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 ($)</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172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(a) </w:t>
            </w:r>
          </w:p>
        </w:tc>
        <w:tc>
          <w:tcPr>
            <w:tcW w:w="80" w:type="dxa"/>
            <w:vAlign w:val="bottom"/>
            <w:tcBorders>
              <w:bottom w:val="single" w:sz="8" w:color="auto"/>
            </w:tcBorders>
          </w:tcPr>
          <w:p>
            <w:pPr>
              <w:spacing w:after="0"/>
              <w:rPr>
                <w:sz w:val="16"/>
                <w:szCs w:val="16"/>
                <w:color w:val="auto"/>
              </w:rPr>
            </w:pPr>
          </w:p>
        </w:tc>
        <w:tc>
          <w:tcPr>
            <w:tcW w:w="6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7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0"/>
                <w:szCs w:val="10"/>
                <w:b w:val="1"/>
                <w:bCs w:val="1"/>
                <w:color w:val="auto"/>
              </w:rPr>
              <w:t>(1)</w:t>
            </w:r>
          </w:p>
        </w:tc>
        <w:tc>
          <w:tcPr>
            <w:tcW w:w="94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0"/>
                <w:szCs w:val="10"/>
                <w:b w:val="1"/>
                <w:bCs w:val="1"/>
                <w:color w:val="auto"/>
              </w:rPr>
              <w:t>(2)</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86"/>
        </w:trPr>
        <w:tc>
          <w:tcPr>
            <w:tcW w:w="172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O’Shaughnessy </w:t>
            </w:r>
          </w:p>
        </w:tc>
        <w:tc>
          <w:tcPr>
            <w:tcW w:w="688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8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w:t>
            </w:r>
          </w:p>
        </w:tc>
        <w:tc>
          <w:tcPr>
            <w:tcW w:w="940" w:type="dxa"/>
            <w:vAlign w:val="bottom"/>
            <w:tcBorders>
              <w:right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275,513</w:t>
            </w:r>
          </w:p>
        </w:tc>
        <w:tc>
          <w:tcPr>
            <w:tcW w:w="720" w:type="dxa"/>
            <w:vAlign w:val="bottom"/>
            <w:tcBorders>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4"/>
        </w:trPr>
        <w:tc>
          <w:tcPr>
            <w:tcW w:w="172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6880" w:type="dxa"/>
            <w:vAlign w:val="bottom"/>
            <w:tcBorders>
              <w:bottom w:val="single" w:sz="8" w:color="CCEEFF"/>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8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w:t>
            </w:r>
          </w:p>
        </w:tc>
        <w:tc>
          <w:tcPr>
            <w:tcW w:w="940" w:type="dxa"/>
            <w:vAlign w:val="bottom"/>
            <w:tcBorders>
              <w:bottom w:val="single" w:sz="8" w:color="CCEEFF"/>
              <w:right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275,513</w:t>
            </w:r>
          </w:p>
        </w:tc>
        <w:tc>
          <w:tcPr>
            <w:tcW w:w="720" w:type="dxa"/>
            <w:vAlign w:val="bottom"/>
            <w:tcBorders>
              <w:bottom w:val="single" w:sz="8" w:color="CCEEFF"/>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7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688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80" w:type="dxa"/>
            <w:vAlign w:val="bottom"/>
            <w:tcBorders>
              <w:top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24</w:t>
            </w:r>
          </w:p>
        </w:tc>
        <w:tc>
          <w:tcPr>
            <w:tcW w:w="940" w:type="dxa"/>
            <w:vAlign w:val="bottom"/>
            <w:tcBorders>
              <w:top w:val="single" w:sz="8" w:color="auto"/>
              <w:right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rPr>
              <w:t>1,875,762</w:t>
            </w:r>
          </w:p>
        </w:tc>
        <w:tc>
          <w:tcPr>
            <w:tcW w:w="72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8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24</w:t>
            </w:r>
          </w:p>
        </w:tc>
        <w:tc>
          <w:tcPr>
            <w:tcW w:w="940" w:type="dxa"/>
            <w:vAlign w:val="bottom"/>
            <w:tcBorders>
              <w:right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rPr>
              <w:t>1,875,762</w:t>
            </w:r>
          </w:p>
        </w:tc>
        <w:tc>
          <w:tcPr>
            <w:tcW w:w="7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2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688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8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w:t>
            </w:r>
          </w:p>
        </w:tc>
        <w:tc>
          <w:tcPr>
            <w:tcW w:w="940" w:type="dxa"/>
            <w:vAlign w:val="bottom"/>
            <w:tcBorders>
              <w:right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778,959</w:t>
            </w:r>
          </w:p>
        </w:tc>
        <w:tc>
          <w:tcPr>
            <w:tcW w:w="720" w:type="dxa"/>
            <w:vAlign w:val="bottom"/>
            <w:tcBorders>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78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w:t>
            </w:r>
          </w:p>
        </w:tc>
        <w:tc>
          <w:tcPr>
            <w:tcW w:w="940" w:type="dxa"/>
            <w:vAlign w:val="bottom"/>
            <w:tcBorders>
              <w:right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32,279,768</w:t>
            </w:r>
          </w:p>
        </w:tc>
        <w:tc>
          <w:tcPr>
            <w:tcW w:w="720" w:type="dxa"/>
            <w:vAlign w:val="bottom"/>
            <w:tcBorders>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5"/>
        </w:trPr>
        <w:tc>
          <w:tcPr>
            <w:tcW w:w="172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8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w:t>
            </w:r>
          </w:p>
        </w:tc>
        <w:tc>
          <w:tcPr>
            <w:tcW w:w="940" w:type="dxa"/>
            <w:vAlign w:val="bottom"/>
            <w:tcBorders>
              <w:bottom w:val="single" w:sz="8" w:color="CCEEFF"/>
              <w:right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33,058,727</w:t>
            </w:r>
          </w:p>
        </w:tc>
        <w:tc>
          <w:tcPr>
            <w:tcW w:w="720" w:type="dxa"/>
            <w:vAlign w:val="bottom"/>
            <w:tcBorders>
              <w:bottom w:val="single" w:sz="8" w:color="CCEEFF"/>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7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688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80" w:type="dxa"/>
            <w:vAlign w:val="bottom"/>
            <w:tcBorders>
              <w:top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w:t>
            </w:r>
          </w:p>
        </w:tc>
        <w:tc>
          <w:tcPr>
            <w:tcW w:w="940" w:type="dxa"/>
            <w:vAlign w:val="bottom"/>
            <w:tcBorders>
              <w:top w:val="single" w:sz="8" w:color="auto"/>
              <w:right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rPr>
              <w:t>1,302,047</w:t>
            </w:r>
          </w:p>
        </w:tc>
        <w:tc>
          <w:tcPr>
            <w:tcW w:w="72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8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w:t>
            </w:r>
          </w:p>
        </w:tc>
        <w:tc>
          <w:tcPr>
            <w:tcW w:w="940" w:type="dxa"/>
            <w:vAlign w:val="bottom"/>
            <w:tcBorders>
              <w:right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rPr>
              <w:t>1,302,047</w:t>
            </w:r>
          </w:p>
        </w:tc>
        <w:tc>
          <w:tcPr>
            <w:tcW w:w="7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bottom w:val="single" w:sz="8" w:color="auto"/>
              <w:right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2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688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8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w:t>
            </w:r>
          </w:p>
        </w:tc>
        <w:tc>
          <w:tcPr>
            <w:tcW w:w="940" w:type="dxa"/>
            <w:vAlign w:val="bottom"/>
            <w:tcBorders>
              <w:right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240,116</w:t>
            </w:r>
          </w:p>
        </w:tc>
        <w:tc>
          <w:tcPr>
            <w:tcW w:w="720" w:type="dxa"/>
            <w:vAlign w:val="bottom"/>
            <w:tcBorders>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172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6880" w:type="dxa"/>
            <w:vAlign w:val="bottom"/>
            <w:tcBorders>
              <w:bottom w:val="single" w:sz="8" w:color="CCEEFF"/>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8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w:t>
            </w:r>
          </w:p>
        </w:tc>
        <w:tc>
          <w:tcPr>
            <w:tcW w:w="940" w:type="dxa"/>
            <w:vAlign w:val="bottom"/>
            <w:tcBorders>
              <w:bottom w:val="single" w:sz="8" w:color="CCEEFF"/>
              <w:right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240,116</w:t>
            </w:r>
          </w:p>
        </w:tc>
        <w:tc>
          <w:tcPr>
            <w:tcW w:w="720" w:type="dxa"/>
            <w:vAlign w:val="bottom"/>
            <w:tcBorders>
              <w:bottom w:val="single" w:sz="8" w:color="CCEEFF"/>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97" w:right="439" w:bottom="1440" w:gutter="0" w:footer="0" w:header="0"/>
        </w:sectPr>
      </w:pPr>
    </w:p>
    <w:bookmarkStart w:id="37" w:name="page38"/>
    <w:bookmarkEnd w:id="37"/>
    <w:p>
      <w:pPr>
        <w:ind w:left="324" w:right="520" w:hanging="324"/>
        <w:spacing w:after="0" w:line="261" w:lineRule="auto"/>
        <w:tabs>
          <w:tab w:leader="none" w:pos="32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Data in this column represents the number of years of credited service earned by the named executive officer as of December 31, 2025. Mr. Rosen has prior service with Kaplan, Newsweek and Graham Holdings Company. All are included in this column.</w:t>
      </w:r>
    </w:p>
    <w:p>
      <w:pPr>
        <w:spacing w:after="0" w:line="68" w:lineRule="exact"/>
        <w:rPr>
          <w:rFonts w:ascii="Times New Roman" w:cs="Times New Roman" w:eastAsia="Times New Roman" w:hAnsi="Times New Roman"/>
          <w:sz w:val="14"/>
          <w:szCs w:val="14"/>
          <w:color w:val="auto"/>
        </w:rPr>
      </w:pPr>
    </w:p>
    <w:p>
      <w:pPr>
        <w:ind w:left="324" w:hanging="324"/>
        <w:spacing w:after="0" w:line="236" w:lineRule="auto"/>
        <w:tabs>
          <w:tab w:leader="none" w:pos="32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actuarial present value of the named executive officer’s accumulated benefits under the plan as of December 31, 2025. The benefits valued for Mr. O’Shaughnessy and Mr. Maas include benefits under the qualified SRA Schedule and CC Plan. The benefits valued for Mr. Rosen include the qualified Graham Schedule, Newsweek Schedule, Kaplan Schedule, SRA Schedule, CC Plan and non-qualified SERP. The value of Mr. Rosen’s accumulated benefits in this column are based on the assumption that he terminates and retires immediately at December 31, 2025. The benefits valued for Mr. Cooney and Ms. Maddrey include the qualified Graham Schedule, SRA Schedule, and CC Plan.</w:t>
      </w:r>
    </w:p>
    <w:p>
      <w:pPr>
        <w:spacing w:after="0" w:line="82" w:lineRule="exact"/>
        <w:rPr>
          <w:sz w:val="20"/>
          <w:szCs w:val="20"/>
          <w:color w:val="auto"/>
        </w:rPr>
      </w:pPr>
    </w:p>
    <w:p>
      <w:pPr>
        <w:ind w:left="324" w:right="60" w:hanging="324"/>
        <w:spacing w:after="0" w:line="261" w:lineRule="auto"/>
        <w:tabs>
          <w:tab w:leader="none" w:pos="32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assumptions used in determining the present value of accumulated benefits are the PRI-2012 Fully Generational Mortality Table for males and females, using Scale MP-2021 with a 90% white-collar and 10% blue-collar blend (100% white-collar for Nonqualified benefits) and a discount rate of 5.60% (5.20% for SERP) at December 31, 2025.</w:t>
      </w:r>
    </w:p>
    <w:p>
      <w:pPr>
        <w:spacing w:after="0" w:line="68" w:lineRule="exact"/>
        <w:rPr>
          <w:rFonts w:ascii="Times New Roman" w:cs="Times New Roman" w:eastAsia="Times New Roman" w:hAnsi="Times New Roman"/>
          <w:sz w:val="14"/>
          <w:szCs w:val="14"/>
          <w:color w:val="auto"/>
        </w:rPr>
      </w:pPr>
    </w:p>
    <w:p>
      <w:pPr>
        <w:ind w:left="324" w:right="20" w:hanging="324"/>
        <w:spacing w:after="0" w:line="227" w:lineRule="auto"/>
        <w:tabs>
          <w:tab w:leader="none" w:pos="32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benefits valued reflect service and earnings through December 31, 2025,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 In addition, 50% of the benefits under the qualified Graham and Newsweek Schedules are valued as a lump-sum payment, 30% as a single life annuity and 20% valued as a 50% joint and survivor annuity. It is also assumed that qualified benefits under the CC Plan (includes Kaplan) and Secure Retirement Account will be taken as a lump-sum payment with a 90% probability, a single life annuity with a 3% probability and a 50% joint and survivor annuity with a 7% probability. Also, 60% of the non-qualified Graham, Newsweek and Kaplan formulas are valued as a single life annuity and 40% is valued as a 50% joint and survivor annuity. 30% of the non-qualified CC Plan formula is valued as a single life annuity and 70% is valued as a 50% joint and survivor annuity. Joint and survivor benefits apply PRI-2012 contingent survivor mortality tables. The annuity was converted to a lump-sum value using the 2026 PPA combined unisex mortality for single-sum payments and a full yield curve that approximates expected future lump sum conversion rates. The SERP balance was converted into an annuity using this same assumption, plus 2%.</w:t>
      </w:r>
    </w:p>
    <w:p>
      <w:pPr>
        <w:spacing w:after="0" w:line="1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The following table includes information related to the SERP and the Deferred Compensation Plan. Among the benefits provided under the SERP, closed to new participants since December 2015, is a supplemental defined contribution plan benefit wherein prior to January 1, 2024, the Company provided a matching contribution percentage up to 4% of the participating executive’s base salary in excess of the annual covered compensation limit applied to qualified plan benefits ($350,000 in 2025). Prior to January 1, 2024, the executive was required to make contributions to the SERP in order to receive the applicable matching Company credit each year.</w:t>
      </w:r>
    </w:p>
    <w:p>
      <w:pPr>
        <w:spacing w:after="0" w:line="183"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color w:val="auto"/>
        </w:rPr>
        <w:t>The Deferred Compensation Plan, closed to new and existing participants since December 2015, provided an opportunity for participants to voluntarily defer the receipt of all or a portion of annual bonuses and/or certain long-term cash awards made under the Legacy Plan.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deferrals made on or after January 1, 2014, amounts deferred under the Deferred Compensation Plan are payable no later than the first business day of the seventh month following the date of separation of service.</w:t>
      </w:r>
    </w:p>
    <w:p>
      <w:pPr>
        <w:spacing w:after="0" w:line="214" w:lineRule="exact"/>
        <w:rPr>
          <w:sz w:val="20"/>
          <w:szCs w:val="20"/>
          <w:color w:val="auto"/>
        </w:rPr>
      </w:pPr>
    </w:p>
    <w:tbl>
      <w:tblPr>
        <w:tblLayout w:type="fixed"/>
        <w:tblInd w:w="14" w:type="dxa"/>
        <w:tblCellMar>
          <w:top w:w="0" w:type="dxa"/>
          <w:left w:w="0" w:type="dxa"/>
          <w:bottom w:w="0" w:type="dxa"/>
          <w:right w:w="0" w:type="dxa"/>
        </w:tblCellMar>
      </w:tblPr>
      <w:tr>
        <w:trPr>
          <w:trHeight w:val="137"/>
        </w:trPr>
        <w:tc>
          <w:tcPr>
            <w:tcW w:w="3480" w:type="dxa"/>
            <w:vAlign w:val="bottom"/>
            <w:tcBorders>
              <w:top w:val="single" w:sz="8" w:color="auto"/>
              <w:left w:val="single" w:sz="8" w:color="auto"/>
              <w:right w:val="single" w:sz="8" w:color="auto"/>
            </w:tcBorders>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Executive Contributions</w:t>
            </w:r>
          </w:p>
        </w:tc>
        <w:tc>
          <w:tcPr>
            <w:tcW w:w="16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Registrant Contributions</w:t>
            </w:r>
          </w:p>
        </w:tc>
        <w:tc>
          <w:tcPr>
            <w:tcW w:w="13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Aggregate Earnings  </w:t>
            </w:r>
          </w:p>
        </w:tc>
        <w:tc>
          <w:tcPr>
            <w:tcW w:w="16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Aggregate Withdrawals/  </w:t>
            </w:r>
          </w:p>
        </w:tc>
        <w:tc>
          <w:tcPr>
            <w:tcW w:w="12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49"/>
        </w:trPr>
        <w:tc>
          <w:tcPr>
            <w:tcW w:w="3480" w:type="dxa"/>
            <w:vAlign w:val="bottom"/>
            <w:tcBorders>
              <w:left w:val="single" w:sz="8" w:color="auto"/>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3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 ($)</w:t>
            </w:r>
          </w:p>
        </w:tc>
        <w:tc>
          <w:tcPr>
            <w:tcW w:w="1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Last FYE ($)</w:t>
            </w:r>
          </w:p>
        </w:tc>
        <w:tc>
          <w:tcPr>
            <w:tcW w:w="0" w:type="dxa"/>
            <w:vAlign w:val="bottom"/>
          </w:tcPr>
          <w:p>
            <w:pPr>
              <w:spacing w:after="0"/>
              <w:rPr>
                <w:sz w:val="1"/>
                <w:szCs w:val="1"/>
                <w:color w:val="auto"/>
              </w:rPr>
            </w:pPr>
          </w:p>
        </w:tc>
      </w:tr>
      <w:tr>
        <w:trPr>
          <w:trHeight w:val="187"/>
        </w:trPr>
        <w:tc>
          <w:tcPr>
            <w:tcW w:w="348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 xml:space="preserve">(a) </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0"/>
                <w:szCs w:val="10"/>
                <w:b w:val="1"/>
                <w:bCs w:val="1"/>
                <w:color w:val="auto"/>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0"/>
                <w:szCs w:val="10"/>
                <w:b w:val="1"/>
                <w:bCs w:val="1"/>
                <w:color w:val="auto"/>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0"/>
                <w:szCs w:val="10"/>
                <w:b w:val="1"/>
                <w:bCs w:val="1"/>
                <w:color w:val="auto"/>
              </w:rPr>
              <w:t>(3)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214"/>
        </w:trPr>
        <w:tc>
          <w:tcPr>
            <w:tcW w:w="34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4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49,500</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1,214,336</w:t>
            </w:r>
          </w:p>
        </w:tc>
        <w:tc>
          <w:tcPr>
            <w:tcW w:w="1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10,267,798</w:t>
            </w:r>
          </w:p>
        </w:tc>
        <w:tc>
          <w:tcPr>
            <w:tcW w:w="0" w:type="dxa"/>
            <w:vAlign w:val="bottom"/>
          </w:tcPr>
          <w:p>
            <w:pPr>
              <w:spacing w:after="0"/>
              <w:rPr>
                <w:sz w:val="1"/>
                <w:szCs w:val="1"/>
                <w:color w:val="auto"/>
              </w:rPr>
            </w:pPr>
          </w:p>
        </w:tc>
      </w:tr>
      <w:tr>
        <w:trPr>
          <w:trHeight w:val="186"/>
        </w:trPr>
        <w:tc>
          <w:tcPr>
            <w:tcW w:w="34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a contribution by Mr. Rosen of $49,500 to the SERP. It is included in the Salary column of the Summary Compensation Table.</w:t>
      </w:r>
    </w:p>
    <w:p>
      <w:pPr>
        <w:spacing w:after="0" w:line="109"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a Company contribution of $0 to the SERP for Mr. Rosen.</w:t>
      </w:r>
    </w:p>
    <w:p>
      <w:pPr>
        <w:spacing w:after="0" w:line="109" w:lineRule="exact"/>
        <w:rPr>
          <w:rFonts w:ascii="Times New Roman" w:cs="Times New Roman" w:eastAsia="Times New Roman" w:hAnsi="Times New Roman"/>
          <w:sz w:val="14"/>
          <w:szCs w:val="14"/>
          <w:color w:val="auto"/>
        </w:rPr>
      </w:pPr>
    </w:p>
    <w:p>
      <w:pPr>
        <w:ind w:left="424" w:right="140" w:hanging="424"/>
        <w:spacing w:after="0" w:line="241" w:lineRule="auto"/>
        <w:tabs>
          <w:tab w:leader="none" w:pos="4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investment gains or losses to the SERP and to the Deferred Compensation Plan, based on Mr. Rosen’s investment elections as follows: $494,816 to the SERP and $719,520 to the Deferred Compensation Plan. These gains or losses are not included in the Summary Compensation Table; the gains or losses reflect market performance of investment indexes selected by Mr. Rosen.</w:t>
      </w:r>
    </w:p>
    <w:p>
      <w:pPr>
        <w:spacing w:after="0" w:line="8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Mr. Rosen’s balances at December 31, 2025, for the SERP and the Deferred Compensation Plan as follows: $4,205,692 in the SERP and</w:t>
      </w:r>
    </w:p>
    <w:p>
      <w:pPr>
        <w:spacing w:after="0" w:line="3" w:lineRule="exact"/>
        <w:rPr>
          <w:rFonts w:ascii="Times New Roman" w:cs="Times New Roman" w:eastAsia="Times New Roman" w:hAnsi="Times New Roman"/>
          <w:sz w:val="14"/>
          <w:szCs w:val="14"/>
          <w:color w:val="auto"/>
        </w:rPr>
      </w:pPr>
    </w:p>
    <w:p>
      <w:pPr>
        <w:ind w:left="424" w:right="36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$6,062,106 in the Deferred Compensation Plan. An amount of $286,650 was reported as compensation in the Summary Compensation Table for years beginning 2021 (excluding 2025).</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9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other individual arrangements following a termination of their employment is described below, assuming, in accordance with the SEC regulations, all relevant events occurred on December 31, 2025. For purposes of the valuations below, the price of Class B Common Stock (to which all applicable equity awards relate) is assumed to be $1,098.60, which was the closing share price on December 31, 2025.</w:t>
      </w:r>
    </w:p>
    <w:p>
      <w:pPr>
        <w:spacing w:after="0" w:line="18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Upon a termination of employment, each of Messrs. O’Shaughnessy, Cooney, Rosen, and Maas and Ms. Maddrey would be entitled to pension and, in the case of Mr. Rosen, deferred compensation and SERP benefits in accordance with the terms of each plan in which they participate, as described above in “Executive Compensation: Pension Benefits” and “Executive Compensation: Non-Qualified Deferred Compensation.”</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In addition, in the case of a termination by the Company other than for cause, Mr. O’Shaughnessy would be entitled to accelerated vesting of the next tranche of options that is scheduled to vest following such termination. Assuming a termination of employment as of December 31, 2025, Mr. O’Shaughnessy would be entitled to accelerated vesting of 12,877 stock options (representing a value of $8,649,996 based on their exercise price of $426.86 per share), subject to his signing of a release of claims in favor of the Company that has become irrevocable.</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In the case of a termination by the Company other than for cause, Mr. Rosen would be entitled to (i) accelerated vesting of a pro rata portion of his outstanding and unvested restricted stock, which, assuming a termination of employment as of December 31, 2025, would result in accelerated vesting of 456 shares of Company restricted stock (representing a value of $500,962) and (ii) a severance payment of $3,500,000, payable in a lump-sum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87"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Each of Messrs. O’Shaughnessy and Rosen are subject to restrictive covenants that apply following termination for any reason, as described above in “Executive Compensation: Employment Agreements and Severance Packages.”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CEO Pay to Median Employee Pay</w:t>
      </w:r>
    </w:p>
    <w:p>
      <w:pPr>
        <w:spacing w:after="0" w:line="22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Under rules adopted pursuant to the Dodd-Frank Act, the Company is required to calculate and disclose the total compensation paid to our median paid employee, as well as the ratio of the total compensation paid to the median employee as compared to the total compensation paid to our Chief Executive Officer (the “CEO Pay Ratio”).</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The Company’s median employee compensation in 2025, calculated using Summary Compensation Table requirements, was $48,092 and its Chief Executive Officer’s compensation as reported in the Summary Compensation Table was $3,989,759. Therefore, the Company’s CEO Pay Ratio is approximately 83:1.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Methodology and Pay Ratio</w:t>
      </w:r>
    </w:p>
    <w:p>
      <w:pPr>
        <w:spacing w:after="0" w:line="22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identified the median employee using its employee population on October 1, 2025. Under the SEC rules, the Company is required to identify the median employee using a “consistently applied compensation measure” (“CACM”). The Company chose payroll earnings from a measurement period of January 1, 2025 through September 30, 2025, in conjunction with base pay rates to estimate total base compensation for 2025. In the case of hourly employees, this was based on a reasonable estimate of hours worked. The Company annualized compensation for permanent employees who joined the Company during 2025. After applying the CACM methodology, the Company identified the median employee. The Company replaced its prior statistical sampling methodology with an analytical median approach to streamline the process, reduce year-over-year administrative burden, and maintain a stable and representative median employee. Once the median employee was identified, the Company calculated that individual’s actual total direct compensation in accordance with Summary Compensation Table requirements.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93"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 Minimis Exemption</w:t>
      </w:r>
    </w:p>
    <w:p>
      <w:pPr>
        <w:spacing w:after="0" w:line="22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As of October 1, 2025, the Company’s total global workforce was 20,875 employees, consisting of 12,730 U.S. employees and 8,145 non-U.S. employees. Pursuant to the SEC regulation allowing companies to exclude up to 5% of non-U.S. employees in identifying the median employee, the Company excluded 1,026 employees, resulting in an updated total of 19,849 employees used to identify the median employee. The 1,026 excluded employees were located in the following jurisdictions: Algeria (1), Austria (3), Azerbaijan (1), Bangladesh (1), Belgium (3), Brazil (4), Bulgaria (1), Canada (142), Chile (1), China (96), Colombia (83), France (81), Germany (43), Hong Kong (71), Indonesia (2), Italy (24), Japan (40), Jordan (1), Kazakhstan (2), Korea, Republic of (16), Malaysia (3), New Zealand (35), Nigeria (11), Pakistan (2), Saudi Arabia (15), Spain (155), Taiwan (5), Thailand (91), Türkiye (5), UAE (79), Vietnam (9).</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95" w:right="479" w:bottom="1440" w:gutter="0" w:footer="0" w:header="0"/>
        </w:sectPr>
      </w:pPr>
    </w:p>
    <w:bookmarkStart w:id="40" w:name="page41"/>
    <w:bookmarkEnd w:id="4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 REPORT</w:t>
      </w:r>
    </w:p>
    <w:p>
      <w:pPr>
        <w:spacing w:after="0" w:line="229"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One of the standing committees of the Board of Directors of the Company is the Audit Committee. The Audit Committee operates under a written charter adopted by the Board of Directors, which is available on our website at https://www.ghco.com/corporate-governance. Currently, there are three non-employee members of the Board on the Audit Committee: Christopher C. Davis; Thomas S. Gayner, who serves as Chairman of the Audit Committee; and G. Richard Wagoner, Jr.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w:t>
      </w:r>
    </w:p>
    <w:p>
      <w:pPr>
        <w:spacing w:after="0" w:line="5" w:lineRule="exact"/>
        <w:rPr>
          <w:sz w:val="20"/>
          <w:szCs w:val="20"/>
          <w:color w:val="auto"/>
        </w:rPr>
      </w:pPr>
    </w:p>
    <w:p>
      <w:pPr>
        <w:ind w:left="4" w:right="180" w:hanging="4"/>
        <w:spacing w:after="0" w:line="260"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81" w:lineRule="exact"/>
        <w:rPr>
          <w:sz w:val="20"/>
          <w:szCs w:val="20"/>
          <w:color w:val="auto"/>
        </w:rPr>
      </w:pPr>
    </w:p>
    <w:p>
      <w:pPr>
        <w:ind w:left="4" w:right="20" w:firstLine="991"/>
        <w:spacing w:after="0" w:line="281" w:lineRule="auto"/>
        <w:rPr>
          <w:sz w:val="20"/>
          <w:szCs w:val="20"/>
          <w:color w:val="auto"/>
        </w:rPr>
      </w:pPr>
      <w:r>
        <w:rPr>
          <w:rFonts w:ascii="Times New Roman" w:cs="Times New Roman" w:eastAsia="Times New Roman" w:hAnsi="Times New Roman"/>
          <w:sz w:val="17"/>
          <w:szCs w:val="17"/>
          <w:color w:val="auto"/>
        </w:rPr>
        <w:t>The Audit Committee has primary responsibility for assisting the Board in oversight of accounting, financial reporting and disclosure processes, and adequacy of systems of disclosure and internal control established by management; the quality and integrity of the Company’s financial statements; the Company’s compliance with legal and regulatory requirements; the independent auditor’s qualifications, performance and independence; the performance of the Company’s internal audit function; and the performance of the Company’s risk management, ethics and compliance programs.</w:t>
      </w:r>
    </w:p>
    <w:p>
      <w:pPr>
        <w:spacing w:after="0" w:line="164"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Management has the primary responsibility for the preparation of the Company’s financial statements in accordance with generally accepted accounting principles and for the financial reporting process, including its disclosure controls and procedures and system of internal control over financial reporting. The Company’s independent auditor, PricewaterhouseCoopers LLP, is responsible for auditing those financial statements and the Company’s internal control over financial reporting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88"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fiscal year 2025 financial statements with the Company’s management and matters related to the Company’s internal control over financial reporting. In addition, the Audit Committee has discussed with PricewaterhouseCoopers LLP the matters required to be discussed by the Public Company Accounting Oversight Board (“PCAOB”). The Audit Committee has received the written disclosures and the letter from PricewaterhouseCoopers LLP required by applicable requirements of the PCAOB regarding the independent auditor’s communications with the Audit Committee concerning independence and has discussed with the independent auditor the independent auditor’s independence. The Audit Committee has also considered whether PricewaterhouseCoopers LLP’s provision of non-audit services to the Company is compatible with the independence of such firm.</w:t>
      </w:r>
    </w:p>
    <w:p>
      <w:pPr>
        <w:spacing w:after="0" w:line="189"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2025,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Thomas S. Gayner, Chairman</w:t>
      </w:r>
    </w:p>
    <w:p>
      <w:pPr>
        <w:spacing w:after="0" w:line="27"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Christopher C. Davis</w:t>
      </w:r>
    </w:p>
    <w:p>
      <w:pPr>
        <w:spacing w:after="0" w:line="9"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G. Richard Wagoner, Jr.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93"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Policy for Preapproval of Audit and Permitted Non-Audit Services</w:t>
      </w:r>
    </w:p>
    <w:p>
      <w:pPr>
        <w:spacing w:after="0" w:line="22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In 2025, the Audit Committee again reviewed and reauthorized its policies and procedures with regard to the preapproval of audit and non-audit services performed by the independent auditor in order to ensure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 All audit fees, audit-related fees, tax fees and all other fees were preapproved by the Audit Committee.</w:t>
      </w:r>
    </w:p>
    <w:p>
      <w:pPr>
        <w:spacing w:after="0" w:line="19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87"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Audit Committee also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8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 Fees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the annual audit, statutory audits and reviews of financial statements included in the Company’s quarterly filings, including reimbursable expenses, were $7,508,441 in 2025 and $5,517,000 in 2024, which fees were reviewed and approved by the Audit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PricewaterhouseCoopers LLP’s fees for assurance and related services reasonably related to the performance of the audit or reviews of financial statements and not included under “Audit Fees” above, including reimbursable expenses, were $300,000 in 2025 and $0 in 2024, which fees were reviewed and approved by the Audit Committee. These fees were primarily audit-related work associated with the Company’s defined contribution plans’ (401(k) plans) audits.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93"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Tax Fees</w:t>
      </w:r>
    </w:p>
    <w:p>
      <w:pPr>
        <w:spacing w:after="0" w:line="22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tax compliance, tax advice and tax planning, including reimbursable expenses, were $40,800 in 2025 and $3,300 in 2024, which fees were reviewed and approved by the Audit Committee. These fees were primarily for international tax compliance and consulting.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ind w:right="940" w:firstLine="991"/>
        <w:spacing w:after="0" w:line="312" w:lineRule="auto"/>
        <w:rPr>
          <w:sz w:val="20"/>
          <w:szCs w:val="20"/>
          <w:color w:val="auto"/>
        </w:rPr>
      </w:pPr>
      <w:r>
        <w:rPr>
          <w:rFonts w:ascii="Times New Roman" w:cs="Times New Roman" w:eastAsia="Times New Roman" w:hAnsi="Times New Roman"/>
          <w:sz w:val="17"/>
          <w:szCs w:val="17"/>
          <w:color w:val="auto"/>
        </w:rPr>
        <w:t>PricewaterhouseCoopers LLP’s fees for other services, including a finance and accounting research tool provided by PricewaterhouseCoopers LLP, were $4,500 in 2025 and $33,500 in 2024, which fees were reviewed and approved by the Audit Committee.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 Promoters and Certain Control Persons</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late Mrs. Elizabeth G. Weymouth, the daughter of the late Mrs. Katharine Graham, the sister of Mr. Donald E. Graham and the mother of Katharine Weymouth, was employed as an Editor-at-Large of the Company’s publications and websites. In 2025, she received $225,000 in compensation.</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written policy for approval of transactions between the Company and its related parties, including, Directors, Director nominees, executive officers, greater than 5% beneficial owners and each of their respective immediate family members, where the amount involved in the transaction exceeds or is expected to exceed $100,000 in a single calendar year and the related party has or will have a direct or indirect interest in the transaction. The policy provides that the Audit Committee review transactions subject to the policy and determine whether or not to approve or ratify these transactions.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95" w:right="4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 THAT MAY COME BEFORE THE MEETING</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adjournments thereof, it is the intention of the persons named in the accompanying form of Proxy to vote on those matters in accordance with their best judgment.</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Upon the recommendation of the Audit Committee, the Board of Directors has selected PricewaterhouseCoopers LLP as the Company’s independent registered accountant to audit and report on its financial statements for the fiscal year 2026.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2025 and the firm’s relationship with the Company and will be available to respond to appropriate questions from shareholders.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93" w:right="4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Notice of</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Annual Meeting</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and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Proxy Statement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3170555</wp:posOffset>
            </wp:positionV>
            <wp:extent cx="3909060" cy="557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09060" cy="557530"/>
                    </a:xfrm>
                    <a:prstGeom prst="rect">
                      <a:avLst/>
                    </a:prstGeom>
                    <a:noFill/>
                  </pic:spPr>
                </pic:pic>
              </a:graphicData>
            </a:graphic>
          </wp:anchor>
        </w:drawing>
      </w:r>
    </w:p>
    <w:p>
      <w:pPr>
        <w:sectPr>
          <w:pgSz w:w="11900" w:h="16838" w:orient="portrait"/>
          <w:cols w:equalWidth="0" w:num="1">
            <w:col w:w="9019"/>
          </w:cols>
          <w:pgMar w:left="1440" w:top="1236" w:right="1440"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6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6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6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6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6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6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6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8486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 "/>
      <w:numFmt w:val="bullet"/>
      <w:start w:val="1"/>
    </w:lvl>
  </w:abstractNum>
  <w:abstractNum w:abstractNumId="15">
    <w:nsid w:val="2901D82"/>
    <w:multiLevelType w:val="hybridMultilevel"/>
    <w:lvl w:ilvl="0">
      <w:lvlJc w:val="left"/>
      <w:lvlText w:val="(%1)"/>
      <w:numFmt w:val="lowerLetter"/>
      <w:start w:val="2"/>
    </w:lvl>
  </w:abstractNum>
  <w:abstractNum w:abstractNumId="16">
    <w:nsid w:val="3A95F874"/>
    <w:multiLevelType w:val="hybridMultilevel"/>
    <w:lvl w:ilvl="0">
      <w:lvlJc w:val="left"/>
      <w:lvlText w:val=" "/>
      <w:numFmt w:val="bullet"/>
      <w:start w:val="1"/>
    </w:lvl>
  </w:abstractNum>
  <w:abstractNum w:abstractNumId="17">
    <w:nsid w:val="8138641"/>
    <w:multiLevelType w:val="hybridMultilevel"/>
    <w:lvl w:ilvl="0">
      <w:lvlJc w:val="left"/>
      <w:lvlText w:val="(%1)"/>
      <w:numFmt w:val="lowerLetter"/>
      <w:start w:val="3"/>
    </w:lvl>
  </w:abstractNum>
  <w:abstractNum w:abstractNumId="18">
    <w:nsid w:val="1E7FF521"/>
    <w:multiLevelType w:val="hybridMultilevel"/>
    <w:lvl w:ilvl="0">
      <w:lvlJc w:val="left"/>
      <w:lvlText w:val=" "/>
      <w:numFmt w:val="bullet"/>
      <w:start w:val="1"/>
    </w:lvl>
  </w:abstractNum>
  <w:abstractNum w:abstractNumId="19">
    <w:nsid w:val="7C3DBD3D"/>
    <w:multiLevelType w:val="hybridMultilevel"/>
    <w:lvl w:ilvl="0">
      <w:lvlJc w:val="left"/>
      <w:lvlText w:val="(%1)"/>
      <w:numFmt w:val="lowerLetter"/>
      <w:start w:val="4"/>
    </w:lvl>
  </w:abstractNum>
  <w:abstractNum w:abstractNumId="20">
    <w:nsid w:val="737B8DDC"/>
    <w:multiLevelType w:val="hybridMultilevel"/>
    <w:lvl w:ilvl="0">
      <w:lvlJc w:val="left"/>
      <w:lvlText w:val=" "/>
      <w:numFmt w:val="bullet"/>
      <w:start w:val="1"/>
    </w:lvl>
  </w:abstractNum>
  <w:abstractNum w:abstractNumId="21">
    <w:nsid w:val="6CEAF087"/>
    <w:multiLevelType w:val="hybridMultilevel"/>
    <w:lvl w:ilvl="0">
      <w:lvlJc w:val="left"/>
      <w:lvlText w:val="(%1)"/>
      <w:numFmt w:val="lowerLetter"/>
      <w:start w:val="5"/>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7"/>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
      <w:numFmt w:val="bullet"/>
      <w:start w:val="1"/>
    </w:lvl>
  </w:abstractNum>
  <w:abstractNum w:abstractNumId="29">
    <w:nsid w:val="5072367"/>
    <w:multiLevelType w:val="hybridMultilevel"/>
    <w:lvl w:ilvl="0">
      <w:lvlJc w:val="left"/>
      <w:lvlText w:val="%1."/>
      <w:numFmt w:val="decimal"/>
      <w:start w:val="5"/>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decimal"/>
      <w:start w:val="3"/>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 "/>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2026-03-24T07:33:13Z</dcterms:created>
  <dcterms:modified xsi:type="dcterms:W3CDTF">2026-03-24T07:33:13Z</dcterms:modified>
</cp:coreProperties>
</file>