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166370</wp:posOffset>
            </wp:positionV>
            <wp:extent cx="4869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68580</wp:posOffset>
            </wp:positionV>
            <wp:extent cx="4869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8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7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July 30, 2025</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20" w:lineRule="exact"/>
        <w:rPr>
          <w:sz w:val="24"/>
          <w:szCs w:val="24"/>
          <w:color w:val="auto"/>
        </w:rPr>
      </w:pPr>
    </w:p>
    <w:tbl>
      <w:tblPr>
        <w:tblLayout w:type="fixed"/>
        <w:tblInd w:w="840" w:type="dxa"/>
        <w:tblCellMar>
          <w:top w:w="0" w:type="dxa"/>
          <w:left w:w="0" w:type="dxa"/>
          <w:bottom w:w="0" w:type="dxa"/>
          <w:right w:w="0" w:type="dxa"/>
        </w:tblCellMar>
      </w:tblPr>
      <w:tr>
        <w:trPr>
          <w:trHeight w:val="247"/>
        </w:trPr>
        <w:tc>
          <w:tcPr>
            <w:tcW w:w="4300" w:type="dxa"/>
            <w:vAlign w:val="bottom"/>
          </w:tcPr>
          <w:p>
            <w:pPr>
              <w:jc w:val="center"/>
              <w:ind w:right="481"/>
              <w:spacing w:after="0"/>
              <w:rPr>
                <w:sz w:val="20"/>
                <w:szCs w:val="20"/>
                <w:color w:val="auto"/>
              </w:rPr>
            </w:pPr>
            <w:r>
              <w:rPr>
                <w:rFonts w:ascii="Arial" w:cs="Arial" w:eastAsia="Arial" w:hAnsi="Arial"/>
                <w:sz w:val="18"/>
                <w:szCs w:val="18"/>
                <w:b w:val="1"/>
                <w:bCs w:val="1"/>
                <w:color w:val="auto"/>
                <w:w w:val="98"/>
              </w:rPr>
              <w:t>Delaware</w:t>
            </w:r>
          </w:p>
        </w:tc>
        <w:tc>
          <w:tcPr>
            <w:tcW w:w="2400" w:type="dxa"/>
            <w:vAlign w:val="bottom"/>
          </w:tcPr>
          <w:p>
            <w:pPr>
              <w:jc w:val="center"/>
              <w:ind w:right="302"/>
              <w:spacing w:after="0"/>
              <w:rPr>
                <w:sz w:val="20"/>
                <w:szCs w:val="20"/>
                <w:color w:val="auto"/>
              </w:rPr>
            </w:pPr>
            <w:r>
              <w:rPr>
                <w:rFonts w:ascii="Arial" w:cs="Arial" w:eastAsia="Arial" w:hAnsi="Arial"/>
                <w:sz w:val="18"/>
                <w:szCs w:val="18"/>
                <w:b w:val="1"/>
                <w:bCs w:val="1"/>
                <w:color w:val="auto"/>
                <w:w w:val="99"/>
              </w:rPr>
              <w:t>001-06714</w:t>
            </w:r>
          </w:p>
        </w:tc>
        <w:tc>
          <w:tcPr>
            <w:tcW w:w="214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91"/>
        </w:trPr>
        <w:tc>
          <w:tcPr>
            <w:tcW w:w="4300" w:type="dxa"/>
            <w:vAlign w:val="bottom"/>
          </w:tcPr>
          <w:p>
            <w:pPr>
              <w:jc w:val="center"/>
              <w:ind w:right="481"/>
              <w:spacing w:after="0"/>
              <w:rPr>
                <w:sz w:val="20"/>
                <w:szCs w:val="20"/>
                <w:color w:val="auto"/>
              </w:rPr>
            </w:pPr>
            <w:r>
              <w:rPr>
                <w:rFonts w:ascii="Arial" w:cs="Arial" w:eastAsia="Arial" w:hAnsi="Arial"/>
                <w:sz w:val="14"/>
                <w:szCs w:val="14"/>
                <w:b w:val="1"/>
                <w:bCs w:val="1"/>
                <w:color w:val="auto"/>
              </w:rPr>
              <w:t>(State or other jurisdiction of</w:t>
            </w:r>
          </w:p>
        </w:tc>
        <w:tc>
          <w:tcPr>
            <w:tcW w:w="2400" w:type="dxa"/>
            <w:vAlign w:val="bottom"/>
          </w:tcPr>
          <w:p>
            <w:pPr>
              <w:jc w:val="center"/>
              <w:ind w:right="282"/>
              <w:spacing w:after="0"/>
              <w:rPr>
                <w:sz w:val="20"/>
                <w:szCs w:val="20"/>
                <w:color w:val="auto"/>
              </w:rPr>
            </w:pPr>
            <w:r>
              <w:rPr>
                <w:rFonts w:ascii="Arial" w:cs="Arial" w:eastAsia="Arial" w:hAnsi="Arial"/>
                <w:sz w:val="14"/>
                <w:szCs w:val="14"/>
                <w:b w:val="1"/>
                <w:bCs w:val="1"/>
                <w:color w:val="auto"/>
              </w:rPr>
              <w:t>(Commission</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(I.R.S. Employer</w:t>
            </w:r>
          </w:p>
        </w:tc>
      </w:tr>
      <w:tr>
        <w:trPr>
          <w:trHeight w:val="200"/>
        </w:trPr>
        <w:tc>
          <w:tcPr>
            <w:tcW w:w="4300" w:type="dxa"/>
            <w:vAlign w:val="bottom"/>
          </w:tcPr>
          <w:p>
            <w:pPr>
              <w:jc w:val="center"/>
              <w:ind w:right="481"/>
              <w:spacing w:after="0"/>
              <w:rPr>
                <w:sz w:val="20"/>
                <w:szCs w:val="20"/>
                <w:color w:val="auto"/>
              </w:rPr>
            </w:pPr>
            <w:r>
              <w:rPr>
                <w:rFonts w:ascii="Arial" w:cs="Arial" w:eastAsia="Arial" w:hAnsi="Arial"/>
                <w:sz w:val="14"/>
                <w:szCs w:val="14"/>
                <w:b w:val="1"/>
                <w:bCs w:val="1"/>
                <w:color w:val="auto"/>
              </w:rPr>
              <w:t>incorporation)</w:t>
            </w:r>
          </w:p>
        </w:tc>
        <w:tc>
          <w:tcPr>
            <w:tcW w:w="2400" w:type="dxa"/>
            <w:vAlign w:val="bottom"/>
          </w:tcPr>
          <w:p>
            <w:pPr>
              <w:jc w:val="center"/>
              <w:ind w:right="282"/>
              <w:spacing w:after="0"/>
              <w:rPr>
                <w:sz w:val="20"/>
                <w:szCs w:val="20"/>
                <w:color w:val="auto"/>
              </w:rPr>
            </w:pPr>
            <w:r>
              <w:rPr>
                <w:rFonts w:ascii="Arial" w:cs="Arial" w:eastAsia="Arial" w:hAnsi="Arial"/>
                <w:sz w:val="14"/>
                <w:szCs w:val="14"/>
                <w:b w:val="1"/>
                <w:bCs w:val="1"/>
                <w:color w:val="auto"/>
              </w:rPr>
              <w:t>File Number)</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Identification No.)</w:t>
            </w:r>
          </w:p>
        </w:tc>
      </w:tr>
      <w:tr>
        <w:trPr>
          <w:trHeight w:val="527"/>
        </w:trPr>
        <w:tc>
          <w:tcPr>
            <w:tcW w:w="4300" w:type="dxa"/>
            <w:vAlign w:val="bottom"/>
          </w:tcPr>
          <w:p>
            <w:pPr>
              <w:jc w:val="center"/>
              <w:ind w:right="481"/>
              <w:spacing w:after="0"/>
              <w:rPr>
                <w:sz w:val="20"/>
                <w:szCs w:val="20"/>
                <w:color w:val="auto"/>
              </w:rPr>
            </w:pPr>
            <w:r>
              <w:rPr>
                <w:rFonts w:ascii="Arial" w:cs="Arial" w:eastAsia="Arial" w:hAnsi="Arial"/>
                <w:sz w:val="18"/>
                <w:szCs w:val="18"/>
                <w:b w:val="1"/>
                <w:bCs w:val="1"/>
                <w:color w:val="auto"/>
                <w:w w:val="99"/>
              </w:rPr>
              <w:t>1812 North Moore Street, Arlington, Virginia</w:t>
            </w:r>
          </w:p>
        </w:tc>
        <w:tc>
          <w:tcPr>
            <w:tcW w:w="2400" w:type="dxa"/>
            <w:vAlign w:val="bottom"/>
          </w:tcPr>
          <w:p>
            <w:pPr>
              <w:spacing w:after="0"/>
              <w:rPr>
                <w:sz w:val="24"/>
                <w:szCs w:val="24"/>
                <w:color w:val="auto"/>
              </w:rPr>
            </w:pPr>
          </w:p>
        </w:tc>
        <w:tc>
          <w:tcPr>
            <w:tcW w:w="2140" w:type="dxa"/>
            <w:vAlign w:val="bottom"/>
          </w:tcPr>
          <w:p>
            <w:pPr>
              <w:jc w:val="right"/>
              <w:ind w:right="281"/>
              <w:spacing w:after="0"/>
              <w:rPr>
                <w:sz w:val="20"/>
                <w:szCs w:val="20"/>
                <w:color w:val="auto"/>
              </w:rPr>
            </w:pPr>
            <w:r>
              <w:rPr>
                <w:rFonts w:ascii="Arial" w:cs="Arial" w:eastAsia="Arial" w:hAnsi="Arial"/>
                <w:sz w:val="18"/>
                <w:szCs w:val="18"/>
                <w:b w:val="1"/>
                <w:bCs w:val="1"/>
                <w:color w:val="auto"/>
              </w:rPr>
              <w:t>22209</w:t>
            </w:r>
          </w:p>
        </w:tc>
      </w:tr>
      <w:tr>
        <w:trPr>
          <w:trHeight w:val="216"/>
        </w:trPr>
        <w:tc>
          <w:tcPr>
            <w:tcW w:w="4300" w:type="dxa"/>
            <w:vAlign w:val="bottom"/>
          </w:tcPr>
          <w:p>
            <w:pPr>
              <w:jc w:val="center"/>
              <w:ind w:right="481"/>
              <w:spacing w:after="0"/>
              <w:rPr>
                <w:sz w:val="20"/>
                <w:szCs w:val="20"/>
                <w:color w:val="auto"/>
              </w:rPr>
            </w:pPr>
            <w:r>
              <w:rPr>
                <w:rFonts w:ascii="Arial" w:cs="Arial" w:eastAsia="Arial" w:hAnsi="Arial"/>
                <w:sz w:val="14"/>
                <w:szCs w:val="14"/>
                <w:b w:val="1"/>
                <w:bCs w:val="1"/>
                <w:color w:val="auto"/>
              </w:rPr>
              <w:t>(Address of principal executive offices)</w:t>
            </w:r>
          </w:p>
        </w:tc>
        <w:tc>
          <w:tcPr>
            <w:tcW w:w="2400" w:type="dxa"/>
            <w:vAlign w:val="bottom"/>
          </w:tcPr>
          <w:p>
            <w:pPr>
              <w:spacing w:after="0"/>
              <w:rPr>
                <w:sz w:val="18"/>
                <w:szCs w:val="18"/>
                <w:color w:val="auto"/>
              </w:rPr>
            </w:pP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(Zip Code)</w:t>
            </w:r>
          </w:p>
        </w:tc>
      </w:tr>
    </w:tbl>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126365</wp:posOffset>
            </wp:positionV>
            <wp:extent cx="48691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right="280"/>
        <w:spacing w:after="0" w:line="268"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36"/>
          <w:szCs w:val="36"/>
          <w:color w:val="auto"/>
          <w:vertAlign w:val="superscript"/>
        </w:rPr>
      </w:pPr>
      <w:r>
        <w:rPr>
          <w:rFonts w:ascii="Arial" w:cs="Arial" w:eastAsia="Arial" w:hAnsi="Arial"/>
          <w:sz w:val="16"/>
          <w:szCs w:val="16"/>
          <w:color w:val="auto"/>
        </w:rPr>
        <w:t>Written communications pursuant to Rule 425 under the Securities Act (17 CFR 230.425)</w:t>
      </w:r>
    </w:p>
    <w:p>
      <w:pPr>
        <w:spacing w:after="0" w:line="179" w:lineRule="exact"/>
        <w:rPr>
          <w:rFonts w:ascii="MS PGothic" w:cs="MS PGothic" w:eastAsia="MS PGothic" w:hAnsi="MS PGothic"/>
          <w:sz w:val="36"/>
          <w:szCs w:val="36"/>
          <w:color w:val="auto"/>
          <w:vertAlign w:val="superscript"/>
        </w:rPr>
      </w:pPr>
    </w:p>
    <w:p>
      <w:pPr>
        <w:ind w:left="560" w:hanging="534"/>
        <w:spacing w:after="0" w:line="183" w:lineRule="auto"/>
        <w:tabs>
          <w:tab w:leader="none" w:pos="560" w:val="left"/>
        </w:tabs>
        <w:numPr>
          <w:ilvl w:val="0"/>
          <w:numId w:val="1"/>
        </w:numPr>
        <w:rPr>
          <w:rFonts w:ascii="MS PGothic" w:cs="MS PGothic" w:eastAsia="MS PGothic" w:hAnsi="MS PGothic"/>
          <w:sz w:val="26"/>
          <w:szCs w:val="26"/>
          <w:color w:val="auto"/>
          <w:vertAlign w:val="superscript"/>
        </w:rPr>
      </w:pPr>
      <w:r>
        <w:rPr>
          <w:rFonts w:ascii="Arial" w:cs="Arial" w:eastAsia="Arial" w:hAnsi="Arial"/>
          <w:sz w:val="13"/>
          <w:szCs w:val="13"/>
          <w:color w:val="auto"/>
        </w:rPr>
        <w:t>Soliciting material pursuant to Rule 14a-12 under the Exchange Act (17 CFR 240.14a-12)</w:t>
      </w:r>
    </w:p>
    <w:p>
      <w:pPr>
        <w:spacing w:after="0" w:line="179" w:lineRule="exact"/>
        <w:rPr>
          <w:rFonts w:ascii="MS PGothic" w:cs="MS PGothic" w:eastAsia="MS PGothic" w:hAnsi="MS PGothic"/>
          <w:sz w:val="26"/>
          <w:szCs w:val="26"/>
          <w:color w:val="auto"/>
          <w:vertAlign w:val="superscript"/>
        </w:rPr>
      </w:pPr>
    </w:p>
    <w:p>
      <w:pPr>
        <w:ind w:left="560" w:hanging="534"/>
        <w:spacing w:after="0" w:line="183" w:lineRule="auto"/>
        <w:tabs>
          <w:tab w:leader="none" w:pos="560" w:val="left"/>
        </w:tabs>
        <w:numPr>
          <w:ilvl w:val="0"/>
          <w:numId w:val="1"/>
        </w:numPr>
        <w:rPr>
          <w:rFonts w:ascii="MS PGothic" w:cs="MS PGothic" w:eastAsia="MS PGothic" w:hAnsi="MS PGothic"/>
          <w:sz w:val="26"/>
          <w:szCs w:val="26"/>
          <w:color w:val="auto"/>
          <w:vertAlign w:val="superscript"/>
        </w:rPr>
      </w:pPr>
      <w:r>
        <w:rPr>
          <w:rFonts w:ascii="Arial" w:cs="Arial" w:eastAsia="Arial" w:hAnsi="Arial"/>
          <w:sz w:val="13"/>
          <w:szCs w:val="13"/>
          <w:color w:val="auto"/>
        </w:rPr>
        <w:t>Pre-commencement communications pursuant to Rule 14d-2(b) under the Exchange Act (17 CFR 240.14d-2(b))</w:t>
      </w:r>
    </w:p>
    <w:p>
      <w:pPr>
        <w:spacing w:after="0" w:line="179" w:lineRule="exact"/>
        <w:rPr>
          <w:rFonts w:ascii="MS PGothic" w:cs="MS PGothic" w:eastAsia="MS PGothic" w:hAnsi="MS PGothic"/>
          <w:sz w:val="26"/>
          <w:szCs w:val="26"/>
          <w:color w:val="auto"/>
          <w:vertAlign w:val="superscript"/>
        </w:rPr>
      </w:pPr>
    </w:p>
    <w:p>
      <w:pPr>
        <w:ind w:right="2660" w:firstLine="26"/>
        <w:spacing w:after="0" w:line="317" w:lineRule="auto"/>
        <w:tabs>
          <w:tab w:leader="none" w:pos="544" w:val="left"/>
        </w:tabs>
        <w:numPr>
          <w:ilvl w:val="0"/>
          <w:numId w:val="1"/>
        </w:numPr>
        <w:rPr>
          <w:rFonts w:ascii="MS PGothic" w:cs="MS PGothic" w:eastAsia="MS PGothic" w:hAnsi="MS PGothic"/>
          <w:sz w:val="36"/>
          <w:szCs w:val="36"/>
          <w:color w:val="auto"/>
          <w:vertAlign w:val="superscript"/>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224"/>
        </w:trPr>
        <w:tc>
          <w:tcPr>
            <w:tcW w:w="484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color w:val="auto"/>
              </w:rPr>
              <w:t>Title of each class</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w:t>
            </w:r>
          </w:p>
        </w:tc>
        <w:tc>
          <w:tcPr>
            <w:tcW w:w="43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Name of each exchange on which registered</w:t>
            </w:r>
          </w:p>
        </w:tc>
      </w:tr>
      <w:tr>
        <w:trPr>
          <w:trHeight w:val="215"/>
        </w:trPr>
        <w:tc>
          <w:tcPr>
            <w:tcW w:w="4840" w:type="dxa"/>
            <w:vAlign w:val="bottom"/>
          </w:tcPr>
          <w:p>
            <w:pPr>
              <w:jc w:val="center"/>
              <w:ind w:left="139"/>
              <w:spacing w:after="0"/>
              <w:rPr>
                <w:sz w:val="20"/>
                <w:szCs w:val="20"/>
                <w:color w:val="auto"/>
              </w:rPr>
            </w:pPr>
            <w:r>
              <w:rPr>
                <w:rFonts w:ascii="Arial" w:cs="Arial" w:eastAsia="Arial" w:hAnsi="Arial"/>
                <w:sz w:val="16"/>
                <w:szCs w:val="16"/>
                <w:color w:val="auto"/>
              </w:rPr>
              <w:t>Class B Common Stock, par value $1.00 per share</w:t>
            </w:r>
          </w:p>
        </w:tc>
        <w:tc>
          <w:tcPr>
            <w:tcW w:w="2040" w:type="dxa"/>
            <w:vAlign w:val="bottom"/>
          </w:tcPr>
          <w:p>
            <w:pPr>
              <w:jc w:val="center"/>
              <w:spacing w:after="0"/>
              <w:rPr>
                <w:sz w:val="20"/>
                <w:szCs w:val="20"/>
                <w:color w:val="auto"/>
              </w:rPr>
            </w:pPr>
            <w:r>
              <w:rPr>
                <w:rFonts w:ascii="Arial" w:cs="Arial" w:eastAsia="Arial" w:hAnsi="Arial"/>
                <w:sz w:val="16"/>
                <w:szCs w:val="16"/>
                <w:color w:val="auto"/>
              </w:rPr>
              <w:t>GHC</w:t>
            </w:r>
          </w:p>
        </w:tc>
        <w:tc>
          <w:tcPr>
            <w:tcW w:w="4340" w:type="dxa"/>
            <w:vAlign w:val="bottom"/>
          </w:tcPr>
          <w:p>
            <w:pPr>
              <w:jc w:val="center"/>
              <w:ind w:right="119"/>
              <w:spacing w:after="0"/>
              <w:rPr>
                <w:sz w:val="20"/>
                <w:szCs w:val="20"/>
                <w:color w:val="auto"/>
              </w:rPr>
            </w:pPr>
            <w:r>
              <w:rPr>
                <w:rFonts w:ascii="Arial" w:cs="Arial" w:eastAsia="Arial" w:hAnsi="Arial"/>
                <w:sz w:val="16"/>
                <w:szCs w:val="16"/>
                <w:color w:val="auto"/>
              </w:rPr>
              <w:t>New York Stock Exchange</w:t>
            </w:r>
          </w:p>
        </w:tc>
      </w:tr>
    </w:tbl>
    <w:p>
      <w:pPr>
        <w:spacing w:after="0" w:line="203" w:lineRule="exact"/>
        <w:rPr>
          <w:sz w:val="24"/>
          <w:szCs w:val="24"/>
          <w:color w:val="auto"/>
        </w:rPr>
      </w:pPr>
    </w:p>
    <w:p>
      <w:pPr>
        <w:ind w:right="580"/>
        <w:spacing w:after="0" w:line="26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215" w:lineRule="exact"/>
        <w:rPr>
          <w:sz w:val="24"/>
          <w:szCs w:val="24"/>
          <w:color w:val="auto"/>
        </w:rPr>
      </w:pPr>
    </w:p>
    <w:p>
      <w:pPr>
        <w:ind w:left="20"/>
        <w:spacing w:after="0" w:line="184" w:lineRule="exact"/>
        <w:tabs>
          <w:tab w:leader="none" w:pos="356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70" w:lineRule="exact"/>
        <w:rPr>
          <w:sz w:val="24"/>
          <w:szCs w:val="24"/>
          <w:color w:val="auto"/>
        </w:rPr>
      </w:pPr>
    </w:p>
    <w:p>
      <w:pPr>
        <w:ind w:right="120"/>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784225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tabs>
          <w:tab w:leader="none" w:pos="12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8255"/>
                    </a:xfrm>
                    <a:prstGeom prst="rect">
                      <a:avLst/>
                    </a:prstGeom>
                    <a:noFill/>
                  </pic:spPr>
                </pic:pic>
              </a:graphicData>
            </a:graphic>
          </wp:anchor>
        </w:drawing>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15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July 30, 2025, Graham Holdings Company issued a press release announcing the Company’s earnings for the second quarter ended June 30, 2025. A copy of this press release is furnished with this report as an exhibit to this Form 8-K.</w:t>
      </w:r>
    </w:p>
    <w:p>
      <w:pPr>
        <w:spacing w:after="0" w:line="11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Exhibit 99.1 Graham Holdings Company Earnings Release Dated July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591820</wp:posOffset>
            </wp:positionV>
            <wp:extent cx="7089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079" w:right="7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255"/>
                    </a:xfrm>
                    <a:prstGeom prst="rect">
                      <a:avLst/>
                    </a:prstGeom>
                    <a:noFill/>
                  </pic:spPr>
                </pic:pic>
              </a:graphicData>
            </a:graphic>
          </wp:anchor>
        </w:drawing>
        <w:t>Exhibit Index</w:t>
      </w:r>
    </w:p>
    <w:p>
      <w:pPr>
        <w:spacing w:after="0" w:line="200" w:lineRule="exact"/>
        <w:rPr>
          <w:sz w:val="20"/>
          <w:szCs w:val="20"/>
          <w:color w:val="auto"/>
        </w:rPr>
      </w:pPr>
    </w:p>
    <w:p>
      <w:pPr>
        <w:spacing w:after="0" w:line="24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7"/>
          <w:szCs w:val="17"/>
          <w:u w:val="single" w:color="auto"/>
          <w:color w:val="0000FF"/>
        </w:rPr>
        <w:t>Graham Holdings Company Earnings Release dated July 30, 2025.</w:t>
      </w:r>
    </w:p>
    <w:p>
      <w:pPr>
        <w:spacing w:after="0" w:line="25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7"/>
          <w:szCs w:val="17"/>
          <w:color w:val="auto"/>
        </w:rPr>
        <w:t>Cover Page Interactive Data File, formatted in Inline XBRL and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343535</wp:posOffset>
            </wp:positionV>
            <wp:extent cx="70891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93" w:right="1440"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9140" cy="8255"/>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04"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34925</wp:posOffset>
            </wp:positionV>
            <wp:extent cx="25546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43"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8280" w:val="left"/>
        </w:tabs>
        <w:rPr>
          <w:sz w:val="20"/>
          <w:szCs w:val="20"/>
          <w:color w:val="auto"/>
        </w:rPr>
      </w:pPr>
      <w:r>
        <w:rPr>
          <w:rFonts w:ascii="Arial" w:cs="Arial" w:eastAsia="Arial" w:hAnsi="Arial"/>
          <w:sz w:val="18"/>
          <w:szCs w:val="18"/>
          <w:color w:val="auto"/>
        </w:rPr>
        <w:t>Date: July 30, 2025</w:t>
      </w:r>
      <w:r>
        <w:rPr>
          <w:sz w:val="20"/>
          <w:szCs w:val="20"/>
          <w:color w:val="auto"/>
        </w:rPr>
        <w:tab/>
      </w:r>
      <w:r>
        <w:rPr>
          <w:rFonts w:ascii="Arial" w:cs="Arial" w:eastAsia="Arial" w:hAnsi="Arial"/>
          <w:sz w:val="17"/>
          <w:szCs w:val="17"/>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34925</wp:posOffset>
            </wp:positionV>
            <wp:extent cx="25546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43"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Wallace R. Cooney,</w:t>
      </w:r>
    </w:p>
    <w:p>
      <w:pPr>
        <w:jc w:val="center"/>
        <w:ind w:left="712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983615</wp:posOffset>
            </wp:positionV>
            <wp:extent cx="70891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1093" w:right="379" w:bottom="1440" w:gutter="0" w:footer="0" w:header="0"/>
        </w:sectPr>
      </w:pPr>
    </w:p>
    <w:bookmarkStart w:id="4" w:name="page5"/>
    <w:bookmarkEnd w:id="4"/>
    <w:p>
      <w:pPr>
        <w:ind w:left="10240"/>
        <w:spacing w:after="0"/>
        <w:rPr>
          <w:sz w:val="20"/>
          <w:szCs w:val="20"/>
          <w:color w:val="auto"/>
        </w:rPr>
      </w:pPr>
      <w:r>
        <w:rPr>
          <w:rFonts w:ascii="Arial" w:cs="Arial" w:eastAsia="Arial" w:hAnsi="Arial"/>
          <w:sz w:val="17"/>
          <w:szCs w:val="17"/>
          <w:b w:val="1"/>
          <w:bCs w:val="1"/>
          <w:color w:val="auto"/>
        </w:rPr>
        <w:t>Exhibit 99.1</w:t>
      </w:r>
    </w:p>
    <w:p>
      <w:pPr>
        <w:sectPr>
          <w:pgSz w:w="11900" w:h="16838" w:orient="portrait"/>
          <w:cols w:equalWidth="0" w:num="1">
            <w:col w:w="11240"/>
          </w:cols>
          <w:pgMar w:left="320" w:top="1039" w:right="339" w:bottom="1440" w:gutter="0" w:footer="0" w:header="0"/>
        </w:sect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Contact:</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Wallace R. Cooney</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For Immediate Release</w:t>
      </w:r>
    </w:p>
    <w:p>
      <w:pPr>
        <w:spacing w:after="0" w:line="50" w:lineRule="exact"/>
        <w:rPr>
          <w:sz w:val="20"/>
          <w:szCs w:val="20"/>
          <w:color w:val="auto"/>
        </w:rPr>
      </w:pPr>
    </w:p>
    <w:p>
      <w:pPr>
        <w:sectPr>
          <w:pgSz w:w="11900" w:h="16838" w:orient="portrait"/>
          <w:cols w:equalWidth="0" w:num="3">
            <w:col w:w="780" w:space="720"/>
            <w:col w:w="6520" w:space="720"/>
            <w:col w:w="2500"/>
          </w:cols>
          <w:pgMar w:left="320" w:top="1039" w:right="339" w:bottom="1440" w:gutter="0" w:footer="0" w:header="0"/>
          <w:type w:val="continuous"/>
        </w:sectPr>
      </w:pPr>
    </w:p>
    <w:p>
      <w:pPr>
        <w:ind w:left="1500"/>
        <w:spacing w:after="0"/>
        <w:rPr>
          <w:sz w:val="20"/>
          <w:szCs w:val="20"/>
          <w:color w:val="auto"/>
        </w:rPr>
      </w:pPr>
      <w:r>
        <w:rPr>
          <w:rFonts w:ascii="Arial" w:cs="Arial" w:eastAsia="Arial" w:hAnsi="Arial"/>
          <w:sz w:val="17"/>
          <w:szCs w:val="17"/>
          <w:color w:val="auto"/>
        </w:rPr>
        <w:t>(703) 345-6470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July 30, 2025</w:t>
      </w:r>
    </w:p>
    <w:p>
      <w:pPr>
        <w:spacing w:after="0" w:line="200" w:lineRule="exact"/>
        <w:rPr>
          <w:sz w:val="20"/>
          <w:szCs w:val="20"/>
          <w:color w:val="auto"/>
        </w:rPr>
      </w:pPr>
    </w:p>
    <w:p>
      <w:pPr>
        <w:sectPr>
          <w:pgSz w:w="11900" w:h="16838" w:orient="portrait"/>
          <w:cols w:equalWidth="0" w:num="2">
            <w:col w:w="8020" w:space="720"/>
            <w:col w:w="2500"/>
          </w:cols>
          <w:pgMar w:left="320" w:top="1039" w:right="339" w:bottom="1440" w:gutter="0" w:footer="0" w:header="0"/>
          <w:type w:val="continuous"/>
        </w:sectPr>
      </w:pPr>
    </w:p>
    <w:p>
      <w:pPr>
        <w:spacing w:after="0" w:line="12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GRAHAM HOLDINGS COMPANY REPORTS</w:t>
      </w:r>
    </w:p>
    <w:p>
      <w:pPr>
        <w:spacing w:after="0" w:line="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SECOND QUARTER EARNINGS</w:t>
      </w:r>
    </w:p>
    <w:p>
      <w:pPr>
        <w:sectPr>
          <w:pgSz w:w="11900" w:h="16838" w:orient="portrait"/>
          <w:cols w:equalWidth="0" w:num="1">
            <w:col w:w="11240"/>
          </w:cols>
          <w:pgMar w:left="320" w:top="1039" w:right="339" w:bottom="1440" w:gutter="0" w:footer="0" w:header="0"/>
          <w:type w:val="continuous"/>
        </w:sectPr>
      </w:pPr>
    </w:p>
    <w:p>
      <w:pPr>
        <w:spacing w:after="0" w:line="185" w:lineRule="exact"/>
        <w:rPr>
          <w:sz w:val="20"/>
          <w:szCs w:val="20"/>
          <w:color w:val="auto"/>
        </w:rPr>
      </w:pPr>
    </w:p>
    <w:p>
      <w:pPr>
        <w:ind w:right="720"/>
        <w:spacing w:after="0" w:line="271" w:lineRule="auto"/>
        <w:rPr>
          <w:sz w:val="20"/>
          <w:szCs w:val="20"/>
          <w:color w:val="auto"/>
        </w:rPr>
      </w:pPr>
      <w:r>
        <w:rPr>
          <w:rFonts w:ascii="Arial" w:cs="Arial" w:eastAsia="Arial" w:hAnsi="Arial"/>
          <w:sz w:val="18"/>
          <w:szCs w:val="18"/>
          <w:color w:val="auto"/>
        </w:rPr>
        <w:t>ARLINGTON, VA - Graham Holdings Company (NYSE: GHC) today reported its financial results for the second quarter of 2025. The Company also filed its Form 10-Q today for the quarter ended June 30, 2025 with the Securities and Exchange Commission.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Operating Results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Revenue for the second quarter of 2025 was $1,215.8 million, up 3% from $1,185.3 million in the second quarter of 2024. Revenues</w:t>
      </w:r>
    </w:p>
    <w:p>
      <w:pPr>
        <w:spacing w:after="0" w:line="14" w:lineRule="exact"/>
        <w:rPr>
          <w:sz w:val="20"/>
          <w:szCs w:val="20"/>
          <w:color w:val="auto"/>
        </w:rPr>
      </w:pPr>
    </w:p>
    <w:p>
      <w:pPr>
        <w:ind w:right="540"/>
        <w:spacing w:after="0"/>
        <w:rPr>
          <w:sz w:val="20"/>
          <w:szCs w:val="20"/>
          <w:color w:val="auto"/>
        </w:rPr>
      </w:pPr>
      <w:r>
        <w:rPr>
          <w:rFonts w:ascii="Arial" w:cs="Arial" w:eastAsia="Arial" w:hAnsi="Arial"/>
          <w:sz w:val="17"/>
          <w:szCs w:val="17"/>
          <w:color w:val="auto"/>
        </w:rPr>
        <w:t>increased at education, healthcare and other businesses, partially offset by declines at television broadcasting, manufacturing and automotive. The Company reported operating income of $72.8 million for the second quarter of 2025, compared to $25.9 million for the</w:t>
      </w:r>
    </w:p>
    <w:p>
      <w:pPr>
        <w:spacing w:after="0" w:line="235" w:lineRule="auto"/>
        <w:rPr>
          <w:sz w:val="20"/>
          <w:szCs w:val="20"/>
          <w:color w:val="auto"/>
        </w:rPr>
      </w:pPr>
      <w:r>
        <w:rPr>
          <w:rFonts w:ascii="Arial" w:cs="Arial" w:eastAsia="Arial" w:hAnsi="Arial"/>
          <w:sz w:val="18"/>
          <w:szCs w:val="18"/>
          <w:color w:val="auto"/>
        </w:rPr>
        <w:t>second quarter of 2024. Excluding goodwill and other long-lived asset impairment charges at World of Good Brands (WGB) in the second</w:t>
      </w:r>
    </w:p>
    <w:p>
      <w:pPr>
        <w:ind w:right="240"/>
        <w:spacing w:after="0" w:line="226" w:lineRule="auto"/>
        <w:rPr>
          <w:sz w:val="20"/>
          <w:szCs w:val="20"/>
          <w:color w:val="auto"/>
        </w:rPr>
      </w:pPr>
      <w:r>
        <w:rPr>
          <w:rFonts w:ascii="Arial" w:cs="Arial" w:eastAsia="Arial" w:hAnsi="Arial"/>
          <w:sz w:val="18"/>
          <w:szCs w:val="18"/>
          <w:color w:val="auto"/>
        </w:rPr>
        <w:t>quarter of 2024, the improvement in operating results is due to increases at education, manufacturing, and healthcare, partially offset by declines at television broadcasting, automotive and other businesses. The Company reported adjusted operating cash flow (non-GAAP) of</w:t>
      </w:r>
    </w:p>
    <w:p>
      <w:pPr>
        <w:spacing w:after="0" w:line="236" w:lineRule="auto"/>
        <w:rPr>
          <w:sz w:val="20"/>
          <w:szCs w:val="20"/>
          <w:color w:val="auto"/>
        </w:rPr>
      </w:pPr>
      <w:r>
        <w:rPr>
          <w:rFonts w:ascii="Arial" w:cs="Arial" w:eastAsia="Arial" w:hAnsi="Arial"/>
          <w:sz w:val="18"/>
          <w:szCs w:val="18"/>
          <w:color w:val="auto"/>
        </w:rPr>
        <w:t>$111.3 million for the second quarter of 2025, compared to $98.5 million for the second quarter of 2024. Adjusted operating cash flow</w:t>
      </w:r>
    </w:p>
    <w:p>
      <w:pPr>
        <w:spacing w:after="0" w:line="1" w:lineRule="exact"/>
        <w:rPr>
          <w:sz w:val="20"/>
          <w:szCs w:val="20"/>
          <w:color w:val="auto"/>
        </w:rPr>
      </w:pPr>
    </w:p>
    <w:p>
      <w:pPr>
        <w:ind w:right="960"/>
        <w:spacing w:after="0" w:line="263" w:lineRule="auto"/>
        <w:rPr>
          <w:sz w:val="20"/>
          <w:szCs w:val="20"/>
          <w:color w:val="auto"/>
        </w:rPr>
      </w:pPr>
      <w:r>
        <w:rPr>
          <w:rFonts w:ascii="Arial" w:cs="Arial" w:eastAsia="Arial" w:hAnsi="Arial"/>
          <w:sz w:val="17"/>
          <w:szCs w:val="17"/>
          <w:color w:val="auto"/>
        </w:rPr>
        <w:t>improved at education, manufacturing and healthcare, partially offset by declines at television broadcasting, automotive and other businesses. Capital expenditures totaled $19.8 million and $20.8 million for the second quarter of 2025 and 2024,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Revenue for the first six months of 2025 was $2,381.7 million, up 2% from $2,337.9 million in the first six months of 2024. Revenues</w:t>
      </w:r>
    </w:p>
    <w:p>
      <w:pPr>
        <w:spacing w:after="0" w:line="14"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increased at education, healthcare and other businesses, partially offset by declines at television broadcasting, manufacturing and automotive. The Company reported operating income of $120.2 million for the first six months of 2025, compared to $61.4 million for the first</w:t>
      </w:r>
    </w:p>
    <w:p>
      <w:pPr>
        <w:spacing w:after="0" w:line="1" w:lineRule="exact"/>
        <w:rPr>
          <w:sz w:val="20"/>
          <w:szCs w:val="20"/>
          <w:color w:val="auto"/>
        </w:rPr>
      </w:pPr>
    </w:p>
    <w:p>
      <w:pPr>
        <w:ind w:right="400"/>
        <w:spacing w:after="0" w:line="226" w:lineRule="auto"/>
        <w:rPr>
          <w:sz w:val="20"/>
          <w:szCs w:val="20"/>
          <w:color w:val="auto"/>
        </w:rPr>
      </w:pPr>
      <w:r>
        <w:rPr>
          <w:rFonts w:ascii="Arial" w:cs="Arial" w:eastAsia="Arial" w:hAnsi="Arial"/>
          <w:sz w:val="18"/>
          <w:szCs w:val="18"/>
          <w:color w:val="auto"/>
        </w:rPr>
        <w:t>six months of 2024. Excluding goodwill and other long-lived asset impairment charges at WGB in the second quarter of 2024, the improvement in operating results is due to increases at education, manufacturing and healthcare, partially offset by declines at television</w:t>
      </w:r>
    </w:p>
    <w:p>
      <w:pPr>
        <w:spacing w:after="0" w:line="236" w:lineRule="auto"/>
        <w:rPr>
          <w:sz w:val="20"/>
          <w:szCs w:val="20"/>
          <w:color w:val="auto"/>
        </w:rPr>
      </w:pPr>
      <w:r>
        <w:rPr>
          <w:rFonts w:ascii="Arial" w:cs="Arial" w:eastAsia="Arial" w:hAnsi="Arial"/>
          <w:sz w:val="18"/>
          <w:szCs w:val="18"/>
          <w:color w:val="auto"/>
        </w:rPr>
        <w:t>broadcasting, automotive and other businesses. The Company reported adjusted operating cash flow (non-GAAP) of $199.4 million for the</w:t>
      </w:r>
    </w:p>
    <w:p>
      <w:pPr>
        <w:spacing w:after="0" w:line="1"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first six months of 2025, compared to $181.3 million for the first six months of 2024. Adjusted operating cash flow improved at education, manufacturing and healthcare, partially offset by declines at television broadcasting, automotive and other businesses. Capital expenditures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totaled $33.9 million and $42.2 million for the first six months of 2025 and 2024,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Acquisitions and Dispositions of Businesses</w:t>
      </w:r>
    </w:p>
    <w:p>
      <w:pPr>
        <w:spacing w:after="0" w:line="144"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In the first half of 2025, the Company completed the sale of various websites and related businesses that made up WGB. All remaining WGB operations are expected to be substantially shut down by the end of the third quarter of 2025.</w:t>
      </w:r>
    </w:p>
    <w:p>
      <w:pPr>
        <w:spacing w:after="0" w:line="100"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On July 15, 2025, Hoover acquired Arconic Architectural Products, LLC, a wholly-owned subsidiary of Arconic Corporation, which manufactures aluminum cladding products and operates within the broader non-residential materials space from its facility in Eastman, GA. A</w:t>
      </w:r>
    </w:p>
    <w:p>
      <w:pPr>
        <w:spacing w:after="0" w:line="1" w:lineRule="exact"/>
        <w:rPr>
          <w:sz w:val="20"/>
          <w:szCs w:val="20"/>
          <w:color w:val="auto"/>
        </w:rPr>
      </w:pPr>
    </w:p>
    <w:p>
      <w:pPr>
        <w:ind w:right="160"/>
        <w:spacing w:after="0" w:line="404" w:lineRule="auto"/>
        <w:rPr>
          <w:sz w:val="20"/>
          <w:szCs w:val="20"/>
          <w:color w:val="auto"/>
        </w:rPr>
      </w:pPr>
      <w:r>
        <w:rPr>
          <w:rFonts w:ascii="Arial" w:cs="Arial" w:eastAsia="Arial" w:hAnsi="Arial"/>
          <w:sz w:val="18"/>
          <w:szCs w:val="18"/>
          <w:color w:val="auto"/>
        </w:rPr>
        <w:t xml:space="preserve">significant portion of the purchase price was funded by the Company’s assumption of approximately $105 million in net pension obligations. </w:t>
      </w:r>
      <w:r>
        <w:rPr>
          <w:rFonts w:ascii="Arial" w:cs="Arial" w:eastAsia="Arial" w:hAnsi="Arial"/>
          <w:sz w:val="18"/>
          <w:szCs w:val="18"/>
          <w:b w:val="1"/>
          <w:bCs w:val="1"/>
          <w:u w:val="single" w:color="auto"/>
          <w:color w:val="auto"/>
        </w:rPr>
        <w:t>Management Changes</w:t>
      </w:r>
    </w:p>
    <w:p>
      <w:pPr>
        <w:spacing w:after="0" w:line="1" w:lineRule="exact"/>
        <w:rPr>
          <w:sz w:val="20"/>
          <w:szCs w:val="20"/>
          <w:color w:val="auto"/>
        </w:rPr>
      </w:pPr>
    </w:p>
    <w:p>
      <w:pPr>
        <w:ind w:right="380"/>
        <w:spacing w:after="0" w:line="259" w:lineRule="auto"/>
        <w:rPr>
          <w:sz w:val="20"/>
          <w:szCs w:val="20"/>
          <w:color w:val="auto"/>
        </w:rPr>
      </w:pPr>
      <w:r>
        <w:rPr>
          <w:rFonts w:ascii="Arial" w:cs="Arial" w:eastAsia="Arial" w:hAnsi="Arial"/>
          <w:sz w:val="17"/>
          <w:szCs w:val="17"/>
          <w:color w:val="auto"/>
        </w:rPr>
        <w:t>David Curtis and Justin DeWitte, co-CEOs of Graham Healthcare Group (GHG), recently made the decision to step down from their respective leadership roles at GHG. Both will remain with GHG for a transition period and to support the search and onboarding of a new</w:t>
      </w:r>
    </w:p>
    <w:p>
      <w:pPr>
        <w:spacing w:after="0" w:line="1" w:lineRule="exact"/>
        <w:rPr>
          <w:sz w:val="20"/>
          <w:szCs w:val="20"/>
          <w:color w:val="auto"/>
        </w:rPr>
      </w:pPr>
    </w:p>
    <w:p>
      <w:pPr>
        <w:ind w:right="620"/>
        <w:spacing w:after="0" w:line="237" w:lineRule="auto"/>
        <w:rPr>
          <w:sz w:val="20"/>
          <w:szCs w:val="20"/>
          <w:color w:val="auto"/>
        </w:rPr>
      </w:pPr>
      <w:r>
        <w:rPr>
          <w:rFonts w:ascii="Arial" w:cs="Arial" w:eastAsia="Arial" w:hAnsi="Arial"/>
          <w:sz w:val="18"/>
          <w:szCs w:val="18"/>
          <w:color w:val="auto"/>
        </w:rPr>
        <w:t>leader for the home health and hospice businesses. The other healthcare businesses will transition to reporting into Graham Holdings leadership directly.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 Cash and Marketable Equity Securities</w:t>
      </w:r>
    </w:p>
    <w:p>
      <w:pPr>
        <w:spacing w:after="0" w:line="158" w:lineRule="exact"/>
        <w:rPr>
          <w:sz w:val="20"/>
          <w:szCs w:val="20"/>
          <w:color w:val="auto"/>
        </w:rPr>
      </w:pPr>
    </w:p>
    <w:p>
      <w:pPr>
        <w:ind w:right="240"/>
        <w:spacing w:after="0" w:line="251" w:lineRule="auto"/>
        <w:rPr>
          <w:sz w:val="20"/>
          <w:szCs w:val="20"/>
          <w:color w:val="auto"/>
        </w:rPr>
      </w:pPr>
      <w:r>
        <w:rPr>
          <w:rFonts w:ascii="Arial" w:cs="Arial" w:eastAsia="Arial" w:hAnsi="Arial"/>
          <w:sz w:val="17"/>
          <w:szCs w:val="17"/>
          <w:color w:val="auto"/>
        </w:rPr>
        <w:t>At June 30, 2025, the Company had $816.4 million in borrowings outstanding at an average interest rate of 6.0%, including $143.6 million outstanding on its $300 million revolving credit facility. Cash, marketable equity securities and other investments totaled $1,127.5 million at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June 30, 2025.</w:t>
      </w:r>
    </w:p>
    <w:p>
      <w:pPr>
        <w:spacing w:after="0" w:line="140"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Overall, the Company recognized $11.5 million in net losses and $32.3 million in net gains on marketable equity securities in the second quarter and first six months of 2025, respectively, compared to $19.6 million and $123.8 million in net gains on marketable equity securities 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second quarter and first six months of 2024, respectively.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039"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Common Stock Repurchases</w:t>
      </w:r>
    </w:p>
    <w:p>
      <w:pPr>
        <w:spacing w:after="0" w:line="158"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During the first six months of 2025, the Company purchased a total of 3,978 shares of its Class B common stock at a cost of $3.5 million. At June 30, 2025, there were 4,359,759 shares outstanding. On September 12, 2024, the Board of Directors authorized the Company to</w:t>
      </w:r>
    </w:p>
    <w:p>
      <w:pPr>
        <w:spacing w:after="0" w:line="1" w:lineRule="exact"/>
        <w:rPr>
          <w:sz w:val="20"/>
          <w:szCs w:val="20"/>
          <w:color w:val="auto"/>
        </w:rPr>
      </w:pPr>
    </w:p>
    <w:p>
      <w:pPr>
        <w:ind w:right="400"/>
        <w:spacing w:after="0" w:line="250" w:lineRule="auto"/>
        <w:rPr>
          <w:sz w:val="20"/>
          <w:szCs w:val="20"/>
          <w:color w:val="auto"/>
        </w:rPr>
      </w:pPr>
      <w:r>
        <w:rPr>
          <w:rFonts w:ascii="Arial" w:cs="Arial" w:eastAsia="Arial" w:hAnsi="Arial"/>
          <w:sz w:val="18"/>
          <w:szCs w:val="18"/>
          <w:color w:val="auto"/>
        </w:rPr>
        <w:t>acquire up to 500,000 shares of its Class B common stock; the Company has remaining authorization for 462,482 shares as of June 30, 2025.</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Mandatorily Redeemable Noncontrolling Interest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interest expense of $1.2 million and $67.6 million in the second quarter and first six months of 2025, respectively,</w:t>
      </w:r>
    </w:p>
    <w:p>
      <w:pPr>
        <w:spacing w:after="0" w:line="14" w:lineRule="exact"/>
        <w:rPr>
          <w:sz w:val="20"/>
          <w:szCs w:val="20"/>
          <w:color w:val="auto"/>
        </w:rPr>
      </w:pPr>
    </w:p>
    <w:p>
      <w:pPr>
        <w:ind w:right="240"/>
        <w:spacing w:after="0" w:line="226" w:lineRule="auto"/>
        <w:rPr>
          <w:sz w:val="20"/>
          <w:szCs w:val="20"/>
          <w:color w:val="auto"/>
        </w:rPr>
      </w:pPr>
      <w:r>
        <w:rPr>
          <w:rFonts w:ascii="Arial" w:cs="Arial" w:eastAsia="Arial" w:hAnsi="Arial"/>
          <w:sz w:val="18"/>
          <w:szCs w:val="18"/>
          <w:color w:val="auto"/>
        </w:rPr>
        <w:t>compared to $73.5 million and $75.4 million in the second quarter and first six months of 2024, respectively, to adjust the fair value of the mandatorily redeemable noncontrolling interest at GHG. The significant adjustments recorded in the first half of 2025 and 2024 are largely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related to a substantial increase in the estimated fair value of CSI Pharmacy Holding Company, LLC (CSI).</w:t>
      </w:r>
    </w:p>
    <w:p>
      <w:pPr>
        <w:spacing w:after="0" w:line="140"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On February 25, 2025, the Company and a group of minority shareholders entered into an agreement to settle a significant portion of the mandatorily redeemable noncontrolling interest for a total of $205 million, which consisted of approximately $186.25 million in cash and</w:t>
      </w:r>
    </w:p>
    <w:p>
      <w:pPr>
        <w:spacing w:after="0" w:line="1" w:lineRule="exact"/>
        <w:rPr>
          <w:sz w:val="20"/>
          <w:szCs w:val="20"/>
          <w:color w:val="auto"/>
        </w:rPr>
      </w:pPr>
    </w:p>
    <w:p>
      <w:pPr>
        <w:ind w:right="620"/>
        <w:spacing w:after="0" w:line="250" w:lineRule="auto"/>
        <w:rPr>
          <w:sz w:val="20"/>
          <w:szCs w:val="20"/>
          <w:color w:val="auto"/>
        </w:rPr>
      </w:pPr>
      <w:r>
        <w:rPr>
          <w:rFonts w:ascii="Arial" w:cs="Arial" w:eastAsia="Arial" w:hAnsi="Arial"/>
          <w:sz w:val="18"/>
          <w:szCs w:val="18"/>
          <w:color w:val="auto"/>
        </w:rPr>
        <w:t>$18.75 million in Graham Holdings Company Class B common stock. Refer to Notes 2, 7 and 8 in the Company’s 2025 10-Q filing for additional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Overall Company Results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 reported net income attributable to common shares of $36.7 million ($8.35 per share) for the second quarter of 2025,</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compared to a net loss of $21.0 million ($4.79 per share) for the second quarter of 2024. For the first six months of 2025, the Company reported net income attributable to common shares of $60.6 million ($13.81 per share), compared to $103.3 million ($23.11 per share) for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first six months of 2024.</w:t>
      </w:r>
    </w:p>
    <w:p>
      <w:pPr>
        <w:spacing w:after="0" w:line="126"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The results for the second quarter and first six months of 2025 and 2024 were affected by a number of items as described in the Non -GAAP Financial Information schedule attached to this release. Excluding these items, net income attributable to common shares was $63.1 million</w:t>
      </w:r>
    </w:p>
    <w:p>
      <w:pPr>
        <w:spacing w:after="0" w:line="1"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($14.33 per share) for the second quarter of 2025, compared to $56.9 million ($12.70 per share) for the second quarter of 2024. Excluding these items, net income attributable to common shares was $114.1 million ($25.98 per share) for the first six months of 2025, compared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$107.3 million ($23.99 per share) for the first six months of 2024.</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44"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All public statements made by the Company and its representatives that are not statements of historical fact, including certain statements in this press release, in the Company’s Annual Report on Form 10-K and in the Company’s 2024 Annual Report to Stockholders, are “forward-</w:t>
      </w:r>
    </w:p>
    <w:p>
      <w:pPr>
        <w:spacing w:after="0"/>
        <w:rPr>
          <w:sz w:val="20"/>
          <w:szCs w:val="20"/>
          <w:color w:val="auto"/>
        </w:rPr>
      </w:pPr>
      <w:r>
        <w:rPr>
          <w:rFonts w:ascii="Arial" w:cs="Arial" w:eastAsia="Arial" w:hAnsi="Arial"/>
          <w:sz w:val="17"/>
          <w:szCs w:val="17"/>
          <w:color w:val="auto"/>
        </w:rPr>
        <w:t>looking statements” within the meaning of the Private Securities Litigation Reform Act of 1995. Forward-looking statements are based on expectations, forecasts, and assumptions by the Company’s management and involve a number of risks, uncertainties, and other factors that</w:t>
      </w:r>
    </w:p>
    <w:p>
      <w:pPr>
        <w:spacing w:after="0" w:line="235" w:lineRule="auto"/>
        <w:rPr>
          <w:sz w:val="20"/>
          <w:szCs w:val="20"/>
          <w:color w:val="auto"/>
        </w:rPr>
      </w:pPr>
      <w:r>
        <w:rPr>
          <w:rFonts w:ascii="Arial" w:cs="Arial" w:eastAsia="Arial" w:hAnsi="Arial"/>
          <w:sz w:val="18"/>
          <w:szCs w:val="18"/>
          <w:color w:val="auto"/>
        </w:rPr>
        <w:t>could cause actual results to differ from those stated, including, without limitation, comments about expectations related to acquisitions or</w:t>
      </w:r>
    </w:p>
    <w:p>
      <w:pPr>
        <w:ind w:right="380"/>
        <w:spacing w:after="0" w:line="226" w:lineRule="auto"/>
        <w:rPr>
          <w:sz w:val="20"/>
          <w:szCs w:val="20"/>
          <w:color w:val="auto"/>
        </w:rPr>
      </w:pPr>
      <w:r>
        <w:rPr>
          <w:rFonts w:ascii="Arial" w:cs="Arial" w:eastAsia="Arial" w:hAnsi="Arial"/>
          <w:sz w:val="18"/>
          <w:szCs w:val="18"/>
          <w:color w:val="auto"/>
        </w:rPr>
        <w:t>dispositions or related business activities, the Company’s business strategies and objectives, the prospects for growth in the Company’s various business operations, the Company’s future financial performance, and the risks and uncertainties described in Item 1A of the</w:t>
      </w:r>
    </w:p>
    <w:p>
      <w:pPr>
        <w:spacing w:after="0" w:line="236" w:lineRule="auto"/>
        <w:rPr>
          <w:sz w:val="20"/>
          <w:szCs w:val="20"/>
          <w:color w:val="auto"/>
        </w:rPr>
      </w:pPr>
      <w:r>
        <w:rPr>
          <w:rFonts w:ascii="Arial" w:cs="Arial" w:eastAsia="Arial" w:hAnsi="Arial"/>
          <w:sz w:val="18"/>
          <w:szCs w:val="18"/>
          <w:color w:val="auto"/>
        </w:rPr>
        <w:t>Company’s Annual Report on Form 10-K. Accordingly, undue reliance should not be placed on any forward-looking statement made by or on</w:t>
      </w:r>
    </w:p>
    <w:p>
      <w:pPr>
        <w:spacing w:after="0" w:line="1" w:lineRule="exact"/>
        <w:rPr>
          <w:sz w:val="20"/>
          <w:szCs w:val="20"/>
          <w:color w:val="auto"/>
        </w:rPr>
      </w:pPr>
    </w:p>
    <w:p>
      <w:pPr>
        <w:ind w:right="760"/>
        <w:spacing w:after="0" w:line="237" w:lineRule="auto"/>
        <w:rPr>
          <w:sz w:val="20"/>
          <w:szCs w:val="20"/>
          <w:color w:val="auto"/>
        </w:rPr>
      </w:pPr>
      <w:r>
        <w:rPr>
          <w:rFonts w:ascii="Arial" w:cs="Arial" w:eastAsia="Arial" w:hAnsi="Arial"/>
          <w:sz w:val="18"/>
          <w:szCs w:val="18"/>
          <w:color w:val="auto"/>
        </w:rPr>
        <w:t>behalf of the Company. The Company assumes no obligation to update any forward-looking statement after the date on which such statement is made, even if new information subsequently becomes available.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20" w:top="1039" w:right="3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3"/>
          </w:tcPr>
          <w:p>
            <w:pPr>
              <w:jc w:val="right"/>
              <w:ind w:right="399"/>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9"/>
                <w:szCs w:val="19"/>
                <w:color w:val="auto"/>
              </w:rPr>
            </w:pPr>
          </w:p>
        </w:tc>
        <w:tc>
          <w:tcPr>
            <w:tcW w:w="780" w:type="dxa"/>
            <w:vAlign w:val="bottom"/>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2024</w:t>
            </w: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1,215,772</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1,185,280</w:t>
            </w: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1,116,128</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1,100,851</w:t>
            </w: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6"/>
                <w:szCs w:val="16"/>
                <w:color w:val="auto"/>
              </w:rPr>
              <w:t>Depreciation of property, plant and equipment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19,652</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22,173</w:t>
            </w:r>
          </w:p>
        </w:tc>
        <w:tc>
          <w:tcPr>
            <w:tcW w:w="78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7,241</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10,058</w:t>
            </w:r>
          </w:p>
        </w:tc>
        <w:tc>
          <w:tcPr>
            <w:tcW w:w="78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6"/>
                <w:szCs w:val="16"/>
                <w:color w:val="auto"/>
              </w:rPr>
              <w:t>Impairment of goodwill and other long-lived assets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26,287</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72,751</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25,911</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Equity in earnings of affiliates, net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3,114</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2,560</w:t>
            </w:r>
          </w:p>
        </w:tc>
        <w:tc>
          <w:tcPr>
            <w:tcW w:w="78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2,261</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2,111</w:t>
            </w:r>
          </w:p>
        </w:tc>
        <w:tc>
          <w:tcPr>
            <w:tcW w:w="78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(18,106)</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(91,383)</w:t>
            </w:r>
          </w:p>
        </w:tc>
        <w:tc>
          <w:tcPr>
            <w:tcW w:w="780" w:type="dxa"/>
            <w:vAlign w:val="bottom"/>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Non-operating pension and postretirement benefit income, net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28,602</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24,655</w:t>
            </w:r>
          </w:p>
        </w:tc>
        <w:tc>
          <w:tcPr>
            <w:tcW w:w="78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(Loss) gain on marketable equity securities, net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(11,543)</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19,628</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Other (expenses) income, net</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(16,456)</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1,791</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60,623</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(14,727)</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Provision for income taxes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20,200</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4,100</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40,423</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(18,827)</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(3,674)</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(2,213)</w:t>
            </w:r>
          </w:p>
        </w:tc>
        <w:tc>
          <w:tcPr>
            <w:tcW w:w="78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27"/>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Income (Loss) Attributable to Graham Holdings Company Common Stockholders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36,749</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(21,040)</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0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80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Basic net income (loss) per common share</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8.43</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(4.79)</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Basic average number of common shares outstanding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4,333</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4,401</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Diluted net income (loss) per common share</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8.35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(4.79)</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Diluted average number of common shares outstanding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4,373</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4,401</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93" w:right="339" w:bottom="1440" w:gutter="0" w:footer="0" w:header="0"/>
        </w:sectPr>
      </w:pPr>
    </w:p>
    <w:bookmarkStart w:id="7" w:name="page8"/>
    <w:bookmarkEnd w:id="7"/>
    <w:p>
      <w:pPr>
        <w:jc w:val="center"/>
        <w:ind w:right="780"/>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ind w:right="780"/>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50"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3"/>
          </w:tcPr>
          <w:p>
            <w:pPr>
              <w:jc w:val="right"/>
              <w:ind w:right="479"/>
              <w:spacing w:after="0"/>
              <w:rPr>
                <w:sz w:val="20"/>
                <w:szCs w:val="20"/>
                <w:color w:val="auto"/>
              </w:rPr>
            </w:pPr>
            <w:r>
              <w:rPr>
                <w:rFonts w:ascii="Arial" w:cs="Arial" w:eastAsia="Arial" w:hAnsi="Arial"/>
                <w:sz w:val="14"/>
                <w:szCs w:val="14"/>
                <w:b w:val="1"/>
                <w:bCs w:val="1"/>
                <w:color w:val="auto"/>
              </w:rPr>
              <w:t>Six Months Ended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9"/>
                <w:szCs w:val="19"/>
                <w:color w:val="auto"/>
              </w:rPr>
            </w:pPr>
          </w:p>
        </w:tc>
        <w:tc>
          <w:tcPr>
            <w:tcW w:w="780" w:type="dxa"/>
            <w:vAlign w:val="bottom"/>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2024</w:t>
            </w: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2,381,687</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2,337,942</w:t>
            </w: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2,206,192</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2,184,793</w:t>
            </w: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6"/>
                <w:szCs w:val="16"/>
                <w:color w:val="auto"/>
              </w:rPr>
              <w:t>Depreciation of property, plant and equipment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40,206</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44,700</w:t>
            </w:r>
          </w:p>
        </w:tc>
        <w:tc>
          <w:tcPr>
            <w:tcW w:w="78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15,065</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20,809</w:t>
            </w:r>
          </w:p>
        </w:tc>
        <w:tc>
          <w:tcPr>
            <w:tcW w:w="78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6"/>
                <w:szCs w:val="16"/>
                <w:color w:val="auto"/>
              </w:rPr>
              <w:t>Impairment of goodwill and other long-lived assets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26,287</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120,224</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61,353</w:t>
            </w:r>
          </w:p>
        </w:tc>
        <w:tc>
          <w:tcPr>
            <w:tcW w:w="780" w:type="dxa"/>
            <w:vAlign w:val="bottom"/>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Equity in (losses) earnings of affiliates, net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(5,314)</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4,891</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4,761</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4,289</w:t>
            </w:r>
          </w:p>
        </w:tc>
        <w:tc>
          <w:tcPr>
            <w:tcW w:w="78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(100,383)</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(110,711)</w:t>
            </w:r>
          </w:p>
        </w:tc>
        <w:tc>
          <w:tcPr>
            <w:tcW w:w="78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Non-operating pension and postretirement benefit income, net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63,219</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67,072</w:t>
            </w: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Gain on marketable equity securities, net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32,258</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123,780</w:t>
            </w:r>
          </w:p>
        </w:tc>
        <w:tc>
          <w:tcPr>
            <w:tcW w:w="780" w:type="dxa"/>
            <w:vAlign w:val="bottom"/>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Other (expense) income, net</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(20,521)</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3,438</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94,244</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154,112</w:t>
            </w:r>
          </w:p>
        </w:tc>
        <w:tc>
          <w:tcPr>
            <w:tcW w:w="78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Provision for income taxes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28,100</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47,600</w:t>
            </w:r>
          </w:p>
        </w:tc>
        <w:tc>
          <w:tcPr>
            <w:tcW w:w="78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66,144</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106,512</w:t>
            </w:r>
          </w:p>
        </w:tc>
        <w:tc>
          <w:tcPr>
            <w:tcW w:w="78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3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(5,501)</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(3,172)</w:t>
            </w:r>
          </w:p>
        </w:tc>
        <w:tc>
          <w:tcPr>
            <w:tcW w:w="78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27"/>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60,643</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103,340</w:t>
            </w:r>
          </w:p>
        </w:tc>
        <w:tc>
          <w:tcPr>
            <w:tcW w:w="78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
        </w:trPr>
        <w:tc>
          <w:tcPr>
            <w:tcW w:w="80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0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Basic net income per common share</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13.93</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23.24</w:t>
            </w:r>
          </w:p>
        </w:tc>
        <w:tc>
          <w:tcPr>
            <w:tcW w:w="78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Basic average number of common shares outstanding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4,327</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4,416</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Diluted net income per common share</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13.81</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23.11</w:t>
            </w:r>
          </w:p>
        </w:tc>
        <w:tc>
          <w:tcPr>
            <w:tcW w:w="78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Diluted average number of common shares outstanding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4,366</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4,442</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9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BUSINESS DIVISION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3"/>
          </w:tcPr>
          <w:p>
            <w:pPr>
              <w:jc w:val="right"/>
              <w:ind w:right="399"/>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gridSpan w:val="3"/>
          </w:tcPr>
          <w:p>
            <w:pPr>
              <w:jc w:val="right"/>
              <w:ind w:right="479"/>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7"/>
                <w:szCs w:val="17"/>
                <w:color w:val="auto"/>
              </w:rPr>
            </w:pPr>
          </w:p>
        </w:tc>
      </w:tr>
      <w:tr>
        <w:trPr>
          <w:trHeight w:val="225"/>
        </w:trPr>
        <w:tc>
          <w:tcPr>
            <w:tcW w:w="46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9"/>
                <w:szCs w:val="19"/>
                <w:color w:val="auto"/>
              </w:rPr>
            </w:pPr>
          </w:p>
        </w:tc>
        <w:tc>
          <w:tcPr>
            <w:tcW w:w="920" w:type="dxa"/>
            <w:vAlign w:val="bottom"/>
          </w:tcPr>
          <w:p>
            <w:pPr>
              <w:jc w:val="right"/>
              <w:ind w:right="31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9"/>
                <w:szCs w:val="19"/>
                <w:color w:val="auto"/>
              </w:rPr>
            </w:pPr>
          </w:p>
        </w:tc>
        <w:tc>
          <w:tcPr>
            <w:tcW w:w="900" w:type="dxa"/>
            <w:vAlign w:val="bottom"/>
          </w:tcPr>
          <w:p>
            <w:pPr>
              <w:jc w:val="right"/>
              <w:ind w:right="239"/>
              <w:spacing w:after="0"/>
              <w:rPr>
                <w:sz w:val="20"/>
                <w:szCs w:val="20"/>
                <w:color w:val="auto"/>
              </w:rPr>
            </w:pPr>
            <w:r>
              <w:rPr>
                <w:rFonts w:ascii="Arial" w:cs="Arial" w:eastAsia="Arial" w:hAnsi="Arial"/>
                <w:sz w:val="14"/>
                <w:szCs w:val="14"/>
                <w:color w:val="auto"/>
              </w:rPr>
              <w:t>%</w:t>
            </w:r>
          </w:p>
        </w:tc>
      </w:tr>
      <w:tr>
        <w:trPr>
          <w:trHeight w:val="209"/>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color w:val="auto"/>
              </w:rPr>
              <w:t>2024</w:t>
            </w: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color w:val="auto"/>
              </w:rPr>
              <w:t>Change</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2024</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Change</w:t>
            </w:r>
          </w:p>
        </w:tc>
      </w:tr>
      <w:tr>
        <w:trPr>
          <w:trHeight w:val="223"/>
        </w:trPr>
        <w:tc>
          <w:tcPr>
            <w:tcW w:w="464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464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436,813</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422,899</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861,544</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845,497</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29"/>
        </w:trPr>
        <w:tc>
          <w:tcPr>
            <w:tcW w:w="464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105,984</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115,478</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209,538</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228,536</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96,218</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103,626</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194,223</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205,529</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29"/>
        </w:trPr>
        <w:tc>
          <w:tcPr>
            <w:tcW w:w="464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202,219</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147,528</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37</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375,960</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275,729</w:t>
            </w:r>
          </w:p>
        </w:tc>
        <w:tc>
          <w:tcPr>
            <w:tcW w:w="90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285,572</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308,814</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566,563</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612,654</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29"/>
        </w:trPr>
        <w:tc>
          <w:tcPr>
            <w:tcW w:w="464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88,970</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86,991</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173,867</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170,289</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29"/>
        </w:trPr>
        <w:tc>
          <w:tcPr>
            <w:tcW w:w="464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621</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575</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8</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1,241</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1,151</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31"/>
        </w:trPr>
        <w:tc>
          <w:tcPr>
            <w:tcW w:w="464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(625)</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(631)</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(1,249)</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(1,443)</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464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1,215,772</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1,185,280</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2,381,687</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2,337,942</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22"/>
        </w:trPr>
        <w:tc>
          <w:tcPr>
            <w:tcW w:w="464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464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390,628</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387,622</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775,326</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779,633</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78,044</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84,350</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157,200</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167,775</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29"/>
        </w:trPr>
        <w:tc>
          <w:tcPr>
            <w:tcW w:w="464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88,652</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99,361</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181,177</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198,195</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29"/>
        </w:trPr>
        <w:tc>
          <w:tcPr>
            <w:tcW w:w="464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177,122</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134,791</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31</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332,546</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256,901</w:t>
            </w:r>
          </w:p>
        </w:tc>
        <w:tc>
          <w:tcPr>
            <w:tcW w:w="90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276,279</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298,611</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550,778</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592,799</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29"/>
        </w:trPr>
        <w:tc>
          <w:tcPr>
            <w:tcW w:w="464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116,265</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139,953</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232,400</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252,205</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16,656</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15,312</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9</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33,285</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30,524</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(625)</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(631)</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(1,249)</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(1,443)</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464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1,143,021</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1,159,369</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2,261,463</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2,276,589</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22"/>
        </w:trPr>
        <w:tc>
          <w:tcPr>
            <w:tcW w:w="464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46,185</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35,277</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31</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86,218</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65,864</w:t>
            </w:r>
          </w:p>
        </w:tc>
        <w:tc>
          <w:tcPr>
            <w:tcW w:w="90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27,940</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31,128</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52,338</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60,761</w:t>
            </w: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29"/>
        </w:trPr>
        <w:tc>
          <w:tcPr>
            <w:tcW w:w="464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7,566</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4,265</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77</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13,046</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7,334</w:t>
            </w:r>
          </w:p>
        </w:tc>
        <w:tc>
          <w:tcPr>
            <w:tcW w:w="90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25,097</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12,737</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97</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43,414</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18,828</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9,293</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10,203</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15,785</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19,855</w:t>
            </w: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(27,295)</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(52,962)</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48</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(58,533)</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(81,916)</w:t>
            </w:r>
          </w:p>
        </w:tc>
        <w:tc>
          <w:tcPr>
            <w:tcW w:w="90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(16,035)</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(14,737)</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(32,044)</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(29,373)</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23"/>
        </w:trPr>
        <w:tc>
          <w:tcPr>
            <w:tcW w:w="464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72,751</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25,911</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120,224</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61,353</w:t>
            </w:r>
          </w:p>
        </w:tc>
        <w:tc>
          <w:tcPr>
            <w:tcW w:w="90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161"/>
        </w:trPr>
        <w:tc>
          <w:tcPr>
            <w:tcW w:w="4640" w:type="dxa"/>
            <w:vAlign w:val="bottom"/>
          </w:tcPr>
          <w:p>
            <w:pPr>
              <w:ind w:left="20"/>
              <w:spacing w:after="0" w:line="161" w:lineRule="exact"/>
              <w:rPr>
                <w:sz w:val="20"/>
                <w:szCs w:val="20"/>
                <w:color w:val="auto"/>
              </w:rPr>
            </w:pPr>
            <w:r>
              <w:rPr>
                <w:rFonts w:ascii="Arial" w:cs="Arial" w:eastAsia="Arial" w:hAnsi="Arial"/>
                <w:sz w:val="16"/>
                <w:szCs w:val="16"/>
                <w:b w:val="1"/>
                <w:bCs w:val="1"/>
                <w:color w:val="auto"/>
              </w:rPr>
              <w:t>Amortization of Intangible Assets and Impairment of</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3"/>
        </w:trPr>
        <w:tc>
          <w:tcPr>
            <w:tcW w:w="4640" w:type="dxa"/>
            <w:vAlign w:val="bottom"/>
          </w:tcPr>
          <w:p>
            <w:pPr>
              <w:ind w:left="100"/>
              <w:spacing w:after="0"/>
              <w:rPr>
                <w:sz w:val="20"/>
                <w:szCs w:val="20"/>
                <w:color w:val="auto"/>
              </w:rPr>
            </w:pPr>
            <w:r>
              <w:rPr>
                <w:rFonts w:ascii="Arial" w:cs="Arial" w:eastAsia="Arial" w:hAnsi="Arial"/>
                <w:sz w:val="16"/>
                <w:szCs w:val="16"/>
                <w:b w:val="1"/>
                <w:bCs w:val="1"/>
                <w:color w:val="auto"/>
              </w:rPr>
              <w:t>Goodwill and Other Long-Lived Assets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464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1,699</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2,872</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3,818</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5,846</w:t>
            </w:r>
          </w:p>
        </w:tc>
        <w:tc>
          <w:tcPr>
            <w:tcW w:w="90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1,360</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1,360</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2,720</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2,710</w:t>
            </w:r>
          </w:p>
        </w:tc>
        <w:tc>
          <w:tcPr>
            <w:tcW w:w="90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2,431</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2,648</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4,862</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5,768</w:t>
            </w: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117</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598</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(80)</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235</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1,234</w:t>
            </w:r>
          </w:p>
        </w:tc>
        <w:tc>
          <w:tcPr>
            <w:tcW w:w="90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29"/>
        </w:trPr>
        <w:tc>
          <w:tcPr>
            <w:tcW w:w="464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10</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1,629</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28,862</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(94)</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3,420</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31,533</w:t>
            </w:r>
          </w:p>
        </w:tc>
        <w:tc>
          <w:tcPr>
            <w:tcW w:w="90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464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7,241</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36,345</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(80)</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15,065</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47,096</w:t>
            </w:r>
          </w:p>
        </w:tc>
        <w:tc>
          <w:tcPr>
            <w:tcW w:w="90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161"/>
        </w:trPr>
        <w:tc>
          <w:tcPr>
            <w:tcW w:w="4640" w:type="dxa"/>
            <w:vAlign w:val="bottom"/>
          </w:tcPr>
          <w:p>
            <w:pPr>
              <w:ind w:left="20"/>
              <w:spacing w:after="0" w:line="161" w:lineRule="exact"/>
              <w:rPr>
                <w:sz w:val="20"/>
                <w:szCs w:val="20"/>
                <w:color w:val="auto"/>
              </w:rPr>
            </w:pPr>
            <w:r>
              <w:rPr>
                <w:rFonts w:ascii="Arial" w:cs="Arial" w:eastAsia="Arial" w:hAnsi="Arial"/>
                <w:sz w:val="16"/>
                <w:szCs w:val="16"/>
                <w:b w:val="1"/>
                <w:bCs w:val="1"/>
                <w:color w:val="auto"/>
              </w:rPr>
              <w:t>Operating Income (Loss) before Amortization of Intangible</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6"/>
        </w:trPr>
        <w:tc>
          <w:tcPr>
            <w:tcW w:w="4640" w:type="dxa"/>
            <w:vAlign w:val="bottom"/>
          </w:tcPr>
          <w:p>
            <w:pPr>
              <w:ind w:left="100"/>
              <w:spacing w:after="0" w:line="175" w:lineRule="exact"/>
              <w:rPr>
                <w:sz w:val="20"/>
                <w:szCs w:val="20"/>
                <w:color w:val="auto"/>
              </w:rPr>
            </w:pPr>
            <w:r>
              <w:rPr>
                <w:rFonts w:ascii="Arial" w:cs="Arial" w:eastAsia="Arial" w:hAnsi="Arial"/>
                <w:sz w:val="16"/>
                <w:szCs w:val="16"/>
                <w:b w:val="1"/>
                <w:bCs w:val="1"/>
                <w:color w:val="auto"/>
              </w:rPr>
              <w:t>Assets and Impairment of Goodwill and Other Long-Lived</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23"/>
        </w:trPr>
        <w:tc>
          <w:tcPr>
            <w:tcW w:w="4640" w:type="dxa"/>
            <w:vAlign w:val="bottom"/>
          </w:tcPr>
          <w:p>
            <w:pPr>
              <w:ind w:left="10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43"/>
        </w:trPr>
        <w:tc>
          <w:tcPr>
            <w:tcW w:w="464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47,884</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38,149</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26</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90,036</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71,710</w:t>
            </w:r>
          </w:p>
        </w:tc>
        <w:tc>
          <w:tcPr>
            <w:tcW w:w="90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29,300</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32,488</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55,058</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63,471</w:t>
            </w: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9,997</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6,913</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45</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17,908</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13,102</w:t>
            </w:r>
          </w:p>
        </w:tc>
        <w:tc>
          <w:tcPr>
            <w:tcW w:w="90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29"/>
        </w:trPr>
        <w:tc>
          <w:tcPr>
            <w:tcW w:w="464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25,214</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13,335</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89</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43,649</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20,062</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9,298</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10,208</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15,795</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19,860</w:t>
            </w: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29"/>
        </w:trPr>
        <w:tc>
          <w:tcPr>
            <w:tcW w:w="464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(25,666)</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(24,100)</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(55,113)</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(50,383)</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30"/>
        </w:trPr>
        <w:tc>
          <w:tcPr>
            <w:tcW w:w="464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(16,035)</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(14,737)</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(32,044)</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(29,373)</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26"/>
        </w:trPr>
        <w:tc>
          <w:tcPr>
            <w:tcW w:w="464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79,992</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62,256</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28</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135,289</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108,449</w:t>
            </w:r>
          </w:p>
        </w:tc>
        <w:tc>
          <w:tcPr>
            <w:tcW w:w="900" w:type="dxa"/>
            <w:vAlign w:val="bottom"/>
          </w:tcPr>
          <w:p>
            <w:pPr>
              <w:jc w:val="right"/>
              <w:spacing w:after="0"/>
              <w:rPr>
                <w:sz w:val="20"/>
                <w:szCs w:val="20"/>
                <w:color w:val="auto"/>
              </w:rPr>
            </w:pPr>
            <w:r>
              <w:rPr>
                <w:rFonts w:ascii="Arial" w:cs="Arial" w:eastAsia="Arial" w:hAnsi="Arial"/>
                <w:sz w:val="16"/>
                <w:szCs w:val="16"/>
                <w:color w:val="auto"/>
              </w:rPr>
              <w:t>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240"/>
          </w:cols>
          <w:pgMar w:left="320" w:top="1093" w:right="339" w:bottom="716"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1093" w:right="339" w:bottom="716"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96"/>
        </w:trPr>
        <w:tc>
          <w:tcPr>
            <w:tcW w:w="4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gridSpan w:val="3"/>
          </w:tcPr>
          <w:p>
            <w:pPr>
              <w:jc w:val="right"/>
              <w:ind w:right="299"/>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gridSpan w:val="3"/>
          </w:tcPr>
          <w:p>
            <w:pPr>
              <w:jc w:val="right"/>
              <w:ind w:right="499"/>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7"/>
                <w:szCs w:val="17"/>
                <w:color w:val="auto"/>
              </w:rPr>
            </w:pPr>
          </w:p>
        </w:tc>
      </w:tr>
      <w:tr>
        <w:trPr>
          <w:trHeight w:val="225"/>
        </w:trPr>
        <w:tc>
          <w:tcPr>
            <w:tcW w:w="46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9"/>
                <w:szCs w:val="19"/>
                <w:color w:val="auto"/>
              </w:rPr>
            </w:pPr>
          </w:p>
        </w:tc>
        <w:tc>
          <w:tcPr>
            <w:tcW w:w="980" w:type="dxa"/>
            <w:vAlign w:val="bottom"/>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9"/>
                <w:szCs w:val="19"/>
                <w:color w:val="auto"/>
              </w:rPr>
            </w:pPr>
          </w:p>
        </w:tc>
        <w:tc>
          <w:tcPr>
            <w:tcW w:w="880" w:type="dxa"/>
            <w:vAlign w:val="bottom"/>
          </w:tcPr>
          <w:p>
            <w:pPr>
              <w:jc w:val="right"/>
              <w:ind w:right="240"/>
              <w:spacing w:after="0"/>
              <w:rPr>
                <w:sz w:val="20"/>
                <w:szCs w:val="20"/>
                <w:color w:val="auto"/>
              </w:rPr>
            </w:pPr>
            <w:r>
              <w:rPr>
                <w:rFonts w:ascii="Arial" w:cs="Arial" w:eastAsia="Arial" w:hAnsi="Arial"/>
                <w:sz w:val="14"/>
                <w:szCs w:val="14"/>
                <w:color w:val="auto"/>
              </w:rPr>
              <w:t>%</w:t>
            </w:r>
          </w:p>
        </w:tc>
      </w:tr>
      <w:tr>
        <w:trPr>
          <w:trHeight w:val="210"/>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2024</w:t>
            </w: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Change</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2025</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color w:val="auto"/>
              </w:rPr>
              <w:t>2024</w:t>
            </w: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r>
      <w:tr>
        <w:trPr>
          <w:trHeight w:val="223"/>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Depreciation</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466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7,412</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8,855</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(16)</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15,176</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18,160</w:t>
            </w:r>
          </w:p>
        </w:tc>
        <w:tc>
          <w:tcPr>
            <w:tcW w:w="88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2,625</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2,870</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(9)</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5,253</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5,738</w:t>
            </w:r>
          </w:p>
        </w:tc>
        <w:tc>
          <w:tcPr>
            <w:tcW w:w="8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29"/>
        </w:trPr>
        <w:tc>
          <w:tcPr>
            <w:tcW w:w="466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2,654</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2,694</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5,357</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5,409</w:t>
            </w: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1,723</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1,683</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3,509</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3,277</w:t>
            </w: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29"/>
        </w:trPr>
        <w:tc>
          <w:tcPr>
            <w:tcW w:w="466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1,708</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1,716</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0</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3,437</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3,429</w:t>
            </w:r>
          </w:p>
        </w:tc>
        <w:tc>
          <w:tcPr>
            <w:tcW w:w="88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29"/>
        </w:trPr>
        <w:tc>
          <w:tcPr>
            <w:tcW w:w="466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3,353</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4,204</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(20)</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7,142</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8,387</w:t>
            </w:r>
          </w:p>
        </w:tc>
        <w:tc>
          <w:tcPr>
            <w:tcW w:w="88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31"/>
        </w:trPr>
        <w:tc>
          <w:tcPr>
            <w:tcW w:w="466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177</w:t>
            </w: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17</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332</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w:t>
            </w:r>
          </w:p>
        </w:tc>
        <w:tc>
          <w:tcPr>
            <w:tcW w:w="8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23"/>
        </w:trPr>
        <w:tc>
          <w:tcPr>
            <w:tcW w:w="466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19,652</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22,173</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(11)</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40,206</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44,700</w:t>
            </w:r>
          </w:p>
        </w:tc>
        <w:tc>
          <w:tcPr>
            <w:tcW w:w="8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22"/>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Pension Expense</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466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4,413</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4,712</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8,636</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8,822</w:t>
            </w: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1,532</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1,416</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8</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2,951</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3,055</w:t>
            </w: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29"/>
        </w:trPr>
        <w:tc>
          <w:tcPr>
            <w:tcW w:w="466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654</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292</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1,730</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919</w:t>
            </w:r>
          </w:p>
        </w:tc>
        <w:tc>
          <w:tcPr>
            <w:tcW w:w="88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229"/>
        </w:trPr>
        <w:tc>
          <w:tcPr>
            <w:tcW w:w="466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1,993</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4,851</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(59)</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4,992</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9,609</w:t>
            </w:r>
          </w:p>
        </w:tc>
        <w:tc>
          <w:tcPr>
            <w:tcW w:w="88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21</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(50)</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48</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57</w:t>
            </w:r>
          </w:p>
        </w:tc>
        <w:tc>
          <w:tcPr>
            <w:tcW w:w="88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29"/>
        </w:trPr>
        <w:tc>
          <w:tcPr>
            <w:tcW w:w="466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2,295</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1,674</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37</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4,011</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3,614</w:t>
            </w:r>
          </w:p>
        </w:tc>
        <w:tc>
          <w:tcPr>
            <w:tcW w:w="8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31"/>
        </w:trPr>
        <w:tc>
          <w:tcPr>
            <w:tcW w:w="466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791</w:t>
            </w: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1,084</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(27)</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1,523</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2,029</w:t>
            </w:r>
          </w:p>
        </w:tc>
        <w:tc>
          <w:tcPr>
            <w:tcW w:w="88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23"/>
        </w:trPr>
        <w:tc>
          <w:tcPr>
            <w:tcW w:w="466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11,699</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14,071</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(17)</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23,891</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28,105</w:t>
            </w:r>
          </w:p>
        </w:tc>
        <w:tc>
          <w:tcPr>
            <w:tcW w:w="88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5"/>
        </w:trPr>
        <w:tc>
          <w:tcPr>
            <w:tcW w:w="466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Adjusted Operating Cash Flow (non-GAAP)</w:t>
            </w:r>
            <w:r>
              <w:rPr>
                <w:rFonts w:ascii="Arial" w:cs="Arial" w:eastAsia="Arial" w:hAnsi="Arial"/>
                <w:sz w:val="21"/>
                <w:szCs w:val="21"/>
                <w:b w:val="1"/>
                <w:bCs w:val="1"/>
                <w:color w:val="auto"/>
                <w:vertAlign w:val="superscript"/>
              </w:rPr>
              <w:t>(1)</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3"/>
        </w:trPr>
        <w:tc>
          <w:tcPr>
            <w:tcW w:w="466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59,709</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51,716</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15</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113,848</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98,692</w:t>
            </w:r>
          </w:p>
        </w:tc>
        <w:tc>
          <w:tcPr>
            <w:tcW w:w="88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29"/>
        </w:trPr>
        <w:tc>
          <w:tcPr>
            <w:tcW w:w="466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33,457</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36,774</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(9)</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63,262</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72,264</w:t>
            </w:r>
          </w:p>
        </w:tc>
        <w:tc>
          <w:tcPr>
            <w:tcW w:w="8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13,305</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9,899</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34</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24,995</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19,430</w:t>
            </w:r>
          </w:p>
        </w:tc>
        <w:tc>
          <w:tcPr>
            <w:tcW w:w="88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28,930</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19,869</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46</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52,150</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32,948</w:t>
            </w:r>
          </w:p>
        </w:tc>
        <w:tc>
          <w:tcPr>
            <w:tcW w:w="88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11,027</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11,966</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(8)</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19,280</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23,346</w:t>
            </w:r>
          </w:p>
        </w:tc>
        <w:tc>
          <w:tcPr>
            <w:tcW w:w="88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29"/>
        </w:trPr>
        <w:tc>
          <w:tcPr>
            <w:tcW w:w="466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(20,018)</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(18,222)</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(43,960)</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(38,382)</w:t>
            </w:r>
          </w:p>
        </w:tc>
        <w:tc>
          <w:tcPr>
            <w:tcW w:w="88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31"/>
        </w:trPr>
        <w:tc>
          <w:tcPr>
            <w:tcW w:w="466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(15,067)</w:t>
            </w: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(13,502)</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(12)</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(30,189)</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(27,044)</w:t>
            </w:r>
          </w:p>
        </w:tc>
        <w:tc>
          <w:tcPr>
            <w:tcW w:w="8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26"/>
        </w:trPr>
        <w:tc>
          <w:tcPr>
            <w:tcW w:w="466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111,343</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98,500</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13</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199,386</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181,254</w:t>
            </w:r>
          </w:p>
        </w:tc>
        <w:tc>
          <w:tcPr>
            <w:tcW w:w="880" w:type="dxa"/>
            <w:vAlign w:val="bottom"/>
          </w:tcPr>
          <w:p>
            <w:pPr>
              <w:jc w:val="right"/>
              <w:spacing w:after="0"/>
              <w:rPr>
                <w:sz w:val="20"/>
                <w:szCs w:val="20"/>
                <w:color w:val="auto"/>
              </w:rPr>
            </w:pPr>
            <w:r>
              <w:rPr>
                <w:rFonts w:ascii="Arial" w:cs="Arial" w:eastAsia="Arial" w:hAnsi="Arial"/>
                <w:sz w:val="16"/>
                <w:szCs w:val="16"/>
                <w:color w:val="auto"/>
              </w:rPr>
              <w:t>10</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42" w:lineRule="exact"/>
        <w:rPr>
          <w:sz w:val="20"/>
          <w:szCs w:val="20"/>
          <w:color w:val="auto"/>
        </w:rPr>
      </w:pPr>
    </w:p>
    <w:p>
      <w:pPr>
        <w:ind w:left="360" w:right="260" w:hanging="271"/>
        <w:spacing w:after="0" w:line="285" w:lineRule="auto"/>
        <w:tabs>
          <w:tab w:leader="none" w:pos="360" w:val="left"/>
        </w:tabs>
        <w:numPr>
          <w:ilvl w:val="0"/>
          <w:numId w:val="2"/>
        </w:numPr>
        <w:rPr>
          <w:rFonts w:ascii="Arial" w:cs="Arial" w:eastAsia="Arial" w:hAnsi="Arial"/>
          <w:sz w:val="14"/>
          <w:szCs w:val="14"/>
          <w:color w:val="auto"/>
        </w:rPr>
      </w:pPr>
      <w:r>
        <w:rPr>
          <w:rFonts w:ascii="Arial" w:cs="Arial" w:eastAsia="Arial" w:hAnsi="Arial"/>
          <w:sz w:val="14"/>
          <w:szCs w:val="14"/>
          <w:color w:val="auto"/>
        </w:rPr>
        <w:t>Adjusted Operating Cash Flow (non-GAAP) is calculated as Operating Income (Loss) before Amortization of Intangible Assets and Impairment of Goodwill and Other Long-Lived Assets plus Depreciation Expense and Pension Expense.</w:t>
      </w:r>
    </w:p>
    <w:p>
      <w:pPr>
        <w:spacing w:after="0" w:line="2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320" w:top="1102" w:right="47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EDUCATION DIVISION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gridSpan w:val="3"/>
          </w:tcPr>
          <w:p>
            <w:pPr>
              <w:jc w:val="right"/>
              <w:ind w:right="299"/>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gridSpan w:val="3"/>
          </w:tcPr>
          <w:p>
            <w:pPr>
              <w:jc w:val="right"/>
              <w:ind w:right="479"/>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7"/>
                <w:szCs w:val="17"/>
                <w:color w:val="auto"/>
              </w:rPr>
            </w:pPr>
          </w:p>
        </w:tc>
      </w:tr>
      <w:tr>
        <w:trPr>
          <w:trHeight w:val="225"/>
        </w:trPr>
        <w:tc>
          <w:tcPr>
            <w:tcW w:w="46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9"/>
                <w:szCs w:val="19"/>
                <w:color w:val="auto"/>
              </w:rPr>
            </w:pPr>
          </w:p>
        </w:tc>
        <w:tc>
          <w:tcPr>
            <w:tcW w:w="1000" w:type="dxa"/>
            <w:vAlign w:val="bottom"/>
          </w:tcPr>
          <w:p>
            <w:pPr>
              <w:jc w:val="right"/>
              <w:ind w:right="359"/>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9"/>
                <w:szCs w:val="19"/>
                <w:color w:val="auto"/>
              </w:rPr>
            </w:pPr>
          </w:p>
        </w:tc>
        <w:tc>
          <w:tcPr>
            <w:tcW w:w="900" w:type="dxa"/>
            <w:vAlign w:val="bottom"/>
          </w:tcPr>
          <w:p>
            <w:pPr>
              <w:jc w:val="right"/>
              <w:ind w:right="259"/>
              <w:spacing w:after="0"/>
              <w:rPr>
                <w:sz w:val="20"/>
                <w:szCs w:val="20"/>
                <w:color w:val="auto"/>
              </w:rPr>
            </w:pPr>
            <w:r>
              <w:rPr>
                <w:rFonts w:ascii="Arial" w:cs="Arial" w:eastAsia="Arial" w:hAnsi="Arial"/>
                <w:sz w:val="14"/>
                <w:szCs w:val="14"/>
                <w:color w:val="auto"/>
              </w:rPr>
              <w:t>%</w:t>
            </w:r>
          </w:p>
        </w:tc>
      </w:tr>
      <w:tr>
        <w:trPr>
          <w:trHeight w:val="209"/>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2024</w:t>
            </w:r>
          </w:p>
        </w:tc>
        <w:tc>
          <w:tcPr>
            <w:tcW w:w="10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color w:val="auto"/>
              </w:rPr>
              <w:t>Change</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2025</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2024</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Change</w:t>
            </w:r>
          </w:p>
        </w:tc>
      </w:tr>
      <w:tr>
        <w:trPr>
          <w:trHeight w:val="223"/>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466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272,171</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267,026</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533,427</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536,824</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29"/>
        </w:trPr>
        <w:tc>
          <w:tcPr>
            <w:tcW w:w="466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84,738</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81,041</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5</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173,225</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161,163</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80,161</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73,133</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10</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155,564</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145,255</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29"/>
        </w:trPr>
        <w:tc>
          <w:tcPr>
            <w:tcW w:w="466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23</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2,993</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(99)</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35</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5,581</w:t>
            </w:r>
          </w:p>
        </w:tc>
        <w:tc>
          <w:tcPr>
            <w:tcW w:w="90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231"/>
        </w:trPr>
        <w:tc>
          <w:tcPr>
            <w:tcW w:w="466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(280)</w:t>
            </w: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(1,294)</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(707)</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(3,326)</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466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436,813</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422,899</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861,544</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845,497</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22"/>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466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242,234</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241,202</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473,428</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479,688</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29"/>
        </w:trPr>
        <w:tc>
          <w:tcPr>
            <w:tcW w:w="466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66,766</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66,687</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142,446</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141,290</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72,755</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67,461</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8</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142,190</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135,003</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29"/>
        </w:trPr>
        <w:tc>
          <w:tcPr>
            <w:tcW w:w="466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7,439</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11,048</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(33)</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14,099</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21,221</w:t>
            </w:r>
          </w:p>
        </w:tc>
        <w:tc>
          <w:tcPr>
            <w:tcW w:w="90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29"/>
        </w:trPr>
        <w:tc>
          <w:tcPr>
            <w:tcW w:w="4660" w:type="dxa"/>
            <w:vAlign w:val="bottom"/>
          </w:tcPr>
          <w:p>
            <w:pPr>
              <w:ind w:left="14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1,699</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2,872</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3,818</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5,846</w:t>
            </w:r>
          </w:p>
        </w:tc>
        <w:tc>
          <w:tcPr>
            <w:tcW w:w="90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31"/>
        </w:trPr>
        <w:tc>
          <w:tcPr>
            <w:tcW w:w="466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(265)</w:t>
            </w: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(1,648)</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(655)</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(3,415)</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466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390,628</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387,622</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775,326</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779,633</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22"/>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466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29,937</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25,824</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16</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59,999</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57,136</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17,972</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14,354</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25</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30,779</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19,873</w:t>
            </w:r>
          </w:p>
        </w:tc>
        <w:tc>
          <w:tcPr>
            <w:tcW w:w="90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7,406</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5,672</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31</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13,374</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10,252</w:t>
            </w:r>
          </w:p>
        </w:tc>
        <w:tc>
          <w:tcPr>
            <w:tcW w:w="90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(7,416)</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(8,055)</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8</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(14,064)</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(15,640)</w:t>
            </w: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(1,699)</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(2,872)</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41</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(3,818)</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(5,846)</w:t>
            </w:r>
          </w:p>
        </w:tc>
        <w:tc>
          <w:tcPr>
            <w:tcW w:w="90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w:t>
            </w: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466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46,185</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35,277</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31</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86,218</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65,864</w:t>
            </w:r>
          </w:p>
        </w:tc>
        <w:tc>
          <w:tcPr>
            <w:tcW w:w="90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161"/>
        </w:trPr>
        <w:tc>
          <w:tcPr>
            <w:tcW w:w="4660" w:type="dxa"/>
            <w:vAlign w:val="bottom"/>
          </w:tcPr>
          <w:p>
            <w:pPr>
              <w:ind w:left="20"/>
              <w:spacing w:after="0" w:line="161" w:lineRule="exact"/>
              <w:rPr>
                <w:sz w:val="20"/>
                <w:szCs w:val="20"/>
                <w:color w:val="auto"/>
              </w:rPr>
            </w:pPr>
            <w:r>
              <w:rPr>
                <w:rFonts w:ascii="Arial" w:cs="Arial" w:eastAsia="Arial" w:hAnsi="Arial"/>
                <w:sz w:val="16"/>
                <w:szCs w:val="16"/>
                <w:b w:val="1"/>
                <w:bCs w:val="1"/>
                <w:color w:val="auto"/>
              </w:rPr>
              <w:t>Operating Income (Loss) before Amortization of Intangible</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3"/>
        </w:trPr>
        <w:tc>
          <w:tcPr>
            <w:tcW w:w="4660" w:type="dxa"/>
            <w:vAlign w:val="bottom"/>
          </w:tcPr>
          <w:p>
            <w:pPr>
              <w:ind w:left="10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466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29,937</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25,824</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16</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59,999</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57,136</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17,972</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14,354</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25</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30,779</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19,873</w:t>
            </w:r>
          </w:p>
        </w:tc>
        <w:tc>
          <w:tcPr>
            <w:tcW w:w="90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7,406</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5,672</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31</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13,374</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10,252</w:t>
            </w:r>
          </w:p>
        </w:tc>
        <w:tc>
          <w:tcPr>
            <w:tcW w:w="90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(7,416)</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(8,055)</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8</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(14,064)</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(15,640)</w:t>
            </w: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w:t>
            </w: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466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47,884</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38,149</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26</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90,036</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71,710</w:t>
            </w:r>
          </w:p>
        </w:tc>
        <w:tc>
          <w:tcPr>
            <w:tcW w:w="90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22"/>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Depreciation</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466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6,393</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7,177</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12,942</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14,533</w:t>
            </w: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383</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799</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(52)</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839</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1,702</w:t>
            </w:r>
          </w:p>
        </w:tc>
        <w:tc>
          <w:tcPr>
            <w:tcW w:w="90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631</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857</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(26)</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1,384</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1,876</w:t>
            </w:r>
          </w:p>
        </w:tc>
        <w:tc>
          <w:tcPr>
            <w:tcW w:w="90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w:t>
            </w: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(77)</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90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23"/>
        </w:trPr>
        <w:tc>
          <w:tcPr>
            <w:tcW w:w="466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7,412</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8,855</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15,176</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18,160</w:t>
            </w: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22"/>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Pension Expense</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146</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166</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286</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329</w:t>
            </w: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29"/>
        </w:trPr>
        <w:tc>
          <w:tcPr>
            <w:tcW w:w="466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1,889</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2,045</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3,697</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3,826</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1,972</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2,094</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3,859</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3,912</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406</w:t>
            </w: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794</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755</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23"/>
        </w:trPr>
        <w:tc>
          <w:tcPr>
            <w:tcW w:w="466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4,413</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4,712</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8,636</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8,822</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5"/>
        </w:trPr>
        <w:tc>
          <w:tcPr>
            <w:tcW w:w="466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Adjusted Operating Cash Flow (non-GAAP)</w:t>
            </w:r>
            <w:r>
              <w:rPr>
                <w:rFonts w:ascii="Arial" w:cs="Arial" w:eastAsia="Arial" w:hAnsi="Arial"/>
                <w:sz w:val="21"/>
                <w:szCs w:val="21"/>
                <w:b w:val="1"/>
                <w:bCs w:val="1"/>
                <w:color w:val="auto"/>
                <w:vertAlign w:val="superscript"/>
              </w:rPr>
              <w:t>(1)</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3"/>
        </w:trPr>
        <w:tc>
          <w:tcPr>
            <w:tcW w:w="466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36,476</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33,167</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10</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73,227</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71,998</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20,244</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17,198</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18</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35,315</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25,401</w:t>
            </w:r>
          </w:p>
        </w:tc>
        <w:tc>
          <w:tcPr>
            <w:tcW w:w="90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29"/>
        </w:trPr>
        <w:tc>
          <w:tcPr>
            <w:tcW w:w="466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10,009</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8,623</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16</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18,617</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16,040</w:t>
            </w: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(7,005)</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(7,626)</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8</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(13,259)</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(14,836)</w:t>
            </w: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30"/>
        </w:trPr>
        <w:tc>
          <w:tcPr>
            <w:tcW w:w="466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w:t>
            </w: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6"/>
        </w:trPr>
        <w:tc>
          <w:tcPr>
            <w:tcW w:w="466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59,709</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51,716</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15</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113,848</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98,692</w:t>
            </w:r>
          </w:p>
        </w:tc>
        <w:tc>
          <w:tcPr>
            <w:tcW w:w="900" w:type="dxa"/>
            <w:vAlign w:val="bottom"/>
          </w:tcPr>
          <w:p>
            <w:pPr>
              <w:jc w:val="right"/>
              <w:spacing w:after="0"/>
              <w:rPr>
                <w:sz w:val="20"/>
                <w:szCs w:val="20"/>
                <w:color w:val="auto"/>
              </w:rPr>
            </w:pPr>
            <w:r>
              <w:rPr>
                <w:rFonts w:ascii="Arial" w:cs="Arial" w:eastAsia="Arial" w:hAnsi="Arial"/>
                <w:sz w:val="16"/>
                <w:szCs w:val="16"/>
                <w:color w:val="auto"/>
              </w:rPr>
              <w:t>15</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42" w:lineRule="exact"/>
        <w:rPr>
          <w:sz w:val="20"/>
          <w:szCs w:val="20"/>
          <w:color w:val="auto"/>
        </w:rPr>
      </w:pPr>
    </w:p>
    <w:p>
      <w:pPr>
        <w:ind w:left="360" w:right="180" w:hanging="271"/>
        <w:spacing w:after="0" w:line="285" w:lineRule="auto"/>
        <w:tabs>
          <w:tab w:leader="none" w:pos="360" w:val="left"/>
        </w:tabs>
        <w:numPr>
          <w:ilvl w:val="0"/>
          <w:numId w:val="3"/>
        </w:numPr>
        <w:rPr>
          <w:rFonts w:ascii="Arial" w:cs="Arial" w:eastAsia="Arial" w:hAnsi="Arial"/>
          <w:sz w:val="14"/>
          <w:szCs w:val="14"/>
          <w:color w:val="auto"/>
        </w:rPr>
      </w:pPr>
      <w:r>
        <w:rPr>
          <w:rFonts w:ascii="Arial" w:cs="Arial" w:eastAsia="Arial" w:hAnsi="Arial"/>
          <w:sz w:val="14"/>
          <w:szCs w:val="14"/>
          <w:color w:val="auto"/>
        </w:rPr>
        <w:t>Adjusted Operating Cash Flow (non-GAAP) is calculated as Operating Income (Loss) before Amortization of Intangible Assets plus Depreciation Expense and Pension Expense.</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140"/>
          </w:cols>
          <w:pgMar w:left="320" w:top="1093" w:right="439" w:bottom="689" w:gutter="0" w:footer="0" w:header="0"/>
        </w:sectPr>
      </w:pP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140"/>
          </w:cols>
          <w:pgMar w:left="320" w:top="1093" w:right="439" w:bottom="689"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color w:val="auto"/>
        </w:rPr>
        <w:t>NON-GAAP FINANCIAL INFORMATION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GRAHAM HOLDINGS COMPANY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I</w:t>
      </w:r>
      <w:r>
        <w:rPr>
          <w:rFonts w:ascii="Arial" w:cs="Arial" w:eastAsia="Arial" w:hAnsi="Arial"/>
          <w:sz w:val="17"/>
          <w:szCs w:val="17"/>
          <w:color w:val="auto"/>
        </w:rPr>
        <w:t>n addition to the results reported in accordance with accounting principles generally accepted in the United States (GAAP) included in this</w:t>
      </w:r>
    </w:p>
    <w:p>
      <w:pPr>
        <w:spacing w:after="0" w:line="25" w:lineRule="exact"/>
        <w:rPr>
          <w:sz w:val="20"/>
          <w:szCs w:val="20"/>
          <w:color w:val="auto"/>
        </w:rPr>
      </w:pPr>
    </w:p>
    <w:p>
      <w:pPr>
        <w:ind w:right="60"/>
        <w:spacing w:after="0"/>
        <w:rPr>
          <w:sz w:val="20"/>
          <w:szCs w:val="20"/>
          <w:color w:val="auto"/>
        </w:rPr>
      </w:pPr>
      <w:r>
        <w:rPr>
          <w:rFonts w:ascii="Arial" w:cs="Arial" w:eastAsia="Arial" w:hAnsi="Arial"/>
          <w:sz w:val="17"/>
          <w:szCs w:val="17"/>
          <w:color w:val="auto"/>
        </w:rPr>
        <w:t>press release, the Company has provided information regarding Adjusted Operating Cash Flow and Net income excluding certain items described below, reconciled to the most directly comparable GAAP measures. Management believes that these non-GAAP measures, when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read in conjunction with the Company’s GAAP financials, provide useful information to investors by offering:</w:t>
      </w:r>
    </w:p>
    <w:p>
      <w:pPr>
        <w:spacing w:after="0" w:line="8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make meaningful period-to-period comparisons of the Company’s ongoing results;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identify trends in the Company’s underlying business; and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better understanding of how management plans and measures the Company’s underlying business.</w:t>
      </w:r>
    </w:p>
    <w:p>
      <w:pPr>
        <w:spacing w:after="0" w:line="104"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Adjusted Operating Cash Flow and Net income, excluding certain items, should not be considered substitutes or alternatives to computations calculated in accordance with and required by GAAP. These non-GAAP financial measures should be read only in conjunction with financial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information presented on a GAAP basis.</w:t>
      </w:r>
    </w:p>
    <w:p>
      <w:pPr>
        <w:spacing w:after="0" w:line="86"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The gains and losses on marketable equity securities relate to the change in the fair value (quoted prices) of its portfolio of equity securities. The mandatorily redeemable noncontrolling interest represents the ownership portion of a group of minority shareholders at a subsidiary of</w:t>
      </w:r>
    </w:p>
    <w:p>
      <w:pPr>
        <w:spacing w:after="0" w:line="235" w:lineRule="auto"/>
        <w:rPr>
          <w:sz w:val="20"/>
          <w:szCs w:val="20"/>
          <w:color w:val="auto"/>
        </w:rPr>
      </w:pPr>
      <w:r>
        <w:rPr>
          <w:rFonts w:ascii="Arial" w:cs="Arial" w:eastAsia="Arial" w:hAnsi="Arial"/>
          <w:sz w:val="18"/>
          <w:szCs w:val="18"/>
          <w:color w:val="auto"/>
        </w:rPr>
        <w:t>the Company's Healthcare business. The Company measures the redemption value of this minority ownership on a quarterly basis with</w:t>
      </w:r>
    </w:p>
    <w:p>
      <w:pPr>
        <w:ind w:right="420"/>
        <w:spacing w:after="0" w:line="226" w:lineRule="auto"/>
        <w:rPr>
          <w:sz w:val="20"/>
          <w:szCs w:val="20"/>
          <w:color w:val="auto"/>
        </w:rPr>
      </w:pPr>
      <w:r>
        <w:rPr>
          <w:rFonts w:ascii="Arial" w:cs="Arial" w:eastAsia="Arial" w:hAnsi="Arial"/>
          <w:sz w:val="18"/>
          <w:szCs w:val="18"/>
          <w:color w:val="auto"/>
        </w:rPr>
        <w:t>changes in the fair value recorded as interest expense or income, which is included in net income for the period. The effect of gains and losses on marketable equity securities and net interest expense related to fair value adjustments of the mandatorily redeemable</w:t>
      </w:r>
    </w:p>
    <w:p>
      <w:pPr>
        <w:spacing w:after="0" w:line="2" w:lineRule="exact"/>
        <w:rPr>
          <w:sz w:val="20"/>
          <w:szCs w:val="20"/>
          <w:color w:val="auto"/>
        </w:rPr>
      </w:pPr>
    </w:p>
    <w:p>
      <w:pPr>
        <w:ind w:right="560"/>
        <w:spacing w:after="0"/>
        <w:rPr>
          <w:sz w:val="20"/>
          <w:szCs w:val="20"/>
          <w:color w:val="auto"/>
        </w:rPr>
      </w:pPr>
      <w:r>
        <w:rPr>
          <w:rFonts w:ascii="Arial" w:cs="Arial" w:eastAsia="Arial" w:hAnsi="Arial"/>
          <w:sz w:val="17"/>
          <w:szCs w:val="17"/>
          <w:color w:val="auto"/>
        </w:rPr>
        <w:t>noncontrolling interest are not directly related to the core performance of the Company’s business operations since these items do not directly relate to the sale of the Company’s services or products. GAAP requires that the Company include the gains and losses on</w:t>
      </w:r>
    </w:p>
    <w:p>
      <w:pPr>
        <w:spacing w:after="0" w:line="235" w:lineRule="auto"/>
        <w:rPr>
          <w:sz w:val="20"/>
          <w:szCs w:val="20"/>
          <w:color w:val="auto"/>
        </w:rPr>
      </w:pPr>
      <w:r>
        <w:rPr>
          <w:rFonts w:ascii="Arial" w:cs="Arial" w:eastAsia="Arial" w:hAnsi="Arial"/>
          <w:sz w:val="18"/>
          <w:szCs w:val="18"/>
          <w:color w:val="auto"/>
        </w:rPr>
        <w:t>marketable equity securities and net interest expense related to fair value adjustments of the mandatorily redeemable noncontrolling interest</w:t>
      </w:r>
    </w:p>
    <w:p>
      <w:pPr>
        <w:spacing w:after="0" w:line="226" w:lineRule="auto"/>
        <w:rPr>
          <w:sz w:val="20"/>
          <w:szCs w:val="20"/>
          <w:color w:val="auto"/>
        </w:rPr>
      </w:pPr>
      <w:r>
        <w:rPr>
          <w:rFonts w:ascii="Arial" w:cs="Arial" w:eastAsia="Arial" w:hAnsi="Arial"/>
          <w:sz w:val="18"/>
          <w:szCs w:val="18"/>
          <w:color w:val="auto"/>
        </w:rPr>
        <w:t>in net income on the Condensed Consolidated Statements of Operations. The Company excludes the gains and losses on marketable equity securities and net interest expense related to fair value adjustments of the mandatorily redeemable noncontrolling interest from the non-</w:t>
      </w:r>
    </w:p>
    <w:p>
      <w:pPr>
        <w:spacing w:after="0" w:line="2"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GAAP adjusted net income because these items are independent of the Company’s core operations and not indicative of the performance of the Company’s business operations.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320" w:top="1039" w:right="37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following tables reconcile the non-GAAP financial measures for Net income, excluding certain items, to the most directly comparable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GAAP measures:</w:t>
      </w:r>
    </w:p>
    <w:p>
      <w:pPr>
        <w:spacing w:after="0" w:line="131" w:lineRule="exact"/>
        <w:rPr>
          <w:sz w:val="20"/>
          <w:szCs w:val="20"/>
          <w:color w:val="auto"/>
        </w:rPr>
      </w:pPr>
    </w:p>
    <w:p>
      <w:pPr>
        <w:ind w:left="6940"/>
        <w:spacing w:after="0"/>
        <w:rPr>
          <w:sz w:val="20"/>
          <w:szCs w:val="20"/>
          <w:color w:val="auto"/>
        </w:rPr>
      </w:pPr>
      <w:r>
        <w:rPr>
          <w:rFonts w:ascii="Arial" w:cs="Arial" w:eastAsia="Arial" w:hAnsi="Arial"/>
          <w:sz w:val="16"/>
          <w:szCs w:val="16"/>
          <w:b w:val="1"/>
          <w:bCs w:val="1"/>
          <w:color w:val="auto"/>
        </w:rPr>
        <w:t>Three Months Ended June 30</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9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rPr>
              <w:t>2025</w:t>
            </w:r>
          </w:p>
        </w:tc>
        <w:tc>
          <w:tcPr>
            <w:tcW w:w="2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center"/>
              <w:ind w:right="184"/>
              <w:spacing w:after="0"/>
              <w:rPr>
                <w:sz w:val="20"/>
                <w:szCs w:val="20"/>
                <w:color w:val="auto"/>
              </w:rPr>
            </w:pPr>
            <w:r>
              <w:rPr>
                <w:rFonts w:ascii="Arial" w:cs="Arial" w:eastAsia="Arial" w:hAnsi="Arial"/>
                <w:sz w:val="14"/>
                <w:szCs w:val="14"/>
                <w:color w:val="auto"/>
              </w:rPr>
              <w:t>2024</w:t>
            </w: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center"/>
              <w:ind w:right="104"/>
              <w:spacing w:after="0"/>
              <w:rPr>
                <w:sz w:val="20"/>
                <w:szCs w:val="20"/>
                <w:color w:val="auto"/>
              </w:rPr>
            </w:pPr>
            <w:r>
              <w:rPr>
                <w:rFonts w:ascii="Arial" w:cs="Arial" w:eastAsia="Arial" w:hAnsi="Arial"/>
                <w:sz w:val="15"/>
                <w:szCs w:val="15"/>
                <w:b w:val="1"/>
                <w:bCs w:val="1"/>
                <w:color w:val="auto"/>
              </w:rPr>
              <w:t>Income</w:t>
            </w:r>
          </w:p>
        </w:tc>
        <w:tc>
          <w:tcPr>
            <w:tcW w:w="220" w:type="dxa"/>
            <w:vAlign w:val="bottom"/>
          </w:tcPr>
          <w:p>
            <w:pPr>
              <w:spacing w:after="0"/>
              <w:rPr>
                <w:sz w:val="15"/>
                <w:szCs w:val="15"/>
                <w:color w:val="auto"/>
              </w:rPr>
            </w:pPr>
          </w:p>
        </w:tc>
        <w:tc>
          <w:tcPr>
            <w:tcW w:w="900" w:type="dxa"/>
            <w:vAlign w:val="bottom"/>
            <w:vMerge w:val="restart"/>
          </w:tcPr>
          <w:p>
            <w:pPr>
              <w:jc w:val="center"/>
              <w:ind w:right="164"/>
              <w:spacing w:after="0"/>
              <w:rPr>
                <w:sz w:val="20"/>
                <w:szCs w:val="20"/>
                <w:color w:val="auto"/>
              </w:rPr>
            </w:pPr>
            <w:r>
              <w:rPr>
                <w:rFonts w:ascii="Arial" w:cs="Arial" w:eastAsia="Arial" w:hAnsi="Arial"/>
                <w:sz w:val="15"/>
                <w:szCs w:val="15"/>
                <w:b w:val="1"/>
                <w:bCs w:val="1"/>
                <w:color w:val="auto"/>
              </w:rPr>
              <w:t>Income</w:t>
            </w: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center"/>
              <w:ind w:right="144"/>
              <w:spacing w:after="0"/>
              <w:rPr>
                <w:sz w:val="20"/>
                <w:szCs w:val="20"/>
                <w:color w:val="auto"/>
              </w:rPr>
            </w:pPr>
            <w:r>
              <w:rPr>
                <w:rFonts w:ascii="Arial" w:cs="Arial" w:eastAsia="Arial" w:hAnsi="Arial"/>
                <w:sz w:val="15"/>
                <w:szCs w:val="15"/>
                <w:color w:val="auto"/>
              </w:rPr>
              <w:t>(Loss)</w:t>
            </w:r>
          </w:p>
        </w:tc>
        <w:tc>
          <w:tcPr>
            <w:tcW w:w="240" w:type="dxa"/>
            <w:vAlign w:val="bottom"/>
          </w:tcPr>
          <w:p>
            <w:pPr>
              <w:spacing w:after="0"/>
              <w:rPr>
                <w:sz w:val="15"/>
                <w:szCs w:val="15"/>
                <w:color w:val="auto"/>
              </w:rPr>
            </w:pPr>
          </w:p>
        </w:tc>
        <w:tc>
          <w:tcPr>
            <w:tcW w:w="900" w:type="dxa"/>
            <w:vAlign w:val="bottom"/>
            <w:vMerge w:val="restart"/>
          </w:tcPr>
          <w:p>
            <w:pPr>
              <w:jc w:val="center"/>
              <w:ind w:right="204"/>
              <w:spacing w:after="0"/>
              <w:rPr>
                <w:sz w:val="20"/>
                <w:szCs w:val="20"/>
                <w:color w:val="auto"/>
              </w:rPr>
            </w:pPr>
            <w:r>
              <w:rPr>
                <w:rFonts w:ascii="Arial" w:cs="Arial" w:eastAsia="Arial" w:hAnsi="Arial"/>
                <w:sz w:val="15"/>
                <w:szCs w:val="15"/>
                <w:color w:val="auto"/>
              </w:rPr>
              <w:t>Income</w:t>
            </w:r>
          </w:p>
        </w:tc>
        <w:tc>
          <w:tcPr>
            <w:tcW w:w="120" w:type="dxa"/>
            <w:vAlign w:val="bottom"/>
          </w:tcPr>
          <w:p>
            <w:pPr>
              <w:spacing w:after="0"/>
              <w:rPr>
                <w:sz w:val="15"/>
                <w:szCs w:val="15"/>
                <w:color w:val="auto"/>
              </w:rPr>
            </w:pPr>
          </w:p>
        </w:tc>
        <w:tc>
          <w:tcPr>
            <w:tcW w:w="860" w:type="dxa"/>
            <w:vAlign w:val="bottom"/>
            <w:vMerge w:val="restart"/>
          </w:tcPr>
          <w:p>
            <w:pPr>
              <w:jc w:val="right"/>
              <w:ind w:right="64"/>
              <w:spacing w:after="0"/>
              <w:rPr>
                <w:sz w:val="20"/>
                <w:szCs w:val="20"/>
                <w:color w:val="auto"/>
              </w:rPr>
            </w:pPr>
            <w:r>
              <w:rPr>
                <w:rFonts w:ascii="Arial" w:cs="Arial" w:eastAsia="Arial" w:hAnsi="Arial"/>
                <w:sz w:val="15"/>
                <w:szCs w:val="15"/>
                <w:color w:val="auto"/>
              </w:rPr>
              <w:t>Net (Loss)</w:t>
            </w:r>
          </w:p>
        </w:tc>
        <w:tc>
          <w:tcPr>
            <w:tcW w:w="0" w:type="dxa"/>
            <w:vAlign w:val="bottom"/>
          </w:tcPr>
          <w:p>
            <w:pPr>
              <w:spacing w:after="0"/>
              <w:rPr>
                <w:sz w:val="1"/>
                <w:szCs w:val="1"/>
                <w:color w:val="auto"/>
              </w:rPr>
            </w:pPr>
          </w:p>
        </w:tc>
      </w:tr>
      <w:tr>
        <w:trPr>
          <w:trHeight w:val="162"/>
        </w:trPr>
        <w:tc>
          <w:tcPr>
            <w:tcW w:w="4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ind w:right="104"/>
              <w:spacing w:after="0" w:line="162" w:lineRule="exact"/>
              <w:rPr>
                <w:sz w:val="20"/>
                <w:szCs w:val="20"/>
                <w:color w:val="auto"/>
              </w:rPr>
            </w:pPr>
            <w:r>
              <w:rPr>
                <w:rFonts w:ascii="Arial" w:cs="Arial" w:eastAsia="Arial" w:hAnsi="Arial"/>
                <w:sz w:val="15"/>
                <w:szCs w:val="15"/>
                <w:b w:val="1"/>
                <w:bCs w:val="1"/>
                <w:color w:val="auto"/>
              </w:rPr>
              <w:t>before</w:t>
            </w: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980" w:type="dxa"/>
            <w:vAlign w:val="bottom"/>
            <w:gridSpan w:val="2"/>
            <w:vMerge w:val="restart"/>
          </w:tcPr>
          <w:p>
            <w:pPr>
              <w:jc w:val="right"/>
              <w:ind w:right="4"/>
              <w:spacing w:after="0"/>
              <w:rPr>
                <w:sz w:val="20"/>
                <w:szCs w:val="20"/>
                <w:color w:val="auto"/>
              </w:rPr>
            </w:pPr>
            <w:r>
              <w:rPr>
                <w:rFonts w:ascii="Arial" w:cs="Arial" w:eastAsia="Arial" w:hAnsi="Arial"/>
                <w:sz w:val="15"/>
                <w:szCs w:val="15"/>
                <w:b w:val="1"/>
                <w:bCs w:val="1"/>
                <w:color w:val="auto"/>
              </w:rPr>
              <w:t>Net Income</w:t>
            </w:r>
          </w:p>
        </w:tc>
        <w:tc>
          <w:tcPr>
            <w:tcW w:w="280" w:type="dxa"/>
            <w:vAlign w:val="bottom"/>
          </w:tcPr>
          <w:p>
            <w:pPr>
              <w:spacing w:after="0"/>
              <w:rPr>
                <w:sz w:val="14"/>
                <w:szCs w:val="14"/>
                <w:color w:val="auto"/>
              </w:rPr>
            </w:pPr>
          </w:p>
        </w:tc>
        <w:tc>
          <w:tcPr>
            <w:tcW w:w="840" w:type="dxa"/>
            <w:vAlign w:val="bottom"/>
          </w:tcPr>
          <w:p>
            <w:pPr>
              <w:jc w:val="center"/>
              <w:ind w:right="144"/>
              <w:spacing w:after="0" w:line="162" w:lineRule="exact"/>
              <w:rPr>
                <w:sz w:val="20"/>
                <w:szCs w:val="20"/>
                <w:color w:val="auto"/>
              </w:rPr>
            </w:pPr>
            <w:r>
              <w:rPr>
                <w:rFonts w:ascii="Arial" w:cs="Arial" w:eastAsia="Arial" w:hAnsi="Arial"/>
                <w:sz w:val="15"/>
                <w:szCs w:val="15"/>
                <w:color w:val="auto"/>
              </w:rPr>
              <w:t>Income</w:t>
            </w:r>
          </w:p>
        </w:tc>
        <w:tc>
          <w:tcPr>
            <w:tcW w:w="2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center"/>
              <w:ind w:right="104"/>
              <w:spacing w:after="0"/>
              <w:rPr>
                <w:sz w:val="20"/>
                <w:szCs w:val="20"/>
                <w:color w:val="auto"/>
              </w:rPr>
            </w:pPr>
            <w:r>
              <w:rPr>
                <w:rFonts w:ascii="Arial" w:cs="Arial" w:eastAsia="Arial" w:hAnsi="Arial"/>
                <w:sz w:val="15"/>
                <w:szCs w:val="15"/>
                <w:b w:val="1"/>
                <w:bCs w:val="1"/>
                <w:color w:val="auto"/>
              </w:rPr>
              <w:t>income</w:t>
            </w:r>
          </w:p>
        </w:tc>
        <w:tc>
          <w:tcPr>
            <w:tcW w:w="220" w:type="dxa"/>
            <w:vAlign w:val="bottom"/>
          </w:tcPr>
          <w:p>
            <w:pPr>
              <w:spacing w:after="0"/>
              <w:rPr>
                <w:sz w:val="11"/>
                <w:szCs w:val="11"/>
                <w:color w:val="auto"/>
              </w:rPr>
            </w:pPr>
          </w:p>
        </w:tc>
        <w:tc>
          <w:tcPr>
            <w:tcW w:w="900" w:type="dxa"/>
            <w:vAlign w:val="bottom"/>
            <w:vMerge w:val="restart"/>
          </w:tcPr>
          <w:p>
            <w:pPr>
              <w:jc w:val="center"/>
              <w:ind w:right="164"/>
              <w:spacing w:after="0"/>
              <w:rPr>
                <w:sz w:val="20"/>
                <w:szCs w:val="20"/>
                <w:color w:val="auto"/>
              </w:rPr>
            </w:pPr>
            <w:r>
              <w:rPr>
                <w:rFonts w:ascii="Arial" w:cs="Arial" w:eastAsia="Arial" w:hAnsi="Arial"/>
                <w:sz w:val="15"/>
                <w:szCs w:val="15"/>
                <w:b w:val="1"/>
                <w:bCs w:val="1"/>
                <w:color w:val="auto"/>
                <w:w w:val="98"/>
              </w:rPr>
              <w:t>Taxes</w:t>
            </w:r>
          </w:p>
        </w:tc>
        <w:tc>
          <w:tcPr>
            <w:tcW w:w="98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vMerge w:val="restart"/>
          </w:tcPr>
          <w:p>
            <w:pPr>
              <w:jc w:val="center"/>
              <w:ind w:right="124"/>
              <w:spacing w:after="0"/>
              <w:rPr>
                <w:sz w:val="20"/>
                <w:szCs w:val="20"/>
                <w:color w:val="auto"/>
              </w:rPr>
            </w:pPr>
            <w:r>
              <w:rPr>
                <w:rFonts w:ascii="Arial" w:cs="Arial" w:eastAsia="Arial" w:hAnsi="Arial"/>
                <w:sz w:val="15"/>
                <w:szCs w:val="15"/>
                <w:color w:val="auto"/>
              </w:rPr>
              <w:t>before</w:t>
            </w:r>
          </w:p>
        </w:tc>
        <w:tc>
          <w:tcPr>
            <w:tcW w:w="240" w:type="dxa"/>
            <w:vAlign w:val="bottom"/>
          </w:tcPr>
          <w:p>
            <w:pPr>
              <w:spacing w:after="0"/>
              <w:rPr>
                <w:sz w:val="11"/>
                <w:szCs w:val="11"/>
                <w:color w:val="auto"/>
              </w:rPr>
            </w:pPr>
          </w:p>
        </w:tc>
        <w:tc>
          <w:tcPr>
            <w:tcW w:w="900" w:type="dxa"/>
            <w:vAlign w:val="bottom"/>
            <w:vMerge w:val="restart"/>
          </w:tcPr>
          <w:p>
            <w:pPr>
              <w:jc w:val="center"/>
              <w:ind w:right="184"/>
              <w:spacing w:after="0"/>
              <w:rPr>
                <w:sz w:val="20"/>
                <w:szCs w:val="20"/>
                <w:color w:val="auto"/>
              </w:rPr>
            </w:pPr>
            <w:r>
              <w:rPr>
                <w:rFonts w:ascii="Arial" w:cs="Arial" w:eastAsia="Arial" w:hAnsi="Arial"/>
                <w:sz w:val="15"/>
                <w:szCs w:val="15"/>
                <w:color w:val="auto"/>
                <w:w w:val="97"/>
              </w:rPr>
              <w:t>Taxes</w:t>
            </w:r>
          </w:p>
        </w:tc>
        <w:tc>
          <w:tcPr>
            <w:tcW w:w="120" w:type="dxa"/>
            <w:vAlign w:val="bottom"/>
          </w:tcPr>
          <w:p>
            <w:pPr>
              <w:spacing w:after="0"/>
              <w:rPr>
                <w:sz w:val="11"/>
                <w:szCs w:val="11"/>
                <w:color w:val="auto"/>
              </w:rPr>
            </w:pPr>
          </w:p>
        </w:tc>
        <w:tc>
          <w:tcPr>
            <w:tcW w:w="860" w:type="dxa"/>
            <w:vAlign w:val="bottom"/>
            <w:vMerge w:val="restart"/>
          </w:tcPr>
          <w:p>
            <w:pPr>
              <w:jc w:val="right"/>
              <w:ind w:right="164"/>
              <w:spacing w:after="0"/>
              <w:rPr>
                <w:sz w:val="20"/>
                <w:szCs w:val="20"/>
                <w:color w:val="auto"/>
              </w:rPr>
            </w:pPr>
            <w:r>
              <w:rPr>
                <w:rFonts w:ascii="Arial" w:cs="Arial" w:eastAsia="Arial" w:hAnsi="Arial"/>
                <w:sz w:val="15"/>
                <w:szCs w:val="15"/>
                <w:color w:val="auto"/>
              </w:rPr>
              <w:t>Income</w:t>
            </w:r>
          </w:p>
        </w:tc>
        <w:tc>
          <w:tcPr>
            <w:tcW w:w="0" w:type="dxa"/>
            <w:vAlign w:val="bottom"/>
          </w:tcPr>
          <w:p>
            <w:pPr>
              <w:spacing w:after="0"/>
              <w:rPr>
                <w:sz w:val="1"/>
                <w:szCs w:val="1"/>
                <w:color w:val="auto"/>
              </w:rPr>
            </w:pPr>
          </w:p>
        </w:tc>
      </w:tr>
      <w:tr>
        <w:trPr>
          <w:trHeight w:val="46"/>
        </w:trPr>
        <w:tc>
          <w:tcPr>
            <w:tcW w:w="49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(in thousands, except per share amounts)</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104"/>
              <w:spacing w:after="0"/>
              <w:rPr>
                <w:sz w:val="20"/>
                <w:szCs w:val="20"/>
                <w:color w:val="auto"/>
              </w:rPr>
            </w:pPr>
            <w:r>
              <w:rPr>
                <w:rFonts w:ascii="Arial" w:cs="Arial" w:eastAsia="Arial" w:hAnsi="Arial"/>
                <w:sz w:val="15"/>
                <w:szCs w:val="15"/>
                <w:b w:val="1"/>
                <w:bCs w:val="1"/>
                <w:color w:val="auto"/>
                <w:w w:val="98"/>
              </w:rPr>
              <w:t>taxes</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color w:val="auto"/>
              </w:rPr>
              <w:t>income taxes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Amounts attributable to Graham Holdings Company Common</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Stockholders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5"/>
                <w:szCs w:val="15"/>
                <w:color w:val="auto"/>
              </w:rPr>
              <w:t>As reported</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840" w:type="dxa"/>
            <w:vAlign w:val="bottom"/>
          </w:tcPr>
          <w:p>
            <w:pPr>
              <w:jc w:val="right"/>
              <w:ind w:right="24"/>
              <w:spacing w:after="0"/>
              <w:rPr>
                <w:sz w:val="20"/>
                <w:szCs w:val="20"/>
                <w:color w:val="auto"/>
              </w:rPr>
            </w:pPr>
            <w:r>
              <w:rPr>
                <w:rFonts w:ascii="Arial" w:cs="Arial" w:eastAsia="Arial" w:hAnsi="Arial"/>
                <w:sz w:val="15"/>
                <w:szCs w:val="15"/>
                <w:b w:val="1"/>
                <w:bCs w:val="1"/>
                <w:color w:val="auto"/>
              </w:rPr>
              <w:t>60,623</w:t>
            </w:r>
          </w:p>
        </w:tc>
        <w:tc>
          <w:tcPr>
            <w:tcW w:w="2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20,200</w:t>
            </w:r>
          </w:p>
        </w:tc>
        <w:tc>
          <w:tcPr>
            <w:tcW w:w="28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40,423</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(14,727)</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4,100</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(18,827)</w:t>
            </w:r>
          </w:p>
        </w:tc>
        <w:tc>
          <w:tcPr>
            <w:tcW w:w="0" w:type="dxa"/>
            <w:vAlign w:val="bottom"/>
          </w:tcPr>
          <w:p>
            <w:pPr>
              <w:spacing w:after="0"/>
              <w:rPr>
                <w:sz w:val="1"/>
                <w:szCs w:val="1"/>
                <w:color w:val="auto"/>
              </w:rPr>
            </w:pPr>
          </w:p>
        </w:tc>
      </w:tr>
      <w:tr>
        <w:trPr>
          <w:trHeight w:val="214"/>
        </w:trPr>
        <w:tc>
          <w:tcPr>
            <w:tcW w:w="4900" w:type="dxa"/>
            <w:vAlign w:val="bottom"/>
          </w:tcPr>
          <w:p>
            <w:pPr>
              <w:ind w:left="20"/>
              <w:spacing w:after="0"/>
              <w:rPr>
                <w:sz w:val="20"/>
                <w:szCs w:val="20"/>
                <w:color w:val="auto"/>
              </w:rPr>
            </w:pPr>
            <w:r>
              <w:rPr>
                <w:rFonts w:ascii="Arial" w:cs="Arial" w:eastAsia="Arial" w:hAnsi="Arial"/>
                <w:sz w:val="15"/>
                <w:szCs w:val="15"/>
                <w:color w:val="auto"/>
              </w:rPr>
              <w:t>Attributable to noncontrolling interests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(3,674)</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(2,213)</w:t>
            </w:r>
          </w:p>
        </w:tc>
        <w:tc>
          <w:tcPr>
            <w:tcW w:w="0" w:type="dxa"/>
            <w:vAlign w:val="bottom"/>
          </w:tcPr>
          <w:p>
            <w:pPr>
              <w:spacing w:after="0"/>
              <w:rPr>
                <w:sz w:val="1"/>
                <w:szCs w:val="1"/>
                <w:color w:val="auto"/>
              </w:rPr>
            </w:pPr>
          </w:p>
        </w:tc>
      </w:tr>
      <w:tr>
        <w:trPr>
          <w:trHeight w:val="211"/>
        </w:trPr>
        <w:tc>
          <w:tcPr>
            <w:tcW w:w="4900" w:type="dxa"/>
            <w:vAlign w:val="bottom"/>
          </w:tcPr>
          <w:p>
            <w:pPr>
              <w:ind w:left="180"/>
              <w:spacing w:after="0"/>
              <w:rPr>
                <w:sz w:val="20"/>
                <w:szCs w:val="20"/>
                <w:color w:val="auto"/>
              </w:rPr>
            </w:pPr>
            <w:r>
              <w:rPr>
                <w:rFonts w:ascii="Arial" w:cs="Arial" w:eastAsia="Arial" w:hAnsi="Arial"/>
                <w:sz w:val="15"/>
                <w:szCs w:val="15"/>
                <w:color w:val="auto"/>
              </w:rPr>
              <w:t>Attributable to Graham Holdings Company Stockholders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36,749</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(21,040)</w:t>
            </w:r>
          </w:p>
        </w:tc>
        <w:tc>
          <w:tcPr>
            <w:tcW w:w="0" w:type="dxa"/>
            <w:vAlign w:val="bottom"/>
          </w:tcPr>
          <w:p>
            <w:pPr>
              <w:spacing w:after="0"/>
              <w:rPr>
                <w:sz w:val="1"/>
                <w:szCs w:val="1"/>
                <w:color w:val="auto"/>
              </w:rPr>
            </w:pPr>
          </w:p>
        </w:tc>
      </w:tr>
      <w:tr>
        <w:trPr>
          <w:trHeight w:val="208"/>
        </w:trPr>
        <w:tc>
          <w:tcPr>
            <w:tcW w:w="4900" w:type="dxa"/>
            <w:vAlign w:val="bottom"/>
          </w:tcPr>
          <w:p>
            <w:pPr>
              <w:ind w:left="180"/>
              <w:spacing w:after="0"/>
              <w:rPr>
                <w:sz w:val="20"/>
                <w:szCs w:val="20"/>
                <w:color w:val="auto"/>
              </w:rPr>
            </w:pPr>
            <w:r>
              <w:rPr>
                <w:rFonts w:ascii="Arial" w:cs="Arial" w:eastAsia="Arial" w:hAnsi="Arial"/>
                <w:sz w:val="15"/>
                <w:szCs w:val="15"/>
                <w:color w:val="auto"/>
              </w:rPr>
              <w:t>Adjustments: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900" w:type="dxa"/>
            <w:vAlign w:val="bottom"/>
          </w:tcPr>
          <w:p>
            <w:pPr>
              <w:ind w:left="400"/>
              <w:spacing w:after="0"/>
              <w:rPr>
                <w:sz w:val="20"/>
                <w:szCs w:val="20"/>
                <w:color w:val="auto"/>
              </w:rPr>
            </w:pPr>
            <w:r>
              <w:rPr>
                <w:rFonts w:ascii="Arial" w:cs="Arial" w:eastAsia="Arial" w:hAnsi="Arial"/>
                <w:sz w:val="15"/>
                <w:szCs w:val="15"/>
                <w:color w:val="auto"/>
              </w:rPr>
              <w:t>Goodwill and intangible asset impairment charges</w:t>
            </w:r>
          </w:p>
        </w:tc>
        <w:tc>
          <w:tcPr>
            <w:tcW w:w="160" w:type="dxa"/>
            <w:vAlign w:val="bottom"/>
          </w:tcPr>
          <w:p>
            <w:pPr>
              <w:spacing w:after="0"/>
              <w:rPr>
                <w:sz w:val="19"/>
                <w:szCs w:val="19"/>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9"/>
                <w:szCs w:val="19"/>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26,287</w:t>
            </w:r>
          </w:p>
        </w:tc>
        <w:tc>
          <w:tcPr>
            <w:tcW w:w="24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5,693</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20,594</w:t>
            </w:r>
          </w:p>
        </w:tc>
        <w:tc>
          <w:tcPr>
            <w:tcW w:w="0" w:type="dxa"/>
            <w:vAlign w:val="bottom"/>
          </w:tcPr>
          <w:p>
            <w:pPr>
              <w:spacing w:after="0"/>
              <w:rPr>
                <w:sz w:val="1"/>
                <w:szCs w:val="1"/>
                <w:color w:val="auto"/>
              </w:rPr>
            </w:pPr>
          </w:p>
        </w:tc>
      </w:tr>
      <w:tr>
        <w:trPr>
          <w:trHeight w:val="183"/>
        </w:trPr>
        <w:tc>
          <w:tcPr>
            <w:tcW w:w="4900" w:type="dxa"/>
            <w:vAlign w:val="bottom"/>
          </w:tcPr>
          <w:p>
            <w:pPr>
              <w:ind w:left="400"/>
              <w:spacing w:after="0"/>
              <w:rPr>
                <w:sz w:val="20"/>
                <w:szCs w:val="20"/>
                <w:color w:val="auto"/>
              </w:rPr>
            </w:pPr>
            <w:r>
              <w:rPr>
                <w:rFonts w:ascii="Arial" w:cs="Arial" w:eastAsia="Arial" w:hAnsi="Arial"/>
                <w:sz w:val="15"/>
                <w:szCs w:val="15"/>
                <w:color w:val="auto"/>
              </w:rPr>
              <w:t>Charges related to non-operating Separation Incentive Programs</w:t>
            </w:r>
          </w:p>
        </w:tc>
        <w:tc>
          <w:tcPr>
            <w:tcW w:w="160" w:type="dxa"/>
            <w:vAlign w:val="bottom"/>
          </w:tcPr>
          <w:p>
            <w:pPr>
              <w:spacing w:after="0"/>
              <w:rPr>
                <w:sz w:val="15"/>
                <w:szCs w:val="15"/>
                <w:color w:val="auto"/>
              </w:rPr>
            </w:pPr>
          </w:p>
        </w:tc>
        <w:tc>
          <w:tcPr>
            <w:tcW w:w="840" w:type="dxa"/>
            <w:vAlign w:val="bottom"/>
            <w:vMerge w:val="restart"/>
          </w:tcPr>
          <w:p>
            <w:pPr>
              <w:jc w:val="right"/>
              <w:ind w:right="24"/>
              <w:spacing w:after="0"/>
              <w:rPr>
                <w:sz w:val="20"/>
                <w:szCs w:val="20"/>
                <w:color w:val="auto"/>
              </w:rPr>
            </w:pPr>
            <w:r>
              <w:rPr>
                <w:rFonts w:ascii="Arial" w:cs="Arial" w:eastAsia="Arial" w:hAnsi="Arial"/>
                <w:sz w:val="15"/>
                <w:szCs w:val="15"/>
                <w:b w:val="1"/>
                <w:bCs w:val="1"/>
                <w:color w:val="auto"/>
              </w:rPr>
              <w:t>6,015</w:t>
            </w:r>
          </w:p>
        </w:tc>
        <w:tc>
          <w:tcPr>
            <w:tcW w:w="220" w:type="dxa"/>
            <w:vAlign w:val="bottom"/>
          </w:tcPr>
          <w:p>
            <w:pPr>
              <w:spacing w:after="0"/>
              <w:rPr>
                <w:sz w:val="15"/>
                <w:szCs w:val="15"/>
                <w:color w:val="auto"/>
              </w:rPr>
            </w:pPr>
          </w:p>
        </w:tc>
        <w:tc>
          <w:tcPr>
            <w:tcW w:w="90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rPr>
              <w:t>1,540</w:t>
            </w:r>
          </w:p>
        </w:tc>
        <w:tc>
          <w:tcPr>
            <w:tcW w:w="2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4,475</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520"/>
              <w:spacing w:after="0"/>
              <w:rPr>
                <w:sz w:val="20"/>
                <w:szCs w:val="20"/>
                <w:color w:val="auto"/>
              </w:rPr>
            </w:pPr>
            <w:r>
              <w:rPr>
                <w:rFonts w:ascii="Arial" w:cs="Arial" w:eastAsia="Arial" w:hAnsi="Arial"/>
                <w:sz w:val="15"/>
                <w:szCs w:val="15"/>
                <w:color w:val="auto"/>
              </w:rPr>
              <w:t>and Voluntary Retirement Incentive Program</w:t>
            </w:r>
          </w:p>
        </w:tc>
        <w:tc>
          <w:tcPr>
            <w:tcW w:w="1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16,410</w:t>
            </w:r>
          </w:p>
        </w:tc>
        <w:tc>
          <w:tcPr>
            <w:tcW w:w="24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4,201</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12,209</w:t>
            </w:r>
          </w:p>
        </w:tc>
        <w:tc>
          <w:tcPr>
            <w:tcW w:w="0" w:type="dxa"/>
            <w:vAlign w:val="bottom"/>
          </w:tcPr>
          <w:p>
            <w:pPr>
              <w:spacing w:after="0"/>
              <w:rPr>
                <w:sz w:val="1"/>
                <w:szCs w:val="1"/>
                <w:color w:val="auto"/>
              </w:rPr>
            </w:pPr>
          </w:p>
        </w:tc>
      </w:tr>
      <w:tr>
        <w:trPr>
          <w:trHeight w:val="183"/>
        </w:trPr>
        <w:tc>
          <w:tcPr>
            <w:tcW w:w="4900" w:type="dxa"/>
            <w:vAlign w:val="bottom"/>
          </w:tcPr>
          <w:p>
            <w:pPr>
              <w:ind w:left="400"/>
              <w:spacing w:after="0"/>
              <w:rPr>
                <w:sz w:val="20"/>
                <w:szCs w:val="20"/>
                <w:color w:val="auto"/>
              </w:rPr>
            </w:pPr>
            <w:r>
              <w:rPr>
                <w:rFonts w:ascii="Arial" w:cs="Arial" w:eastAsia="Arial" w:hAnsi="Arial"/>
                <w:sz w:val="15"/>
                <w:szCs w:val="15"/>
                <w:color w:val="auto"/>
              </w:rPr>
              <w:t>Interest expense related to the fair value adjustment of the</w:t>
            </w:r>
          </w:p>
        </w:tc>
        <w:tc>
          <w:tcPr>
            <w:tcW w:w="160" w:type="dxa"/>
            <w:vAlign w:val="bottom"/>
          </w:tcPr>
          <w:p>
            <w:pPr>
              <w:spacing w:after="0"/>
              <w:rPr>
                <w:sz w:val="15"/>
                <w:szCs w:val="15"/>
                <w:color w:val="auto"/>
              </w:rPr>
            </w:pPr>
          </w:p>
        </w:tc>
        <w:tc>
          <w:tcPr>
            <w:tcW w:w="840" w:type="dxa"/>
            <w:vAlign w:val="bottom"/>
            <w:vMerge w:val="restart"/>
          </w:tcPr>
          <w:p>
            <w:pPr>
              <w:jc w:val="right"/>
              <w:ind w:right="24"/>
              <w:spacing w:after="0"/>
              <w:rPr>
                <w:sz w:val="20"/>
                <w:szCs w:val="20"/>
                <w:color w:val="auto"/>
              </w:rPr>
            </w:pPr>
            <w:r>
              <w:rPr>
                <w:rFonts w:ascii="Arial" w:cs="Arial" w:eastAsia="Arial" w:hAnsi="Arial"/>
                <w:sz w:val="15"/>
                <w:szCs w:val="15"/>
                <w:b w:val="1"/>
                <w:bCs w:val="1"/>
                <w:color w:val="auto"/>
              </w:rPr>
              <w:t>1,153</w:t>
            </w:r>
          </w:p>
        </w:tc>
        <w:tc>
          <w:tcPr>
            <w:tcW w:w="220" w:type="dxa"/>
            <w:vAlign w:val="bottom"/>
          </w:tcPr>
          <w:p>
            <w:pPr>
              <w:spacing w:after="0"/>
              <w:rPr>
                <w:sz w:val="15"/>
                <w:szCs w:val="15"/>
                <w:color w:val="auto"/>
              </w:rPr>
            </w:pPr>
          </w:p>
        </w:tc>
        <w:tc>
          <w:tcPr>
            <w:tcW w:w="90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(2,342)</w:t>
            </w:r>
          </w:p>
        </w:tc>
        <w:tc>
          <w:tcPr>
            <w:tcW w:w="2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3,495</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520"/>
              <w:spacing w:after="0"/>
              <w:rPr>
                <w:sz w:val="20"/>
                <w:szCs w:val="20"/>
                <w:color w:val="auto"/>
              </w:rPr>
            </w:pPr>
            <w:r>
              <w:rPr>
                <w:rFonts w:ascii="Arial" w:cs="Arial" w:eastAsia="Arial" w:hAnsi="Arial"/>
                <w:sz w:val="15"/>
                <w:szCs w:val="15"/>
                <w:color w:val="auto"/>
              </w:rPr>
              <w:t>mandatorily redeemable noncontrolling interest</w:t>
            </w:r>
          </w:p>
        </w:tc>
        <w:tc>
          <w:tcPr>
            <w:tcW w:w="1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73,539</w:t>
            </w:r>
          </w:p>
        </w:tc>
        <w:tc>
          <w:tcPr>
            <w:tcW w:w="24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12,145</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61,394</w:t>
            </w:r>
          </w:p>
        </w:tc>
        <w:tc>
          <w:tcPr>
            <w:tcW w:w="0" w:type="dxa"/>
            <w:vAlign w:val="bottom"/>
          </w:tcPr>
          <w:p>
            <w:pPr>
              <w:spacing w:after="0"/>
              <w:rPr>
                <w:sz w:val="1"/>
                <w:szCs w:val="1"/>
                <w:color w:val="auto"/>
              </w:rPr>
            </w:pPr>
          </w:p>
        </w:tc>
      </w:tr>
      <w:tr>
        <w:trPr>
          <w:trHeight w:val="216"/>
        </w:trPr>
        <w:tc>
          <w:tcPr>
            <w:tcW w:w="4900" w:type="dxa"/>
            <w:vAlign w:val="bottom"/>
          </w:tcPr>
          <w:p>
            <w:pPr>
              <w:ind w:left="400"/>
              <w:spacing w:after="0"/>
              <w:rPr>
                <w:sz w:val="20"/>
                <w:szCs w:val="20"/>
                <w:color w:val="auto"/>
              </w:rPr>
            </w:pPr>
            <w:r>
              <w:rPr>
                <w:rFonts w:ascii="Arial" w:cs="Arial" w:eastAsia="Arial" w:hAnsi="Arial"/>
                <w:sz w:val="15"/>
                <w:szCs w:val="15"/>
                <w:color w:val="auto"/>
              </w:rPr>
              <w:t>Net losses (gains) on marketable equity securities</w:t>
            </w:r>
          </w:p>
        </w:tc>
        <w:tc>
          <w:tcPr>
            <w:tcW w:w="160" w:type="dxa"/>
            <w:vAlign w:val="bottom"/>
          </w:tcPr>
          <w:p>
            <w:pPr>
              <w:spacing w:after="0"/>
              <w:rPr>
                <w:sz w:val="18"/>
                <w:szCs w:val="18"/>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b w:val="1"/>
                <w:bCs w:val="1"/>
                <w:color w:val="auto"/>
              </w:rPr>
              <w:t>11,543</w:t>
            </w:r>
          </w:p>
        </w:tc>
        <w:tc>
          <w:tcPr>
            <w:tcW w:w="22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2,960</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8,583</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(19,628)</w:t>
            </w:r>
          </w:p>
        </w:tc>
        <w:tc>
          <w:tcPr>
            <w:tcW w:w="24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(5,026)</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(14,602)</w:t>
            </w:r>
          </w:p>
        </w:tc>
        <w:tc>
          <w:tcPr>
            <w:tcW w:w="0" w:type="dxa"/>
            <w:vAlign w:val="bottom"/>
          </w:tcPr>
          <w:p>
            <w:pPr>
              <w:spacing w:after="0"/>
              <w:rPr>
                <w:sz w:val="1"/>
                <w:szCs w:val="1"/>
                <w:color w:val="auto"/>
              </w:rPr>
            </w:pPr>
          </w:p>
        </w:tc>
      </w:tr>
      <w:tr>
        <w:trPr>
          <w:trHeight w:val="183"/>
        </w:trPr>
        <w:tc>
          <w:tcPr>
            <w:tcW w:w="4900" w:type="dxa"/>
            <w:vAlign w:val="bottom"/>
          </w:tcPr>
          <w:p>
            <w:pPr>
              <w:ind w:left="400"/>
              <w:spacing w:after="0"/>
              <w:rPr>
                <w:sz w:val="20"/>
                <w:szCs w:val="20"/>
                <w:color w:val="auto"/>
              </w:rPr>
            </w:pPr>
            <w:r>
              <w:rPr>
                <w:rFonts w:ascii="Arial" w:cs="Arial" w:eastAsia="Arial" w:hAnsi="Arial"/>
                <w:sz w:val="15"/>
                <w:szCs w:val="15"/>
                <w:color w:val="auto"/>
              </w:rPr>
              <w:t>Net losses of affiliates whose operations are not managed by the</w:t>
            </w:r>
          </w:p>
        </w:tc>
        <w:tc>
          <w:tcPr>
            <w:tcW w:w="160" w:type="dxa"/>
            <w:vAlign w:val="bottom"/>
          </w:tcPr>
          <w:p>
            <w:pPr>
              <w:spacing w:after="0"/>
              <w:rPr>
                <w:sz w:val="15"/>
                <w:szCs w:val="15"/>
                <w:color w:val="auto"/>
              </w:rPr>
            </w:pPr>
          </w:p>
        </w:tc>
        <w:tc>
          <w:tcPr>
            <w:tcW w:w="840" w:type="dxa"/>
            <w:vAlign w:val="bottom"/>
            <w:vMerge w:val="restart"/>
          </w:tcPr>
          <w:p>
            <w:pPr>
              <w:jc w:val="right"/>
              <w:ind w:right="24"/>
              <w:spacing w:after="0"/>
              <w:rPr>
                <w:sz w:val="20"/>
                <w:szCs w:val="20"/>
                <w:color w:val="auto"/>
              </w:rPr>
            </w:pPr>
            <w:r>
              <w:rPr>
                <w:rFonts w:ascii="Arial" w:cs="Arial" w:eastAsia="Arial" w:hAnsi="Arial"/>
                <w:sz w:val="15"/>
                <w:szCs w:val="15"/>
                <w:b w:val="1"/>
                <w:bCs w:val="1"/>
                <w:color w:val="auto"/>
              </w:rPr>
              <w:t>413</w:t>
            </w:r>
          </w:p>
        </w:tc>
        <w:tc>
          <w:tcPr>
            <w:tcW w:w="220" w:type="dxa"/>
            <w:vAlign w:val="bottom"/>
          </w:tcPr>
          <w:p>
            <w:pPr>
              <w:spacing w:after="0"/>
              <w:rPr>
                <w:sz w:val="15"/>
                <w:szCs w:val="15"/>
                <w:color w:val="auto"/>
              </w:rPr>
            </w:pPr>
          </w:p>
        </w:tc>
        <w:tc>
          <w:tcPr>
            <w:tcW w:w="90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rPr>
              <w:t>106</w:t>
            </w:r>
          </w:p>
        </w:tc>
        <w:tc>
          <w:tcPr>
            <w:tcW w:w="2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307</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520"/>
              <w:spacing w:after="0"/>
              <w:rPr>
                <w:sz w:val="20"/>
                <w:szCs w:val="20"/>
                <w:color w:val="auto"/>
              </w:rPr>
            </w:pPr>
            <w:r>
              <w:rPr>
                <w:rFonts w:ascii="Arial" w:cs="Arial" w:eastAsia="Arial" w:hAnsi="Arial"/>
                <w:sz w:val="15"/>
                <w:szCs w:val="15"/>
                <w:color w:val="auto"/>
              </w:rPr>
              <w:t>Company</w:t>
            </w:r>
          </w:p>
        </w:tc>
        <w:tc>
          <w:tcPr>
            <w:tcW w:w="1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1,128</w:t>
            </w:r>
          </w:p>
        </w:tc>
        <w:tc>
          <w:tcPr>
            <w:tcW w:w="24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289</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839</w:t>
            </w:r>
          </w:p>
        </w:tc>
        <w:tc>
          <w:tcPr>
            <w:tcW w:w="0" w:type="dxa"/>
            <w:vAlign w:val="bottom"/>
          </w:tcPr>
          <w:p>
            <w:pPr>
              <w:spacing w:after="0"/>
              <w:rPr>
                <w:sz w:val="1"/>
                <w:szCs w:val="1"/>
                <w:color w:val="auto"/>
              </w:rPr>
            </w:pPr>
          </w:p>
        </w:tc>
      </w:tr>
      <w:tr>
        <w:trPr>
          <w:trHeight w:val="216"/>
        </w:trPr>
        <w:tc>
          <w:tcPr>
            <w:tcW w:w="4900" w:type="dxa"/>
            <w:vAlign w:val="bottom"/>
          </w:tcPr>
          <w:p>
            <w:pPr>
              <w:ind w:left="400"/>
              <w:spacing w:after="0"/>
              <w:rPr>
                <w:sz w:val="20"/>
                <w:szCs w:val="20"/>
                <w:color w:val="auto"/>
              </w:rPr>
            </w:pPr>
            <w:r>
              <w:rPr>
                <w:rFonts w:ascii="Arial" w:cs="Arial" w:eastAsia="Arial" w:hAnsi="Arial"/>
                <w:sz w:val="15"/>
                <w:szCs w:val="15"/>
                <w:color w:val="auto"/>
              </w:rPr>
              <w:t>Gain on sale of certain businesses and websites</w:t>
            </w:r>
          </w:p>
        </w:tc>
        <w:tc>
          <w:tcPr>
            <w:tcW w:w="160" w:type="dxa"/>
            <w:vAlign w:val="bottom"/>
          </w:tcPr>
          <w:p>
            <w:pPr>
              <w:spacing w:after="0"/>
              <w:rPr>
                <w:sz w:val="18"/>
                <w:szCs w:val="18"/>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(3,483)</w:t>
            </w:r>
          </w:p>
        </w:tc>
        <w:tc>
          <w:tcPr>
            <w:tcW w:w="24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(760)</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(2,723)</w:t>
            </w:r>
          </w:p>
        </w:tc>
        <w:tc>
          <w:tcPr>
            <w:tcW w:w="0" w:type="dxa"/>
            <w:vAlign w:val="bottom"/>
          </w:tcPr>
          <w:p>
            <w:pPr>
              <w:spacing w:after="0"/>
              <w:rPr>
                <w:sz w:val="1"/>
                <w:szCs w:val="1"/>
                <w:color w:val="auto"/>
              </w:rPr>
            </w:pPr>
          </w:p>
        </w:tc>
      </w:tr>
      <w:tr>
        <w:trPr>
          <w:trHeight w:val="183"/>
        </w:trPr>
        <w:tc>
          <w:tcPr>
            <w:tcW w:w="4900" w:type="dxa"/>
            <w:vAlign w:val="bottom"/>
          </w:tcPr>
          <w:p>
            <w:pPr>
              <w:ind w:left="400"/>
              <w:spacing w:after="0"/>
              <w:rPr>
                <w:sz w:val="20"/>
                <w:szCs w:val="20"/>
                <w:color w:val="auto"/>
              </w:rPr>
            </w:pPr>
            <w:r>
              <w:rPr>
                <w:rFonts w:ascii="Arial" w:cs="Arial" w:eastAsia="Arial" w:hAnsi="Arial"/>
                <w:sz w:val="15"/>
                <w:szCs w:val="15"/>
                <w:color w:val="auto"/>
              </w:rPr>
              <w:t>Net non-operating loss from impairment of cost method</w:t>
            </w:r>
          </w:p>
        </w:tc>
        <w:tc>
          <w:tcPr>
            <w:tcW w:w="160" w:type="dxa"/>
            <w:vAlign w:val="bottom"/>
          </w:tcPr>
          <w:p>
            <w:pPr>
              <w:spacing w:after="0"/>
              <w:rPr>
                <w:sz w:val="15"/>
                <w:szCs w:val="15"/>
                <w:color w:val="auto"/>
              </w:rPr>
            </w:pPr>
          </w:p>
        </w:tc>
        <w:tc>
          <w:tcPr>
            <w:tcW w:w="840" w:type="dxa"/>
            <w:vAlign w:val="bottom"/>
            <w:vMerge w:val="restart"/>
          </w:tcPr>
          <w:p>
            <w:pPr>
              <w:jc w:val="right"/>
              <w:ind w:right="24"/>
              <w:spacing w:after="0"/>
              <w:rPr>
                <w:sz w:val="20"/>
                <w:szCs w:val="20"/>
                <w:color w:val="auto"/>
              </w:rPr>
            </w:pPr>
            <w:r>
              <w:rPr>
                <w:rFonts w:ascii="Arial" w:cs="Arial" w:eastAsia="Arial" w:hAnsi="Arial"/>
                <w:sz w:val="15"/>
                <w:szCs w:val="15"/>
                <w:b w:val="1"/>
                <w:bCs w:val="1"/>
                <w:color w:val="auto"/>
              </w:rPr>
              <w:t>12,679</w:t>
            </w:r>
          </w:p>
        </w:tc>
        <w:tc>
          <w:tcPr>
            <w:tcW w:w="220" w:type="dxa"/>
            <w:vAlign w:val="bottom"/>
          </w:tcPr>
          <w:p>
            <w:pPr>
              <w:spacing w:after="0"/>
              <w:rPr>
                <w:sz w:val="15"/>
                <w:szCs w:val="15"/>
                <w:color w:val="auto"/>
              </w:rPr>
            </w:pPr>
          </w:p>
        </w:tc>
        <w:tc>
          <w:tcPr>
            <w:tcW w:w="90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rPr>
              <w:t>3,206</w:t>
            </w:r>
          </w:p>
        </w:tc>
        <w:tc>
          <w:tcPr>
            <w:tcW w:w="2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9,473</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900" w:type="dxa"/>
            <w:vAlign w:val="bottom"/>
          </w:tcPr>
          <w:p>
            <w:pPr>
              <w:ind w:left="520"/>
              <w:spacing w:after="0"/>
              <w:rPr>
                <w:sz w:val="20"/>
                <w:szCs w:val="20"/>
                <w:color w:val="auto"/>
              </w:rPr>
            </w:pPr>
            <w:r>
              <w:rPr>
                <w:rFonts w:ascii="Arial" w:cs="Arial" w:eastAsia="Arial" w:hAnsi="Arial"/>
                <w:sz w:val="15"/>
                <w:szCs w:val="15"/>
                <w:color w:val="auto"/>
              </w:rPr>
              <w:t>investments</w:t>
            </w:r>
          </w:p>
        </w:tc>
        <w:tc>
          <w:tcPr>
            <w:tcW w:w="1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337</w:t>
            </w:r>
          </w:p>
        </w:tc>
        <w:tc>
          <w:tcPr>
            <w:tcW w:w="240" w:type="dxa"/>
            <w:vAlign w:val="bottom"/>
          </w:tcPr>
          <w:p>
            <w:pPr>
              <w:spacing w:after="0"/>
              <w:rPr>
                <w:sz w:val="17"/>
                <w:szCs w:val="17"/>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86</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251</w:t>
            </w:r>
          </w:p>
        </w:tc>
        <w:tc>
          <w:tcPr>
            <w:tcW w:w="0" w:type="dxa"/>
            <w:vAlign w:val="bottom"/>
          </w:tcPr>
          <w:p>
            <w:pPr>
              <w:spacing w:after="0"/>
              <w:rPr>
                <w:sz w:val="1"/>
                <w:szCs w:val="1"/>
                <w:color w:val="auto"/>
              </w:rPr>
            </w:pPr>
          </w:p>
        </w:tc>
      </w:tr>
      <w:tr>
        <w:trPr>
          <w:trHeight w:val="223"/>
        </w:trPr>
        <w:tc>
          <w:tcPr>
            <w:tcW w:w="4900" w:type="dxa"/>
            <w:vAlign w:val="bottom"/>
          </w:tcPr>
          <w:p>
            <w:pPr>
              <w:ind w:left="180"/>
              <w:spacing w:after="0"/>
              <w:rPr>
                <w:sz w:val="20"/>
                <w:szCs w:val="20"/>
                <w:color w:val="auto"/>
              </w:rPr>
            </w:pPr>
            <w:r>
              <w:rPr>
                <w:rFonts w:ascii="Arial" w:cs="Arial" w:eastAsia="Arial" w:hAnsi="Arial"/>
                <w:sz w:val="15"/>
                <w:szCs w:val="15"/>
                <w:color w:val="auto"/>
              </w:rPr>
              <w:t>Net Income, adjusted (non-GAAP)</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63,082</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56,922</w:t>
            </w:r>
          </w:p>
        </w:tc>
        <w:tc>
          <w:tcPr>
            <w:tcW w:w="0" w:type="dxa"/>
            <w:vAlign w:val="bottom"/>
          </w:tcPr>
          <w:p>
            <w:pPr>
              <w:spacing w:after="0"/>
              <w:rPr>
                <w:sz w:val="1"/>
                <w:szCs w:val="1"/>
                <w:color w:val="auto"/>
              </w:rPr>
            </w:pPr>
          </w:p>
        </w:tc>
      </w:tr>
      <w:tr>
        <w:trPr>
          <w:trHeight w:val="312"/>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Per share information attributable to Graham Holdings Company</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Common Stockholders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00" w:type="dxa"/>
            <w:vAlign w:val="bottom"/>
          </w:tcPr>
          <w:p>
            <w:pPr>
              <w:ind w:left="180"/>
              <w:spacing w:after="0"/>
              <w:rPr>
                <w:sz w:val="20"/>
                <w:szCs w:val="20"/>
                <w:color w:val="auto"/>
              </w:rPr>
            </w:pPr>
            <w:r>
              <w:rPr>
                <w:rFonts w:ascii="Arial" w:cs="Arial" w:eastAsia="Arial" w:hAnsi="Arial"/>
                <w:sz w:val="15"/>
                <w:szCs w:val="15"/>
                <w:color w:val="auto"/>
              </w:rPr>
              <w:t>Diluted income (loss) per common share, as reported</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8.35</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(4.79)</w:t>
            </w:r>
          </w:p>
        </w:tc>
        <w:tc>
          <w:tcPr>
            <w:tcW w:w="0" w:type="dxa"/>
            <w:vAlign w:val="bottom"/>
          </w:tcPr>
          <w:p>
            <w:pPr>
              <w:spacing w:after="0"/>
              <w:rPr>
                <w:sz w:val="1"/>
                <w:szCs w:val="1"/>
                <w:color w:val="auto"/>
              </w:rPr>
            </w:pPr>
          </w:p>
        </w:tc>
      </w:tr>
      <w:tr>
        <w:trPr>
          <w:trHeight w:val="190"/>
        </w:trPr>
        <w:tc>
          <w:tcPr>
            <w:tcW w:w="4900" w:type="dxa"/>
            <w:vAlign w:val="bottom"/>
          </w:tcPr>
          <w:p>
            <w:pPr>
              <w:ind w:left="180"/>
              <w:spacing w:after="0"/>
              <w:rPr>
                <w:sz w:val="20"/>
                <w:szCs w:val="20"/>
                <w:color w:val="auto"/>
              </w:rPr>
            </w:pPr>
            <w:r>
              <w:rPr>
                <w:rFonts w:ascii="Arial" w:cs="Arial" w:eastAsia="Arial" w:hAnsi="Arial"/>
                <w:sz w:val="15"/>
                <w:szCs w:val="15"/>
                <w:color w:val="auto"/>
              </w:rPr>
              <w:t>Adjustments:</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900" w:type="dxa"/>
            <w:vAlign w:val="bottom"/>
          </w:tcPr>
          <w:p>
            <w:pPr>
              <w:ind w:left="400"/>
              <w:spacing w:after="0"/>
              <w:rPr>
                <w:sz w:val="20"/>
                <w:szCs w:val="20"/>
                <w:color w:val="auto"/>
              </w:rPr>
            </w:pPr>
            <w:r>
              <w:rPr>
                <w:rFonts w:ascii="Arial" w:cs="Arial" w:eastAsia="Arial" w:hAnsi="Arial"/>
                <w:sz w:val="15"/>
                <w:szCs w:val="15"/>
                <w:color w:val="auto"/>
              </w:rPr>
              <w:t>Goodwill and intangible asset impairment charges</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4.62</w:t>
            </w:r>
          </w:p>
        </w:tc>
        <w:tc>
          <w:tcPr>
            <w:tcW w:w="0" w:type="dxa"/>
            <w:vAlign w:val="bottom"/>
          </w:tcPr>
          <w:p>
            <w:pPr>
              <w:spacing w:after="0"/>
              <w:rPr>
                <w:sz w:val="1"/>
                <w:szCs w:val="1"/>
                <w:color w:val="auto"/>
              </w:rPr>
            </w:pPr>
          </w:p>
        </w:tc>
      </w:tr>
      <w:tr>
        <w:trPr>
          <w:trHeight w:val="183"/>
        </w:trPr>
        <w:tc>
          <w:tcPr>
            <w:tcW w:w="4900" w:type="dxa"/>
            <w:vAlign w:val="bottom"/>
          </w:tcPr>
          <w:p>
            <w:pPr>
              <w:ind w:left="400"/>
              <w:spacing w:after="0"/>
              <w:rPr>
                <w:sz w:val="20"/>
                <w:szCs w:val="20"/>
                <w:color w:val="auto"/>
              </w:rPr>
            </w:pPr>
            <w:r>
              <w:rPr>
                <w:rFonts w:ascii="Arial" w:cs="Arial" w:eastAsia="Arial" w:hAnsi="Arial"/>
                <w:sz w:val="15"/>
                <w:szCs w:val="15"/>
                <w:color w:val="auto"/>
              </w:rPr>
              <w:t>Charges related to non-operating Separation Incentive Programs</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1.02</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520"/>
              <w:spacing w:after="0"/>
              <w:rPr>
                <w:sz w:val="20"/>
                <w:szCs w:val="20"/>
                <w:color w:val="auto"/>
              </w:rPr>
            </w:pPr>
            <w:r>
              <w:rPr>
                <w:rFonts w:ascii="Arial" w:cs="Arial" w:eastAsia="Arial" w:hAnsi="Arial"/>
                <w:sz w:val="15"/>
                <w:szCs w:val="15"/>
                <w:color w:val="auto"/>
              </w:rPr>
              <w:t>and Voluntary Retirement Incentive Program</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2.74</w:t>
            </w:r>
          </w:p>
        </w:tc>
        <w:tc>
          <w:tcPr>
            <w:tcW w:w="0" w:type="dxa"/>
            <w:vAlign w:val="bottom"/>
          </w:tcPr>
          <w:p>
            <w:pPr>
              <w:spacing w:after="0"/>
              <w:rPr>
                <w:sz w:val="1"/>
                <w:szCs w:val="1"/>
                <w:color w:val="auto"/>
              </w:rPr>
            </w:pPr>
          </w:p>
        </w:tc>
      </w:tr>
      <w:tr>
        <w:trPr>
          <w:trHeight w:val="183"/>
        </w:trPr>
        <w:tc>
          <w:tcPr>
            <w:tcW w:w="4900" w:type="dxa"/>
            <w:vAlign w:val="bottom"/>
          </w:tcPr>
          <w:p>
            <w:pPr>
              <w:ind w:left="400"/>
              <w:spacing w:after="0"/>
              <w:rPr>
                <w:sz w:val="20"/>
                <w:szCs w:val="20"/>
                <w:color w:val="auto"/>
              </w:rPr>
            </w:pPr>
            <w:r>
              <w:rPr>
                <w:rFonts w:ascii="Arial" w:cs="Arial" w:eastAsia="Arial" w:hAnsi="Arial"/>
                <w:sz w:val="15"/>
                <w:szCs w:val="15"/>
                <w:color w:val="auto"/>
              </w:rPr>
              <w:t>Interest expense related to the fair value adjustment of the</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0.79</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520"/>
              <w:spacing w:after="0"/>
              <w:rPr>
                <w:sz w:val="20"/>
                <w:szCs w:val="20"/>
                <w:color w:val="auto"/>
              </w:rPr>
            </w:pPr>
            <w:r>
              <w:rPr>
                <w:rFonts w:ascii="Arial" w:cs="Arial" w:eastAsia="Arial" w:hAnsi="Arial"/>
                <w:sz w:val="15"/>
                <w:szCs w:val="15"/>
                <w:color w:val="auto"/>
              </w:rPr>
              <w:t>mandatorily redeemable noncontrolling interest</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13.77</w:t>
            </w:r>
          </w:p>
        </w:tc>
        <w:tc>
          <w:tcPr>
            <w:tcW w:w="0" w:type="dxa"/>
            <w:vAlign w:val="bottom"/>
          </w:tcPr>
          <w:p>
            <w:pPr>
              <w:spacing w:after="0"/>
              <w:rPr>
                <w:sz w:val="1"/>
                <w:szCs w:val="1"/>
                <w:color w:val="auto"/>
              </w:rPr>
            </w:pPr>
          </w:p>
        </w:tc>
      </w:tr>
      <w:tr>
        <w:trPr>
          <w:trHeight w:val="216"/>
        </w:trPr>
        <w:tc>
          <w:tcPr>
            <w:tcW w:w="4900" w:type="dxa"/>
            <w:vAlign w:val="bottom"/>
          </w:tcPr>
          <w:p>
            <w:pPr>
              <w:ind w:left="400"/>
              <w:spacing w:after="0"/>
              <w:rPr>
                <w:sz w:val="20"/>
                <w:szCs w:val="20"/>
                <w:color w:val="auto"/>
              </w:rPr>
            </w:pPr>
            <w:r>
              <w:rPr>
                <w:rFonts w:ascii="Arial" w:cs="Arial" w:eastAsia="Arial" w:hAnsi="Arial"/>
                <w:sz w:val="15"/>
                <w:szCs w:val="15"/>
                <w:color w:val="auto"/>
              </w:rPr>
              <w:t>Net losses (gains) on marketable equity securities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1.95</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(3.28)</w:t>
            </w:r>
          </w:p>
        </w:tc>
        <w:tc>
          <w:tcPr>
            <w:tcW w:w="0" w:type="dxa"/>
            <w:vAlign w:val="bottom"/>
          </w:tcPr>
          <w:p>
            <w:pPr>
              <w:spacing w:after="0"/>
              <w:rPr>
                <w:sz w:val="1"/>
                <w:szCs w:val="1"/>
                <w:color w:val="auto"/>
              </w:rPr>
            </w:pPr>
          </w:p>
        </w:tc>
      </w:tr>
      <w:tr>
        <w:trPr>
          <w:trHeight w:val="183"/>
        </w:trPr>
        <w:tc>
          <w:tcPr>
            <w:tcW w:w="4900" w:type="dxa"/>
            <w:vAlign w:val="bottom"/>
          </w:tcPr>
          <w:p>
            <w:pPr>
              <w:ind w:left="400"/>
              <w:spacing w:after="0"/>
              <w:rPr>
                <w:sz w:val="20"/>
                <w:szCs w:val="20"/>
                <w:color w:val="auto"/>
              </w:rPr>
            </w:pPr>
            <w:r>
              <w:rPr>
                <w:rFonts w:ascii="Arial" w:cs="Arial" w:eastAsia="Arial" w:hAnsi="Arial"/>
                <w:sz w:val="15"/>
                <w:szCs w:val="15"/>
                <w:color w:val="auto"/>
              </w:rPr>
              <w:t>Net losses of affiliates whose operations are not managed by the</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0.07</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520"/>
              <w:spacing w:after="0"/>
              <w:rPr>
                <w:sz w:val="20"/>
                <w:szCs w:val="20"/>
                <w:color w:val="auto"/>
              </w:rPr>
            </w:pPr>
            <w:r>
              <w:rPr>
                <w:rFonts w:ascii="Arial" w:cs="Arial" w:eastAsia="Arial" w:hAnsi="Arial"/>
                <w:sz w:val="15"/>
                <w:szCs w:val="15"/>
                <w:color w:val="auto"/>
              </w:rPr>
              <w:t>Company</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0.19</w:t>
            </w:r>
          </w:p>
        </w:tc>
        <w:tc>
          <w:tcPr>
            <w:tcW w:w="0" w:type="dxa"/>
            <w:vAlign w:val="bottom"/>
          </w:tcPr>
          <w:p>
            <w:pPr>
              <w:spacing w:after="0"/>
              <w:rPr>
                <w:sz w:val="1"/>
                <w:szCs w:val="1"/>
                <w:color w:val="auto"/>
              </w:rPr>
            </w:pPr>
          </w:p>
        </w:tc>
      </w:tr>
      <w:tr>
        <w:trPr>
          <w:trHeight w:val="216"/>
        </w:trPr>
        <w:tc>
          <w:tcPr>
            <w:tcW w:w="4900" w:type="dxa"/>
            <w:vAlign w:val="bottom"/>
          </w:tcPr>
          <w:p>
            <w:pPr>
              <w:ind w:left="400"/>
              <w:spacing w:after="0"/>
              <w:rPr>
                <w:sz w:val="20"/>
                <w:szCs w:val="20"/>
                <w:color w:val="auto"/>
              </w:rPr>
            </w:pPr>
            <w:r>
              <w:rPr>
                <w:rFonts w:ascii="Arial" w:cs="Arial" w:eastAsia="Arial" w:hAnsi="Arial"/>
                <w:sz w:val="15"/>
                <w:szCs w:val="15"/>
                <w:color w:val="auto"/>
              </w:rPr>
              <w:t>Gain on sale of certain businesses and websites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(0.61)</w:t>
            </w:r>
          </w:p>
        </w:tc>
        <w:tc>
          <w:tcPr>
            <w:tcW w:w="0" w:type="dxa"/>
            <w:vAlign w:val="bottom"/>
          </w:tcPr>
          <w:p>
            <w:pPr>
              <w:spacing w:after="0"/>
              <w:rPr>
                <w:sz w:val="1"/>
                <w:szCs w:val="1"/>
                <w:color w:val="auto"/>
              </w:rPr>
            </w:pPr>
          </w:p>
        </w:tc>
      </w:tr>
      <w:tr>
        <w:trPr>
          <w:trHeight w:val="183"/>
        </w:trPr>
        <w:tc>
          <w:tcPr>
            <w:tcW w:w="4900" w:type="dxa"/>
            <w:vAlign w:val="bottom"/>
          </w:tcPr>
          <w:p>
            <w:pPr>
              <w:ind w:left="400"/>
              <w:spacing w:after="0"/>
              <w:rPr>
                <w:sz w:val="20"/>
                <w:szCs w:val="20"/>
                <w:color w:val="auto"/>
              </w:rPr>
            </w:pPr>
            <w:r>
              <w:rPr>
                <w:rFonts w:ascii="Arial" w:cs="Arial" w:eastAsia="Arial" w:hAnsi="Arial"/>
                <w:sz w:val="15"/>
                <w:szCs w:val="15"/>
                <w:color w:val="auto"/>
              </w:rPr>
              <w:t>Net non-operating loss from impairment of cost method</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2.15</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900" w:type="dxa"/>
            <w:vAlign w:val="bottom"/>
          </w:tcPr>
          <w:p>
            <w:pPr>
              <w:ind w:left="520"/>
              <w:spacing w:after="0"/>
              <w:rPr>
                <w:sz w:val="20"/>
                <w:szCs w:val="20"/>
                <w:color w:val="auto"/>
              </w:rPr>
            </w:pPr>
            <w:r>
              <w:rPr>
                <w:rFonts w:ascii="Arial" w:cs="Arial" w:eastAsia="Arial" w:hAnsi="Arial"/>
                <w:sz w:val="15"/>
                <w:szCs w:val="15"/>
                <w:color w:val="auto"/>
              </w:rPr>
              <w:t>investments</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0.06</w:t>
            </w:r>
          </w:p>
        </w:tc>
        <w:tc>
          <w:tcPr>
            <w:tcW w:w="0" w:type="dxa"/>
            <w:vAlign w:val="bottom"/>
          </w:tcPr>
          <w:p>
            <w:pPr>
              <w:spacing w:after="0"/>
              <w:rPr>
                <w:sz w:val="1"/>
                <w:szCs w:val="1"/>
                <w:color w:val="auto"/>
              </w:rPr>
            </w:pPr>
          </w:p>
        </w:tc>
      </w:tr>
      <w:tr>
        <w:trPr>
          <w:trHeight w:val="210"/>
        </w:trPr>
        <w:tc>
          <w:tcPr>
            <w:tcW w:w="4900" w:type="dxa"/>
            <w:vAlign w:val="bottom"/>
          </w:tcPr>
          <w:p>
            <w:pPr>
              <w:ind w:left="180"/>
              <w:spacing w:after="0"/>
              <w:rPr>
                <w:sz w:val="20"/>
                <w:szCs w:val="20"/>
                <w:color w:val="auto"/>
              </w:rPr>
            </w:pPr>
            <w:r>
              <w:rPr>
                <w:rFonts w:ascii="Arial" w:cs="Arial" w:eastAsia="Arial" w:hAnsi="Arial"/>
                <w:sz w:val="15"/>
                <w:szCs w:val="15"/>
                <w:color w:val="auto"/>
              </w:rPr>
              <w:t>Diluted income per common share, adjusted (non-GAAP)</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14.33</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12.70</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The adjusted diluted per share amounts may not compute due to rounding.</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039" w:right="339" w:bottom="1440" w:gutter="0" w:footer="0" w:header="0"/>
        </w:sectPr>
      </w:pPr>
    </w:p>
    <w:bookmarkStart w:id="13" w:name="page14"/>
    <w:bookmarkEnd w:id="13"/>
    <w:p>
      <w:pPr>
        <w:ind w:left="7020"/>
        <w:spacing w:after="0"/>
        <w:rPr>
          <w:sz w:val="20"/>
          <w:szCs w:val="20"/>
          <w:color w:val="auto"/>
        </w:rPr>
      </w:pPr>
      <w:r>
        <w:rPr>
          <w:rFonts w:ascii="Arial" w:cs="Arial" w:eastAsia="Arial" w:hAnsi="Arial"/>
          <w:sz w:val="16"/>
          <w:szCs w:val="16"/>
          <w:b w:val="1"/>
          <w:bCs w:val="1"/>
          <w:color w:val="auto"/>
        </w:rPr>
        <w:t>Six Months Ended June 30</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9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rPr>
              <w:t>2025</w:t>
            </w:r>
          </w:p>
        </w:tc>
        <w:tc>
          <w:tcPr>
            <w:tcW w:w="2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4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ind w:right="124"/>
              <w:spacing w:after="0" w:line="169" w:lineRule="exact"/>
              <w:rPr>
                <w:sz w:val="20"/>
                <w:szCs w:val="20"/>
                <w:color w:val="auto"/>
              </w:rPr>
            </w:pPr>
            <w:r>
              <w:rPr>
                <w:rFonts w:ascii="Arial" w:cs="Arial" w:eastAsia="Arial" w:hAnsi="Arial"/>
                <w:sz w:val="15"/>
                <w:szCs w:val="15"/>
                <w:b w:val="1"/>
                <w:bCs w:val="1"/>
                <w:color w:val="auto"/>
                <w:w w:val="98"/>
              </w:rPr>
              <w:t>Income</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vMerge w:val="restart"/>
          </w:tcPr>
          <w:p>
            <w:pPr>
              <w:jc w:val="center"/>
              <w:ind w:right="144"/>
              <w:spacing w:after="0"/>
              <w:rPr>
                <w:sz w:val="20"/>
                <w:szCs w:val="20"/>
                <w:color w:val="auto"/>
              </w:rPr>
            </w:pPr>
            <w:r>
              <w:rPr>
                <w:rFonts w:ascii="Arial" w:cs="Arial" w:eastAsia="Arial" w:hAnsi="Arial"/>
                <w:sz w:val="15"/>
                <w:szCs w:val="15"/>
                <w:color w:val="auto"/>
              </w:rPr>
              <w:t>Income</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4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vMerge w:val="restart"/>
          </w:tcPr>
          <w:p>
            <w:pPr>
              <w:jc w:val="center"/>
              <w:ind w:right="124"/>
              <w:spacing w:after="0" w:line="162" w:lineRule="exact"/>
              <w:rPr>
                <w:sz w:val="20"/>
                <w:szCs w:val="20"/>
                <w:color w:val="auto"/>
              </w:rPr>
            </w:pPr>
            <w:r>
              <w:rPr>
                <w:rFonts w:ascii="Arial" w:cs="Arial" w:eastAsia="Arial" w:hAnsi="Arial"/>
                <w:sz w:val="15"/>
                <w:szCs w:val="15"/>
                <w:b w:val="1"/>
                <w:bCs w:val="1"/>
                <w:color w:val="auto"/>
              </w:rPr>
              <w:t>before</w:t>
            </w:r>
          </w:p>
        </w:tc>
        <w:tc>
          <w:tcPr>
            <w:tcW w:w="200" w:type="dxa"/>
            <w:vAlign w:val="bottom"/>
          </w:tcPr>
          <w:p>
            <w:pPr>
              <w:spacing w:after="0"/>
              <w:rPr>
                <w:sz w:val="7"/>
                <w:szCs w:val="7"/>
                <w:color w:val="auto"/>
              </w:rPr>
            </w:pPr>
          </w:p>
        </w:tc>
        <w:tc>
          <w:tcPr>
            <w:tcW w:w="900" w:type="dxa"/>
            <w:vAlign w:val="bottom"/>
            <w:vMerge w:val="restart"/>
          </w:tcPr>
          <w:p>
            <w:pPr>
              <w:jc w:val="center"/>
              <w:ind w:right="164"/>
              <w:spacing w:after="0" w:line="162" w:lineRule="exact"/>
              <w:rPr>
                <w:sz w:val="20"/>
                <w:szCs w:val="20"/>
                <w:color w:val="auto"/>
              </w:rPr>
            </w:pPr>
            <w:r>
              <w:rPr>
                <w:rFonts w:ascii="Arial" w:cs="Arial" w:eastAsia="Arial" w:hAnsi="Arial"/>
                <w:sz w:val="15"/>
                <w:szCs w:val="15"/>
                <w:b w:val="1"/>
                <w:bCs w:val="1"/>
                <w:color w:val="auto"/>
              </w:rPr>
              <w:t>Income</w:t>
            </w: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vMerge w:val="restart"/>
          </w:tcPr>
          <w:p>
            <w:pPr>
              <w:jc w:val="center"/>
              <w:ind w:right="204"/>
              <w:spacing w:after="0" w:line="162" w:lineRule="exact"/>
              <w:rPr>
                <w:sz w:val="20"/>
                <w:szCs w:val="20"/>
                <w:color w:val="auto"/>
              </w:rPr>
            </w:pPr>
            <w:r>
              <w:rPr>
                <w:rFonts w:ascii="Arial" w:cs="Arial" w:eastAsia="Arial" w:hAnsi="Arial"/>
                <w:sz w:val="15"/>
                <w:szCs w:val="15"/>
                <w:color w:val="auto"/>
              </w:rPr>
              <w:t>Income</w:t>
            </w: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4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980" w:type="dxa"/>
            <w:vAlign w:val="bottom"/>
            <w:gridSpan w:val="2"/>
            <w:vMerge w:val="restart"/>
          </w:tcPr>
          <w:p>
            <w:pPr>
              <w:jc w:val="right"/>
              <w:ind w:right="4"/>
              <w:spacing w:after="0"/>
              <w:rPr>
                <w:sz w:val="20"/>
                <w:szCs w:val="20"/>
                <w:color w:val="auto"/>
              </w:rPr>
            </w:pPr>
            <w:r>
              <w:rPr>
                <w:rFonts w:ascii="Arial" w:cs="Arial" w:eastAsia="Arial" w:hAnsi="Arial"/>
                <w:sz w:val="15"/>
                <w:szCs w:val="15"/>
                <w:b w:val="1"/>
                <w:bCs w:val="1"/>
                <w:color w:val="auto"/>
              </w:rPr>
              <w:t>Net Income</w:t>
            </w:r>
          </w:p>
        </w:tc>
        <w:tc>
          <w:tcPr>
            <w:tcW w:w="280" w:type="dxa"/>
            <w:vAlign w:val="bottom"/>
          </w:tcPr>
          <w:p>
            <w:pPr>
              <w:spacing w:after="0"/>
              <w:rPr>
                <w:sz w:val="6"/>
                <w:szCs w:val="6"/>
                <w:color w:val="auto"/>
              </w:rPr>
            </w:pPr>
          </w:p>
        </w:tc>
        <w:tc>
          <w:tcPr>
            <w:tcW w:w="840" w:type="dxa"/>
            <w:vAlign w:val="bottom"/>
            <w:vMerge w:val="restart"/>
          </w:tcPr>
          <w:p>
            <w:pPr>
              <w:jc w:val="center"/>
              <w:ind w:right="124"/>
              <w:spacing w:after="0"/>
              <w:rPr>
                <w:sz w:val="20"/>
                <w:szCs w:val="20"/>
                <w:color w:val="auto"/>
              </w:rPr>
            </w:pPr>
            <w:r>
              <w:rPr>
                <w:rFonts w:ascii="Arial" w:cs="Arial" w:eastAsia="Arial" w:hAnsi="Arial"/>
                <w:sz w:val="15"/>
                <w:szCs w:val="15"/>
                <w:color w:val="auto"/>
              </w:rPr>
              <w:t>before</w:t>
            </w:r>
          </w:p>
        </w:tc>
        <w:tc>
          <w:tcPr>
            <w:tcW w:w="2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980" w:type="dxa"/>
            <w:vAlign w:val="bottom"/>
            <w:gridSpan w:val="2"/>
            <w:vMerge w:val="restart"/>
          </w:tcPr>
          <w:p>
            <w:pPr>
              <w:jc w:val="right"/>
              <w:ind w:right="24"/>
              <w:spacing w:after="0"/>
              <w:rPr>
                <w:sz w:val="20"/>
                <w:szCs w:val="20"/>
                <w:color w:val="auto"/>
              </w:rPr>
            </w:pPr>
            <w:r>
              <w:rPr>
                <w:rFonts w:ascii="Arial" w:cs="Arial" w:eastAsia="Arial" w:hAnsi="Arial"/>
                <w:sz w:val="15"/>
                <w:szCs w:val="15"/>
                <w:color w:val="auto"/>
              </w:rPr>
              <w:t>Net Income</w:t>
            </w:r>
          </w:p>
        </w:tc>
        <w:tc>
          <w:tcPr>
            <w:tcW w:w="0" w:type="dxa"/>
            <w:vAlign w:val="bottom"/>
          </w:tcPr>
          <w:p>
            <w:pPr>
              <w:spacing w:after="0"/>
              <w:rPr>
                <w:sz w:val="1"/>
                <w:szCs w:val="1"/>
                <w:color w:val="auto"/>
              </w:rPr>
            </w:pPr>
          </w:p>
        </w:tc>
      </w:tr>
      <w:tr>
        <w:trPr>
          <w:trHeight w:val="96"/>
        </w:trPr>
        <w:tc>
          <w:tcPr>
            <w:tcW w:w="4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vMerge w:val="restart"/>
          </w:tcPr>
          <w:p>
            <w:pPr>
              <w:jc w:val="center"/>
              <w:ind w:right="124"/>
              <w:spacing w:after="0"/>
              <w:rPr>
                <w:sz w:val="20"/>
                <w:szCs w:val="20"/>
                <w:color w:val="auto"/>
              </w:rPr>
            </w:pPr>
            <w:r>
              <w:rPr>
                <w:rFonts w:ascii="Arial" w:cs="Arial" w:eastAsia="Arial" w:hAnsi="Arial"/>
                <w:sz w:val="15"/>
                <w:szCs w:val="15"/>
                <w:b w:val="1"/>
                <w:bCs w:val="1"/>
                <w:color w:val="auto"/>
                <w:w w:val="98"/>
              </w:rPr>
              <w:t>income</w:t>
            </w:r>
          </w:p>
        </w:tc>
        <w:tc>
          <w:tcPr>
            <w:tcW w:w="200" w:type="dxa"/>
            <w:vAlign w:val="bottom"/>
          </w:tcPr>
          <w:p>
            <w:pPr>
              <w:spacing w:after="0"/>
              <w:rPr>
                <w:sz w:val="8"/>
                <w:szCs w:val="8"/>
                <w:color w:val="auto"/>
              </w:rPr>
            </w:pPr>
          </w:p>
        </w:tc>
        <w:tc>
          <w:tcPr>
            <w:tcW w:w="900" w:type="dxa"/>
            <w:vAlign w:val="bottom"/>
            <w:vMerge w:val="restart"/>
          </w:tcPr>
          <w:p>
            <w:pPr>
              <w:jc w:val="center"/>
              <w:ind w:right="164"/>
              <w:spacing w:after="0"/>
              <w:rPr>
                <w:sz w:val="20"/>
                <w:szCs w:val="20"/>
                <w:color w:val="auto"/>
              </w:rPr>
            </w:pPr>
            <w:r>
              <w:rPr>
                <w:rFonts w:ascii="Arial" w:cs="Arial" w:eastAsia="Arial" w:hAnsi="Arial"/>
                <w:sz w:val="15"/>
                <w:szCs w:val="15"/>
                <w:b w:val="1"/>
                <w:bCs w:val="1"/>
                <w:color w:val="auto"/>
                <w:w w:val="98"/>
              </w:rPr>
              <w:t>Taxes</w:t>
            </w:r>
          </w:p>
        </w:tc>
        <w:tc>
          <w:tcPr>
            <w:tcW w:w="9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vMerge w:val="restart"/>
          </w:tcPr>
          <w:p>
            <w:pPr>
              <w:jc w:val="center"/>
              <w:ind w:right="184"/>
              <w:spacing w:after="0"/>
              <w:rPr>
                <w:sz w:val="20"/>
                <w:szCs w:val="20"/>
                <w:color w:val="auto"/>
              </w:rPr>
            </w:pPr>
            <w:r>
              <w:rPr>
                <w:rFonts w:ascii="Arial" w:cs="Arial" w:eastAsia="Arial" w:hAnsi="Arial"/>
                <w:sz w:val="15"/>
                <w:szCs w:val="15"/>
                <w:color w:val="auto"/>
                <w:w w:val="97"/>
              </w:rPr>
              <w:t>Taxes</w:t>
            </w:r>
          </w:p>
        </w:tc>
        <w:tc>
          <w:tcPr>
            <w:tcW w:w="9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4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5"/>
                <w:szCs w:val="15"/>
                <w:color w:val="auto"/>
              </w:rPr>
              <w:t>income taxes</w:t>
            </w:r>
          </w:p>
        </w:tc>
        <w:tc>
          <w:tcPr>
            <w:tcW w:w="2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4900" w:type="dxa"/>
            <w:vAlign w:val="bottom"/>
            <w:vMerge w:val="restart"/>
          </w:tcPr>
          <w:p>
            <w:pPr>
              <w:ind w:left="20"/>
              <w:spacing w:after="0"/>
              <w:rPr>
                <w:sz w:val="20"/>
                <w:szCs w:val="20"/>
                <w:color w:val="auto"/>
              </w:rPr>
            </w:pPr>
            <w:r>
              <w:rPr>
                <w:rFonts w:ascii="Arial" w:cs="Arial" w:eastAsia="Arial" w:hAnsi="Arial"/>
                <w:sz w:val="15"/>
                <w:szCs w:val="15"/>
                <w:color w:val="auto"/>
              </w:rPr>
              <w:t>(in thousands, except per share amounts)</w:t>
            </w:r>
          </w:p>
        </w:tc>
        <w:tc>
          <w:tcPr>
            <w:tcW w:w="140" w:type="dxa"/>
            <w:vAlign w:val="bottom"/>
          </w:tcPr>
          <w:p>
            <w:pPr>
              <w:spacing w:after="0"/>
              <w:rPr>
                <w:sz w:val="10"/>
                <w:szCs w:val="10"/>
                <w:color w:val="auto"/>
              </w:rPr>
            </w:pPr>
          </w:p>
        </w:tc>
        <w:tc>
          <w:tcPr>
            <w:tcW w:w="840" w:type="dxa"/>
            <w:vAlign w:val="bottom"/>
            <w:vMerge w:val="restart"/>
          </w:tcPr>
          <w:p>
            <w:pPr>
              <w:jc w:val="center"/>
              <w:ind w:right="124"/>
              <w:spacing w:after="0"/>
              <w:rPr>
                <w:sz w:val="20"/>
                <w:szCs w:val="20"/>
                <w:color w:val="auto"/>
              </w:rPr>
            </w:pPr>
            <w:r>
              <w:rPr>
                <w:rFonts w:ascii="Arial" w:cs="Arial" w:eastAsia="Arial" w:hAnsi="Arial"/>
                <w:sz w:val="15"/>
                <w:szCs w:val="15"/>
                <w:b w:val="1"/>
                <w:bCs w:val="1"/>
                <w:color w:val="auto"/>
              </w:rPr>
              <w:t>taxes</w:t>
            </w: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4900" w:type="dxa"/>
            <w:vAlign w:val="bottom"/>
            <w:tcBorders>
              <w:bottom w:val="single" w:sz="8" w:color="auto"/>
            </w:tcBorders>
            <w:vMerge w:val="continue"/>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vMerge w:val="continue"/>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4900" w:type="dxa"/>
            <w:vAlign w:val="bottom"/>
          </w:tcPr>
          <w:p>
            <w:pPr>
              <w:ind w:left="20"/>
              <w:spacing w:after="0" w:line="167" w:lineRule="exact"/>
              <w:rPr>
                <w:sz w:val="20"/>
                <w:szCs w:val="20"/>
                <w:color w:val="auto"/>
              </w:rPr>
            </w:pPr>
            <w:r>
              <w:rPr>
                <w:rFonts w:ascii="Arial" w:cs="Arial" w:eastAsia="Arial" w:hAnsi="Arial"/>
                <w:sz w:val="15"/>
                <w:szCs w:val="15"/>
                <w:b w:val="1"/>
                <w:bCs w:val="1"/>
                <w:color w:val="auto"/>
              </w:rPr>
              <w:t>Amounts attributable to Graham Holdings Company Common</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Stockholders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5"/>
                <w:szCs w:val="15"/>
                <w:color w:val="auto"/>
              </w:rPr>
              <w:t>As reported</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40" w:type="dxa"/>
            <w:vAlign w:val="bottom"/>
          </w:tcPr>
          <w:p>
            <w:pPr>
              <w:jc w:val="right"/>
              <w:ind w:right="44"/>
              <w:spacing w:after="0"/>
              <w:rPr>
                <w:sz w:val="20"/>
                <w:szCs w:val="20"/>
                <w:color w:val="auto"/>
              </w:rPr>
            </w:pPr>
            <w:r>
              <w:rPr>
                <w:rFonts w:ascii="Arial" w:cs="Arial" w:eastAsia="Arial" w:hAnsi="Arial"/>
                <w:sz w:val="15"/>
                <w:szCs w:val="15"/>
                <w:b w:val="1"/>
                <w:bCs w:val="1"/>
                <w:color w:val="auto"/>
              </w:rPr>
              <w:t>94,244</w:t>
            </w:r>
          </w:p>
        </w:tc>
        <w:tc>
          <w:tcPr>
            <w:tcW w:w="2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28,100</w:t>
            </w:r>
          </w:p>
        </w:tc>
        <w:tc>
          <w:tcPr>
            <w:tcW w:w="24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66,144</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154,112</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47,600</w:t>
            </w:r>
          </w:p>
        </w:tc>
        <w:tc>
          <w:tcPr>
            <w:tcW w:w="2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106,512</w:t>
            </w:r>
          </w:p>
        </w:tc>
        <w:tc>
          <w:tcPr>
            <w:tcW w:w="0" w:type="dxa"/>
            <w:vAlign w:val="bottom"/>
          </w:tcPr>
          <w:p>
            <w:pPr>
              <w:spacing w:after="0"/>
              <w:rPr>
                <w:sz w:val="1"/>
                <w:szCs w:val="1"/>
                <w:color w:val="auto"/>
              </w:rPr>
            </w:pPr>
          </w:p>
        </w:tc>
      </w:tr>
      <w:tr>
        <w:trPr>
          <w:trHeight w:val="214"/>
        </w:trPr>
        <w:tc>
          <w:tcPr>
            <w:tcW w:w="4900" w:type="dxa"/>
            <w:vAlign w:val="bottom"/>
          </w:tcPr>
          <w:p>
            <w:pPr>
              <w:ind w:left="20"/>
              <w:spacing w:after="0"/>
              <w:rPr>
                <w:sz w:val="20"/>
                <w:szCs w:val="20"/>
                <w:color w:val="auto"/>
              </w:rPr>
            </w:pPr>
            <w:r>
              <w:rPr>
                <w:rFonts w:ascii="Arial" w:cs="Arial" w:eastAsia="Arial" w:hAnsi="Arial"/>
                <w:sz w:val="15"/>
                <w:szCs w:val="15"/>
                <w:color w:val="auto"/>
              </w:rPr>
              <w:t>Attributable to noncontrolling interests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(5,501)</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(3,172)</w:t>
            </w:r>
          </w:p>
        </w:tc>
        <w:tc>
          <w:tcPr>
            <w:tcW w:w="0" w:type="dxa"/>
            <w:vAlign w:val="bottom"/>
          </w:tcPr>
          <w:p>
            <w:pPr>
              <w:spacing w:after="0"/>
              <w:rPr>
                <w:sz w:val="1"/>
                <w:szCs w:val="1"/>
                <w:color w:val="auto"/>
              </w:rPr>
            </w:pPr>
          </w:p>
        </w:tc>
      </w:tr>
      <w:tr>
        <w:trPr>
          <w:trHeight w:val="209"/>
        </w:trPr>
        <w:tc>
          <w:tcPr>
            <w:tcW w:w="4900" w:type="dxa"/>
            <w:vAlign w:val="bottom"/>
          </w:tcPr>
          <w:p>
            <w:pPr>
              <w:ind w:left="180"/>
              <w:spacing w:after="0"/>
              <w:rPr>
                <w:sz w:val="20"/>
                <w:szCs w:val="20"/>
                <w:color w:val="auto"/>
              </w:rPr>
            </w:pPr>
            <w:r>
              <w:rPr>
                <w:rFonts w:ascii="Arial" w:cs="Arial" w:eastAsia="Arial" w:hAnsi="Arial"/>
                <w:sz w:val="15"/>
                <w:szCs w:val="15"/>
                <w:color w:val="auto"/>
              </w:rPr>
              <w:t>Attributable to Graham Holdings Company Stockholders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60,643</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103,340</w:t>
            </w:r>
          </w:p>
        </w:tc>
        <w:tc>
          <w:tcPr>
            <w:tcW w:w="0" w:type="dxa"/>
            <w:vAlign w:val="bottom"/>
          </w:tcPr>
          <w:p>
            <w:pPr>
              <w:spacing w:after="0"/>
              <w:rPr>
                <w:sz w:val="1"/>
                <w:szCs w:val="1"/>
                <w:color w:val="auto"/>
              </w:rPr>
            </w:pPr>
          </w:p>
        </w:tc>
      </w:tr>
      <w:tr>
        <w:trPr>
          <w:trHeight w:val="190"/>
        </w:trPr>
        <w:tc>
          <w:tcPr>
            <w:tcW w:w="4900" w:type="dxa"/>
            <w:vAlign w:val="bottom"/>
          </w:tcPr>
          <w:p>
            <w:pPr>
              <w:ind w:left="180"/>
              <w:spacing w:after="0"/>
              <w:rPr>
                <w:sz w:val="20"/>
                <w:szCs w:val="20"/>
                <w:color w:val="auto"/>
              </w:rPr>
            </w:pPr>
            <w:r>
              <w:rPr>
                <w:rFonts w:ascii="Arial" w:cs="Arial" w:eastAsia="Arial" w:hAnsi="Arial"/>
                <w:sz w:val="15"/>
                <w:szCs w:val="15"/>
                <w:color w:val="auto"/>
              </w:rPr>
              <w:t>Adjustments:</w:t>
            </w:r>
          </w:p>
        </w:tc>
        <w:tc>
          <w:tcPr>
            <w:tcW w:w="140" w:type="dxa"/>
            <w:vAlign w:val="bottom"/>
          </w:tcPr>
          <w:p>
            <w:pPr>
              <w:spacing w:after="0"/>
              <w:rPr>
                <w:sz w:val="16"/>
                <w:szCs w:val="16"/>
                <w:color w:val="auto"/>
              </w:rPr>
            </w:pPr>
          </w:p>
        </w:tc>
        <w:tc>
          <w:tcPr>
            <w:tcW w:w="84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6"/>
                <w:szCs w:val="16"/>
                <w:color w:val="auto"/>
              </w:rPr>
            </w:pPr>
          </w:p>
        </w:tc>
        <w:tc>
          <w:tcPr>
            <w:tcW w:w="90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900" w:type="dxa"/>
            <w:vAlign w:val="bottom"/>
          </w:tcPr>
          <w:p>
            <w:pPr>
              <w:ind w:left="400"/>
              <w:spacing w:after="0"/>
              <w:rPr>
                <w:sz w:val="20"/>
                <w:szCs w:val="20"/>
                <w:color w:val="auto"/>
              </w:rPr>
            </w:pPr>
            <w:r>
              <w:rPr>
                <w:rFonts w:ascii="Arial" w:cs="Arial" w:eastAsia="Arial" w:hAnsi="Arial"/>
                <w:sz w:val="15"/>
                <w:szCs w:val="15"/>
                <w:color w:val="auto"/>
              </w:rPr>
              <w:t>Goodwill and intangible asset impairment charges</w:t>
            </w:r>
          </w:p>
        </w:tc>
        <w:tc>
          <w:tcPr>
            <w:tcW w:w="1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26,287</w:t>
            </w:r>
          </w:p>
        </w:tc>
        <w:tc>
          <w:tcPr>
            <w:tcW w:w="24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5,693</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20,594</w:t>
            </w:r>
          </w:p>
        </w:tc>
        <w:tc>
          <w:tcPr>
            <w:tcW w:w="0" w:type="dxa"/>
            <w:vAlign w:val="bottom"/>
          </w:tcPr>
          <w:p>
            <w:pPr>
              <w:spacing w:after="0"/>
              <w:rPr>
                <w:sz w:val="1"/>
                <w:szCs w:val="1"/>
                <w:color w:val="auto"/>
              </w:rPr>
            </w:pPr>
          </w:p>
        </w:tc>
      </w:tr>
      <w:tr>
        <w:trPr>
          <w:trHeight w:val="170"/>
        </w:trPr>
        <w:tc>
          <w:tcPr>
            <w:tcW w:w="4900" w:type="dxa"/>
            <w:vAlign w:val="bottom"/>
          </w:tcPr>
          <w:p>
            <w:pPr>
              <w:ind w:left="400"/>
              <w:spacing w:after="0" w:line="169" w:lineRule="exact"/>
              <w:rPr>
                <w:sz w:val="20"/>
                <w:szCs w:val="20"/>
                <w:color w:val="auto"/>
              </w:rPr>
            </w:pPr>
            <w:r>
              <w:rPr>
                <w:rFonts w:ascii="Arial" w:cs="Arial" w:eastAsia="Arial" w:hAnsi="Arial"/>
                <w:sz w:val="15"/>
                <w:szCs w:val="15"/>
                <w:color w:val="auto"/>
              </w:rPr>
              <w:t>Charges related to non-operating Separation Incentive Programs</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900" w:type="dxa"/>
            <w:vAlign w:val="bottom"/>
          </w:tcPr>
          <w:p>
            <w:pPr>
              <w:ind w:left="520"/>
              <w:spacing w:after="0"/>
              <w:rPr>
                <w:sz w:val="20"/>
                <w:szCs w:val="20"/>
                <w:color w:val="auto"/>
              </w:rPr>
            </w:pPr>
            <w:r>
              <w:rPr>
                <w:rFonts w:ascii="Arial" w:cs="Arial" w:eastAsia="Arial" w:hAnsi="Arial"/>
                <w:sz w:val="15"/>
                <w:szCs w:val="15"/>
                <w:color w:val="auto"/>
              </w:rPr>
              <w:t>and Voluntary Retirement Incentive Program</w:t>
            </w:r>
          </w:p>
        </w:tc>
        <w:tc>
          <w:tcPr>
            <w:tcW w:w="140" w:type="dxa"/>
            <w:vAlign w:val="bottom"/>
          </w:tcPr>
          <w:p>
            <w:pPr>
              <w:spacing w:after="0"/>
              <w:rPr>
                <w:sz w:val="19"/>
                <w:szCs w:val="19"/>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b w:val="1"/>
                <w:bCs w:val="1"/>
                <w:color w:val="auto"/>
              </w:rPr>
              <w:t>6,639</w:t>
            </w:r>
          </w:p>
        </w:tc>
        <w:tc>
          <w:tcPr>
            <w:tcW w:w="20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1,700</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4,939</w:t>
            </w:r>
          </w:p>
        </w:tc>
        <w:tc>
          <w:tcPr>
            <w:tcW w:w="280" w:type="dxa"/>
            <w:vAlign w:val="bottom"/>
          </w:tcPr>
          <w:p>
            <w:pPr>
              <w:spacing w:after="0"/>
              <w:rPr>
                <w:sz w:val="19"/>
                <w:szCs w:val="19"/>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16,828</w:t>
            </w:r>
          </w:p>
        </w:tc>
        <w:tc>
          <w:tcPr>
            <w:tcW w:w="24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4,308</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12,520</w:t>
            </w:r>
          </w:p>
        </w:tc>
        <w:tc>
          <w:tcPr>
            <w:tcW w:w="0" w:type="dxa"/>
            <w:vAlign w:val="bottom"/>
          </w:tcPr>
          <w:p>
            <w:pPr>
              <w:spacing w:after="0"/>
              <w:rPr>
                <w:sz w:val="1"/>
                <w:szCs w:val="1"/>
                <w:color w:val="auto"/>
              </w:rPr>
            </w:pPr>
          </w:p>
        </w:tc>
      </w:tr>
      <w:tr>
        <w:trPr>
          <w:trHeight w:val="170"/>
        </w:trPr>
        <w:tc>
          <w:tcPr>
            <w:tcW w:w="4900" w:type="dxa"/>
            <w:vAlign w:val="bottom"/>
          </w:tcPr>
          <w:p>
            <w:pPr>
              <w:ind w:left="400"/>
              <w:spacing w:after="0" w:line="169" w:lineRule="exact"/>
              <w:rPr>
                <w:sz w:val="20"/>
                <w:szCs w:val="20"/>
                <w:color w:val="auto"/>
              </w:rPr>
            </w:pPr>
            <w:r>
              <w:rPr>
                <w:rFonts w:ascii="Arial" w:cs="Arial" w:eastAsia="Arial" w:hAnsi="Arial"/>
                <w:sz w:val="15"/>
                <w:szCs w:val="15"/>
                <w:color w:val="auto"/>
              </w:rPr>
              <w:t>Interest expense related to the fair value adjustment of the</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900" w:type="dxa"/>
            <w:vAlign w:val="bottom"/>
          </w:tcPr>
          <w:p>
            <w:pPr>
              <w:ind w:left="520"/>
              <w:spacing w:after="0"/>
              <w:rPr>
                <w:sz w:val="20"/>
                <w:szCs w:val="20"/>
                <w:color w:val="auto"/>
              </w:rPr>
            </w:pPr>
            <w:r>
              <w:rPr>
                <w:rFonts w:ascii="Arial" w:cs="Arial" w:eastAsia="Arial" w:hAnsi="Arial"/>
                <w:sz w:val="15"/>
                <w:szCs w:val="15"/>
                <w:color w:val="auto"/>
              </w:rPr>
              <w:t>mandatorily redeemable noncontrolling interest</w:t>
            </w:r>
          </w:p>
        </w:tc>
        <w:tc>
          <w:tcPr>
            <w:tcW w:w="140" w:type="dxa"/>
            <w:vAlign w:val="bottom"/>
          </w:tcPr>
          <w:p>
            <w:pPr>
              <w:spacing w:after="0"/>
              <w:rPr>
                <w:sz w:val="19"/>
                <w:szCs w:val="19"/>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b w:val="1"/>
                <w:bCs w:val="1"/>
                <w:color w:val="auto"/>
              </w:rPr>
              <w:t>67,560</w:t>
            </w:r>
          </w:p>
        </w:tc>
        <w:tc>
          <w:tcPr>
            <w:tcW w:w="20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13,693</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53,867</w:t>
            </w:r>
          </w:p>
        </w:tc>
        <w:tc>
          <w:tcPr>
            <w:tcW w:w="280" w:type="dxa"/>
            <w:vAlign w:val="bottom"/>
          </w:tcPr>
          <w:p>
            <w:pPr>
              <w:spacing w:after="0"/>
              <w:rPr>
                <w:sz w:val="19"/>
                <w:szCs w:val="19"/>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75,415</w:t>
            </w:r>
          </w:p>
        </w:tc>
        <w:tc>
          <w:tcPr>
            <w:tcW w:w="24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12,241</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63,174</w:t>
            </w:r>
          </w:p>
        </w:tc>
        <w:tc>
          <w:tcPr>
            <w:tcW w:w="0" w:type="dxa"/>
            <w:vAlign w:val="bottom"/>
          </w:tcPr>
          <w:p>
            <w:pPr>
              <w:spacing w:after="0"/>
              <w:rPr>
                <w:sz w:val="1"/>
                <w:szCs w:val="1"/>
                <w:color w:val="auto"/>
              </w:rPr>
            </w:pPr>
          </w:p>
        </w:tc>
      </w:tr>
      <w:tr>
        <w:trPr>
          <w:trHeight w:val="216"/>
        </w:trPr>
        <w:tc>
          <w:tcPr>
            <w:tcW w:w="4900" w:type="dxa"/>
            <w:vAlign w:val="bottom"/>
          </w:tcPr>
          <w:p>
            <w:pPr>
              <w:ind w:left="400"/>
              <w:spacing w:after="0"/>
              <w:rPr>
                <w:sz w:val="20"/>
                <w:szCs w:val="20"/>
                <w:color w:val="auto"/>
              </w:rPr>
            </w:pPr>
            <w:r>
              <w:rPr>
                <w:rFonts w:ascii="Arial" w:cs="Arial" w:eastAsia="Arial" w:hAnsi="Arial"/>
                <w:sz w:val="15"/>
                <w:szCs w:val="15"/>
                <w:color w:val="auto"/>
              </w:rPr>
              <w:t>Net gains on marketable equity securities</w:t>
            </w:r>
          </w:p>
        </w:tc>
        <w:tc>
          <w:tcPr>
            <w:tcW w:w="140" w:type="dxa"/>
            <w:vAlign w:val="bottom"/>
          </w:tcPr>
          <w:p>
            <w:pPr>
              <w:spacing w:after="0"/>
              <w:rPr>
                <w:sz w:val="18"/>
                <w:szCs w:val="18"/>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b w:val="1"/>
                <w:bCs w:val="1"/>
                <w:color w:val="auto"/>
              </w:rPr>
              <w:t>(32,258)</w:t>
            </w:r>
          </w:p>
        </w:tc>
        <w:tc>
          <w:tcPr>
            <w:tcW w:w="20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(8,271)</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(23,987)</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(123,780)</w:t>
            </w:r>
          </w:p>
        </w:tc>
        <w:tc>
          <w:tcPr>
            <w:tcW w:w="24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(31,693)</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(92,087)</w:t>
            </w:r>
          </w:p>
        </w:tc>
        <w:tc>
          <w:tcPr>
            <w:tcW w:w="0" w:type="dxa"/>
            <w:vAlign w:val="bottom"/>
          </w:tcPr>
          <w:p>
            <w:pPr>
              <w:spacing w:after="0"/>
              <w:rPr>
                <w:sz w:val="1"/>
                <w:szCs w:val="1"/>
                <w:color w:val="auto"/>
              </w:rPr>
            </w:pPr>
          </w:p>
        </w:tc>
      </w:tr>
      <w:tr>
        <w:trPr>
          <w:trHeight w:val="170"/>
        </w:trPr>
        <w:tc>
          <w:tcPr>
            <w:tcW w:w="4900" w:type="dxa"/>
            <w:vAlign w:val="bottom"/>
          </w:tcPr>
          <w:p>
            <w:pPr>
              <w:ind w:left="400"/>
              <w:spacing w:after="0" w:line="169" w:lineRule="exact"/>
              <w:rPr>
                <w:sz w:val="20"/>
                <w:szCs w:val="20"/>
                <w:color w:val="auto"/>
              </w:rPr>
            </w:pPr>
            <w:r>
              <w:rPr>
                <w:rFonts w:ascii="Arial" w:cs="Arial" w:eastAsia="Arial" w:hAnsi="Arial"/>
                <w:sz w:val="15"/>
                <w:szCs w:val="15"/>
                <w:color w:val="auto"/>
              </w:rPr>
              <w:t>Net losses of affiliates whose operations are not managed by the</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900" w:type="dxa"/>
            <w:vAlign w:val="bottom"/>
          </w:tcPr>
          <w:p>
            <w:pPr>
              <w:ind w:left="520"/>
              <w:spacing w:after="0"/>
              <w:rPr>
                <w:sz w:val="20"/>
                <w:szCs w:val="20"/>
                <w:color w:val="auto"/>
              </w:rPr>
            </w:pPr>
            <w:r>
              <w:rPr>
                <w:rFonts w:ascii="Arial" w:cs="Arial" w:eastAsia="Arial" w:hAnsi="Arial"/>
                <w:sz w:val="15"/>
                <w:szCs w:val="15"/>
                <w:color w:val="auto"/>
              </w:rPr>
              <w:t>Company</w:t>
            </w:r>
          </w:p>
        </w:tc>
        <w:tc>
          <w:tcPr>
            <w:tcW w:w="140" w:type="dxa"/>
            <w:vAlign w:val="bottom"/>
          </w:tcPr>
          <w:p>
            <w:pPr>
              <w:spacing w:after="0"/>
              <w:rPr>
                <w:sz w:val="19"/>
                <w:szCs w:val="19"/>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b w:val="1"/>
                <w:bCs w:val="1"/>
                <w:color w:val="auto"/>
              </w:rPr>
              <w:t>12,323</w:t>
            </w:r>
          </w:p>
        </w:tc>
        <w:tc>
          <w:tcPr>
            <w:tcW w:w="20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3,160</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9,163</w:t>
            </w:r>
          </w:p>
        </w:tc>
        <w:tc>
          <w:tcPr>
            <w:tcW w:w="280" w:type="dxa"/>
            <w:vAlign w:val="bottom"/>
          </w:tcPr>
          <w:p>
            <w:pPr>
              <w:spacing w:after="0"/>
              <w:rPr>
                <w:sz w:val="19"/>
                <w:szCs w:val="19"/>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2,615</w:t>
            </w:r>
          </w:p>
        </w:tc>
        <w:tc>
          <w:tcPr>
            <w:tcW w:w="24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670</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1,945</w:t>
            </w:r>
          </w:p>
        </w:tc>
        <w:tc>
          <w:tcPr>
            <w:tcW w:w="0" w:type="dxa"/>
            <w:vAlign w:val="bottom"/>
          </w:tcPr>
          <w:p>
            <w:pPr>
              <w:spacing w:after="0"/>
              <w:rPr>
                <w:sz w:val="1"/>
                <w:szCs w:val="1"/>
                <w:color w:val="auto"/>
              </w:rPr>
            </w:pPr>
          </w:p>
        </w:tc>
      </w:tr>
      <w:tr>
        <w:trPr>
          <w:trHeight w:val="216"/>
        </w:trPr>
        <w:tc>
          <w:tcPr>
            <w:tcW w:w="4900" w:type="dxa"/>
            <w:vAlign w:val="bottom"/>
          </w:tcPr>
          <w:p>
            <w:pPr>
              <w:ind w:left="400"/>
              <w:spacing w:after="0"/>
              <w:rPr>
                <w:sz w:val="20"/>
                <w:szCs w:val="20"/>
                <w:color w:val="auto"/>
              </w:rPr>
            </w:pPr>
            <w:r>
              <w:rPr>
                <w:rFonts w:ascii="Arial" w:cs="Arial" w:eastAsia="Arial" w:hAnsi="Arial"/>
                <w:sz w:val="15"/>
                <w:szCs w:val="15"/>
                <w:color w:val="auto"/>
              </w:rPr>
              <w:t>Gain on sale of certain businesses and websites</w:t>
            </w:r>
          </w:p>
        </w:tc>
        <w:tc>
          <w:tcPr>
            <w:tcW w:w="140" w:type="dxa"/>
            <w:vAlign w:val="bottom"/>
          </w:tcPr>
          <w:p>
            <w:pPr>
              <w:spacing w:after="0"/>
              <w:rPr>
                <w:sz w:val="18"/>
                <w:szCs w:val="18"/>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(3,483)</w:t>
            </w:r>
          </w:p>
        </w:tc>
        <w:tc>
          <w:tcPr>
            <w:tcW w:w="24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(760)</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(2,723)</w:t>
            </w:r>
          </w:p>
        </w:tc>
        <w:tc>
          <w:tcPr>
            <w:tcW w:w="0" w:type="dxa"/>
            <w:vAlign w:val="bottom"/>
          </w:tcPr>
          <w:p>
            <w:pPr>
              <w:spacing w:after="0"/>
              <w:rPr>
                <w:sz w:val="1"/>
                <w:szCs w:val="1"/>
                <w:color w:val="auto"/>
              </w:rPr>
            </w:pPr>
          </w:p>
        </w:tc>
      </w:tr>
      <w:tr>
        <w:trPr>
          <w:trHeight w:val="214"/>
        </w:trPr>
        <w:tc>
          <w:tcPr>
            <w:tcW w:w="4900" w:type="dxa"/>
            <w:vAlign w:val="bottom"/>
          </w:tcPr>
          <w:p>
            <w:pPr>
              <w:ind w:left="400"/>
              <w:spacing w:after="0"/>
              <w:rPr>
                <w:sz w:val="20"/>
                <w:szCs w:val="20"/>
                <w:color w:val="auto"/>
              </w:rPr>
            </w:pPr>
            <w:r>
              <w:rPr>
                <w:rFonts w:ascii="Arial" w:cs="Arial" w:eastAsia="Arial" w:hAnsi="Arial"/>
                <w:sz w:val="15"/>
                <w:szCs w:val="15"/>
                <w:color w:val="auto"/>
              </w:rPr>
              <w:t>Non-operating loss from impairment of cost method investments</w:t>
            </w:r>
          </w:p>
        </w:tc>
        <w:tc>
          <w:tcPr>
            <w:tcW w:w="140" w:type="dxa"/>
            <w:vAlign w:val="bottom"/>
          </w:tcPr>
          <w:p>
            <w:pPr>
              <w:spacing w:after="0"/>
              <w:rPr>
                <w:sz w:val="18"/>
                <w:szCs w:val="18"/>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b w:val="1"/>
                <w:bCs w:val="1"/>
                <w:color w:val="auto"/>
              </w:rPr>
              <w:t>12,679</w:t>
            </w:r>
          </w:p>
        </w:tc>
        <w:tc>
          <w:tcPr>
            <w:tcW w:w="20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3,206</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9,473</w:t>
            </w:r>
          </w:p>
        </w:tc>
        <w:tc>
          <w:tcPr>
            <w:tcW w:w="280" w:type="dxa"/>
            <w:vAlign w:val="bottom"/>
          </w:tcPr>
          <w:p>
            <w:pPr>
              <w:spacing w:after="0"/>
              <w:rPr>
                <w:sz w:val="18"/>
                <w:szCs w:val="18"/>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744</w:t>
            </w:r>
          </w:p>
        </w:tc>
        <w:tc>
          <w:tcPr>
            <w:tcW w:w="24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191</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553</w:t>
            </w:r>
          </w:p>
        </w:tc>
        <w:tc>
          <w:tcPr>
            <w:tcW w:w="0" w:type="dxa"/>
            <w:vAlign w:val="bottom"/>
          </w:tcPr>
          <w:p>
            <w:pPr>
              <w:spacing w:after="0"/>
              <w:rPr>
                <w:sz w:val="1"/>
                <w:szCs w:val="1"/>
                <w:color w:val="auto"/>
              </w:rPr>
            </w:pPr>
          </w:p>
        </w:tc>
      </w:tr>
      <w:tr>
        <w:trPr>
          <w:trHeight w:val="210"/>
        </w:trPr>
        <w:tc>
          <w:tcPr>
            <w:tcW w:w="4900" w:type="dxa"/>
            <w:vAlign w:val="bottom"/>
          </w:tcPr>
          <w:p>
            <w:pPr>
              <w:ind w:left="180"/>
              <w:spacing w:after="0"/>
              <w:rPr>
                <w:sz w:val="20"/>
                <w:szCs w:val="20"/>
                <w:color w:val="auto"/>
              </w:rPr>
            </w:pPr>
            <w:r>
              <w:rPr>
                <w:rFonts w:ascii="Arial" w:cs="Arial" w:eastAsia="Arial" w:hAnsi="Arial"/>
                <w:sz w:val="15"/>
                <w:szCs w:val="15"/>
                <w:color w:val="auto"/>
              </w:rPr>
              <w:t>Net Income, adjusted (non-GAAP)</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114,098</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107,316</w:t>
            </w:r>
          </w:p>
        </w:tc>
        <w:tc>
          <w:tcPr>
            <w:tcW w:w="0" w:type="dxa"/>
            <w:vAlign w:val="bottom"/>
          </w:tcPr>
          <w:p>
            <w:pPr>
              <w:spacing w:after="0"/>
              <w:rPr>
                <w:sz w:val="1"/>
                <w:szCs w:val="1"/>
                <w:color w:val="auto"/>
              </w:rPr>
            </w:pPr>
          </w:p>
        </w:tc>
      </w:tr>
      <w:tr>
        <w:trPr>
          <w:trHeight w:val="298"/>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Per share information attributable to Graham Holdings Company</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Common Stockholders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900" w:type="dxa"/>
            <w:vAlign w:val="bottom"/>
          </w:tcPr>
          <w:p>
            <w:pPr>
              <w:ind w:left="180"/>
              <w:spacing w:after="0"/>
              <w:rPr>
                <w:sz w:val="20"/>
                <w:szCs w:val="20"/>
                <w:color w:val="auto"/>
              </w:rPr>
            </w:pPr>
            <w:r>
              <w:rPr>
                <w:rFonts w:ascii="Arial" w:cs="Arial" w:eastAsia="Arial" w:hAnsi="Arial"/>
                <w:sz w:val="15"/>
                <w:szCs w:val="15"/>
                <w:color w:val="auto"/>
              </w:rPr>
              <w:t>Diluted income per common share, as reported</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13.81</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23.11</w:t>
            </w:r>
          </w:p>
        </w:tc>
        <w:tc>
          <w:tcPr>
            <w:tcW w:w="0" w:type="dxa"/>
            <w:vAlign w:val="bottom"/>
          </w:tcPr>
          <w:p>
            <w:pPr>
              <w:spacing w:after="0"/>
              <w:rPr>
                <w:sz w:val="1"/>
                <w:szCs w:val="1"/>
                <w:color w:val="auto"/>
              </w:rPr>
            </w:pPr>
          </w:p>
        </w:tc>
      </w:tr>
      <w:tr>
        <w:trPr>
          <w:trHeight w:val="190"/>
        </w:trPr>
        <w:tc>
          <w:tcPr>
            <w:tcW w:w="4900" w:type="dxa"/>
            <w:vAlign w:val="bottom"/>
          </w:tcPr>
          <w:p>
            <w:pPr>
              <w:ind w:left="180"/>
              <w:spacing w:after="0"/>
              <w:rPr>
                <w:sz w:val="20"/>
                <w:szCs w:val="20"/>
                <w:color w:val="auto"/>
              </w:rPr>
            </w:pPr>
            <w:r>
              <w:rPr>
                <w:rFonts w:ascii="Arial" w:cs="Arial" w:eastAsia="Arial" w:hAnsi="Arial"/>
                <w:sz w:val="15"/>
                <w:szCs w:val="15"/>
                <w:color w:val="auto"/>
              </w:rPr>
              <w:t>Adjustments:</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900" w:type="dxa"/>
            <w:vAlign w:val="bottom"/>
          </w:tcPr>
          <w:p>
            <w:pPr>
              <w:ind w:left="400"/>
              <w:spacing w:after="0"/>
              <w:rPr>
                <w:sz w:val="20"/>
                <w:szCs w:val="20"/>
                <w:color w:val="auto"/>
              </w:rPr>
            </w:pPr>
            <w:r>
              <w:rPr>
                <w:rFonts w:ascii="Arial" w:cs="Arial" w:eastAsia="Arial" w:hAnsi="Arial"/>
                <w:sz w:val="15"/>
                <w:szCs w:val="15"/>
                <w:color w:val="auto"/>
              </w:rPr>
              <w:t>Goodwill and intangible asset impairment charges</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4.60</w:t>
            </w:r>
          </w:p>
        </w:tc>
        <w:tc>
          <w:tcPr>
            <w:tcW w:w="0" w:type="dxa"/>
            <w:vAlign w:val="bottom"/>
          </w:tcPr>
          <w:p>
            <w:pPr>
              <w:spacing w:after="0"/>
              <w:rPr>
                <w:sz w:val="1"/>
                <w:szCs w:val="1"/>
                <w:color w:val="auto"/>
              </w:rPr>
            </w:pPr>
          </w:p>
        </w:tc>
      </w:tr>
      <w:tr>
        <w:trPr>
          <w:trHeight w:val="170"/>
        </w:trPr>
        <w:tc>
          <w:tcPr>
            <w:tcW w:w="4900" w:type="dxa"/>
            <w:vAlign w:val="bottom"/>
          </w:tcPr>
          <w:p>
            <w:pPr>
              <w:ind w:left="400"/>
              <w:spacing w:after="0" w:line="169" w:lineRule="exact"/>
              <w:rPr>
                <w:sz w:val="20"/>
                <w:szCs w:val="20"/>
                <w:color w:val="auto"/>
              </w:rPr>
            </w:pPr>
            <w:r>
              <w:rPr>
                <w:rFonts w:ascii="Arial" w:cs="Arial" w:eastAsia="Arial" w:hAnsi="Arial"/>
                <w:sz w:val="15"/>
                <w:szCs w:val="15"/>
                <w:color w:val="auto"/>
              </w:rPr>
              <w:t>Charges related to non-operating Separation Incentive Programs</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900" w:type="dxa"/>
            <w:vAlign w:val="bottom"/>
          </w:tcPr>
          <w:p>
            <w:pPr>
              <w:ind w:left="520"/>
              <w:spacing w:after="0"/>
              <w:rPr>
                <w:sz w:val="20"/>
                <w:szCs w:val="20"/>
                <w:color w:val="auto"/>
              </w:rPr>
            </w:pPr>
            <w:r>
              <w:rPr>
                <w:rFonts w:ascii="Arial" w:cs="Arial" w:eastAsia="Arial" w:hAnsi="Arial"/>
                <w:sz w:val="15"/>
                <w:szCs w:val="15"/>
                <w:color w:val="auto"/>
              </w:rPr>
              <w:t>and Voluntary Retirement Incentive Program</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1.12</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2.80</w:t>
            </w:r>
          </w:p>
        </w:tc>
        <w:tc>
          <w:tcPr>
            <w:tcW w:w="0" w:type="dxa"/>
            <w:vAlign w:val="bottom"/>
          </w:tcPr>
          <w:p>
            <w:pPr>
              <w:spacing w:after="0"/>
              <w:rPr>
                <w:sz w:val="1"/>
                <w:szCs w:val="1"/>
                <w:color w:val="auto"/>
              </w:rPr>
            </w:pPr>
          </w:p>
        </w:tc>
      </w:tr>
      <w:tr>
        <w:trPr>
          <w:trHeight w:val="170"/>
        </w:trPr>
        <w:tc>
          <w:tcPr>
            <w:tcW w:w="4900" w:type="dxa"/>
            <w:vAlign w:val="bottom"/>
          </w:tcPr>
          <w:p>
            <w:pPr>
              <w:ind w:left="400"/>
              <w:spacing w:after="0" w:line="169" w:lineRule="exact"/>
              <w:rPr>
                <w:sz w:val="20"/>
                <w:szCs w:val="20"/>
                <w:color w:val="auto"/>
              </w:rPr>
            </w:pPr>
            <w:r>
              <w:rPr>
                <w:rFonts w:ascii="Arial" w:cs="Arial" w:eastAsia="Arial" w:hAnsi="Arial"/>
                <w:sz w:val="15"/>
                <w:szCs w:val="15"/>
                <w:color w:val="auto"/>
              </w:rPr>
              <w:t>Interest expense related to the fair value adjustment of the</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900" w:type="dxa"/>
            <w:vAlign w:val="bottom"/>
          </w:tcPr>
          <w:p>
            <w:pPr>
              <w:ind w:left="520"/>
              <w:spacing w:after="0"/>
              <w:rPr>
                <w:sz w:val="20"/>
                <w:szCs w:val="20"/>
                <w:color w:val="auto"/>
              </w:rPr>
            </w:pPr>
            <w:r>
              <w:rPr>
                <w:rFonts w:ascii="Arial" w:cs="Arial" w:eastAsia="Arial" w:hAnsi="Arial"/>
                <w:sz w:val="15"/>
                <w:szCs w:val="15"/>
                <w:color w:val="auto"/>
              </w:rPr>
              <w:t>mandatorily redeemable noncontrolling interest</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12.26</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14.13</w:t>
            </w:r>
          </w:p>
        </w:tc>
        <w:tc>
          <w:tcPr>
            <w:tcW w:w="0" w:type="dxa"/>
            <w:vAlign w:val="bottom"/>
          </w:tcPr>
          <w:p>
            <w:pPr>
              <w:spacing w:after="0"/>
              <w:rPr>
                <w:sz w:val="1"/>
                <w:szCs w:val="1"/>
                <w:color w:val="auto"/>
              </w:rPr>
            </w:pPr>
          </w:p>
        </w:tc>
      </w:tr>
      <w:tr>
        <w:trPr>
          <w:trHeight w:val="216"/>
        </w:trPr>
        <w:tc>
          <w:tcPr>
            <w:tcW w:w="4900" w:type="dxa"/>
            <w:vAlign w:val="bottom"/>
          </w:tcPr>
          <w:p>
            <w:pPr>
              <w:ind w:left="400"/>
              <w:spacing w:after="0"/>
              <w:rPr>
                <w:sz w:val="20"/>
                <w:szCs w:val="20"/>
                <w:color w:val="auto"/>
              </w:rPr>
            </w:pPr>
            <w:r>
              <w:rPr>
                <w:rFonts w:ascii="Arial" w:cs="Arial" w:eastAsia="Arial" w:hAnsi="Arial"/>
                <w:sz w:val="15"/>
                <w:szCs w:val="15"/>
                <w:color w:val="auto"/>
              </w:rPr>
              <w:t>Net gains on marketable equity securities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(5.46)</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(20.59)</w:t>
            </w:r>
          </w:p>
        </w:tc>
        <w:tc>
          <w:tcPr>
            <w:tcW w:w="0" w:type="dxa"/>
            <w:vAlign w:val="bottom"/>
          </w:tcPr>
          <w:p>
            <w:pPr>
              <w:spacing w:after="0"/>
              <w:rPr>
                <w:sz w:val="1"/>
                <w:szCs w:val="1"/>
                <w:color w:val="auto"/>
              </w:rPr>
            </w:pPr>
          </w:p>
        </w:tc>
      </w:tr>
      <w:tr>
        <w:trPr>
          <w:trHeight w:val="170"/>
        </w:trPr>
        <w:tc>
          <w:tcPr>
            <w:tcW w:w="4900" w:type="dxa"/>
            <w:vAlign w:val="bottom"/>
          </w:tcPr>
          <w:p>
            <w:pPr>
              <w:ind w:left="400"/>
              <w:spacing w:after="0" w:line="169" w:lineRule="exact"/>
              <w:rPr>
                <w:sz w:val="20"/>
                <w:szCs w:val="20"/>
                <w:color w:val="auto"/>
              </w:rPr>
            </w:pPr>
            <w:r>
              <w:rPr>
                <w:rFonts w:ascii="Arial" w:cs="Arial" w:eastAsia="Arial" w:hAnsi="Arial"/>
                <w:sz w:val="15"/>
                <w:szCs w:val="15"/>
                <w:color w:val="auto"/>
              </w:rPr>
              <w:t>Net losses of affiliates whose operations are not managed by the</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900" w:type="dxa"/>
            <w:vAlign w:val="bottom"/>
          </w:tcPr>
          <w:p>
            <w:pPr>
              <w:ind w:left="520"/>
              <w:spacing w:after="0"/>
              <w:rPr>
                <w:sz w:val="20"/>
                <w:szCs w:val="20"/>
                <w:color w:val="auto"/>
              </w:rPr>
            </w:pPr>
            <w:r>
              <w:rPr>
                <w:rFonts w:ascii="Arial" w:cs="Arial" w:eastAsia="Arial" w:hAnsi="Arial"/>
                <w:sz w:val="15"/>
                <w:szCs w:val="15"/>
                <w:color w:val="auto"/>
              </w:rPr>
              <w:t>Company</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2.09</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0.43</w:t>
            </w:r>
          </w:p>
        </w:tc>
        <w:tc>
          <w:tcPr>
            <w:tcW w:w="0" w:type="dxa"/>
            <w:vAlign w:val="bottom"/>
          </w:tcPr>
          <w:p>
            <w:pPr>
              <w:spacing w:after="0"/>
              <w:rPr>
                <w:sz w:val="1"/>
                <w:szCs w:val="1"/>
                <w:color w:val="auto"/>
              </w:rPr>
            </w:pPr>
          </w:p>
        </w:tc>
      </w:tr>
      <w:tr>
        <w:trPr>
          <w:trHeight w:val="216"/>
        </w:trPr>
        <w:tc>
          <w:tcPr>
            <w:tcW w:w="4900" w:type="dxa"/>
            <w:vAlign w:val="bottom"/>
          </w:tcPr>
          <w:p>
            <w:pPr>
              <w:ind w:left="400"/>
              <w:spacing w:after="0"/>
              <w:rPr>
                <w:sz w:val="20"/>
                <w:szCs w:val="20"/>
                <w:color w:val="auto"/>
              </w:rPr>
            </w:pPr>
            <w:r>
              <w:rPr>
                <w:rFonts w:ascii="Arial" w:cs="Arial" w:eastAsia="Arial" w:hAnsi="Arial"/>
                <w:sz w:val="15"/>
                <w:szCs w:val="15"/>
                <w:color w:val="auto"/>
              </w:rPr>
              <w:t>Gain on sale of certain businesses and websites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(0.61)</w:t>
            </w:r>
          </w:p>
        </w:tc>
        <w:tc>
          <w:tcPr>
            <w:tcW w:w="0" w:type="dxa"/>
            <w:vAlign w:val="bottom"/>
          </w:tcPr>
          <w:p>
            <w:pPr>
              <w:spacing w:after="0"/>
              <w:rPr>
                <w:sz w:val="1"/>
                <w:szCs w:val="1"/>
                <w:color w:val="auto"/>
              </w:rPr>
            </w:pPr>
          </w:p>
        </w:tc>
      </w:tr>
      <w:tr>
        <w:trPr>
          <w:trHeight w:val="214"/>
        </w:trPr>
        <w:tc>
          <w:tcPr>
            <w:tcW w:w="4900" w:type="dxa"/>
            <w:vAlign w:val="bottom"/>
          </w:tcPr>
          <w:p>
            <w:pPr>
              <w:ind w:left="400"/>
              <w:spacing w:after="0"/>
              <w:rPr>
                <w:sz w:val="20"/>
                <w:szCs w:val="20"/>
                <w:color w:val="auto"/>
              </w:rPr>
            </w:pPr>
            <w:r>
              <w:rPr>
                <w:rFonts w:ascii="Arial" w:cs="Arial" w:eastAsia="Arial" w:hAnsi="Arial"/>
                <w:sz w:val="15"/>
                <w:szCs w:val="15"/>
                <w:color w:val="auto"/>
              </w:rPr>
              <w:t>Non-operating loss from impairment of cost method investments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2.16</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0.12</w:t>
            </w:r>
          </w:p>
        </w:tc>
        <w:tc>
          <w:tcPr>
            <w:tcW w:w="0" w:type="dxa"/>
            <w:vAlign w:val="bottom"/>
          </w:tcPr>
          <w:p>
            <w:pPr>
              <w:spacing w:after="0"/>
              <w:rPr>
                <w:sz w:val="1"/>
                <w:szCs w:val="1"/>
                <w:color w:val="auto"/>
              </w:rPr>
            </w:pPr>
          </w:p>
        </w:tc>
      </w:tr>
      <w:tr>
        <w:trPr>
          <w:trHeight w:val="209"/>
        </w:trPr>
        <w:tc>
          <w:tcPr>
            <w:tcW w:w="4900" w:type="dxa"/>
            <w:vAlign w:val="bottom"/>
          </w:tcPr>
          <w:p>
            <w:pPr>
              <w:ind w:left="180"/>
              <w:spacing w:after="0"/>
              <w:rPr>
                <w:sz w:val="20"/>
                <w:szCs w:val="20"/>
                <w:color w:val="auto"/>
              </w:rPr>
            </w:pPr>
            <w:r>
              <w:rPr>
                <w:rFonts w:ascii="Arial" w:cs="Arial" w:eastAsia="Arial" w:hAnsi="Arial"/>
                <w:sz w:val="15"/>
                <w:szCs w:val="15"/>
                <w:color w:val="auto"/>
              </w:rPr>
              <w:t>Diluted income per common share, adjusted (non-GAAP)</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25.98</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23.99</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The adjusted diluted per share amounts may not compute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w:t>
      </w:r>
    </w:p>
    <w:sectPr>
      <w:pgSz w:w="11900" w:h="16838" w:orient="portrait"/>
      <w:cols w:equalWidth="0" w:num="1">
        <w:col w:w="11200"/>
      </w:cols>
      <w:pgMar w:left="320" w:top="109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2025-07-30T07:34:02Z</dcterms:created>
  <dcterms:modified xsi:type="dcterms:W3CDTF">2025-07-30T07:34:02Z</dcterms:modified>
</cp:coreProperties>
</file>