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O'Shaughnessy Timothy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140"/>
        <w:spacing w:after="0" w:line="369" w:lineRule="auto"/>
        <w:rPr>
          <w:sz w:val="20"/>
          <w:szCs w:val="20"/>
          <w:color w:val="auto"/>
        </w:rPr>
      </w:pPr>
      <w:r>
        <w:rPr>
          <w:rFonts w:ascii="Arial" w:cs="Arial" w:eastAsia="Arial" w:hAnsi="Arial"/>
          <w:sz w:val="15"/>
          <w:szCs w:val="15"/>
          <w:color w:val="0000FF"/>
        </w:rPr>
        <w:t>C/O GRAHAM HOLDINGS COMPANY 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Graham Holdings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09/10/2020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3"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53"/>
        <w:spacing w:after="0"/>
        <w:rPr>
          <w:sz w:val="20"/>
          <w:szCs w:val="20"/>
          <w:color w:val="auto"/>
        </w:rPr>
      </w:pPr>
      <w:r>
        <w:rPr>
          <w:rFonts w:ascii="Arial" w:cs="Arial" w:eastAsia="Arial" w:hAnsi="Arial"/>
          <w:sz w:val="17"/>
          <w:szCs w:val="17"/>
          <w:color w:val="0000FF"/>
        </w:rPr>
        <w:t>President and CEO</w:t>
      </w:r>
    </w:p>
    <w:p>
      <w:pPr>
        <w:spacing w:after="0" w:line="399"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740" w:type="dxa"/>
            <w:vAlign w:val="bottom"/>
            <w:gridSpan w:val="7"/>
            <w:vMerge w:val="restart"/>
          </w:tcPr>
          <w:p>
            <w:pPr>
              <w:ind w:left="160"/>
              <w:spacing w:after="0" w:line="118"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vMerge w:val="restart"/>
          </w:tcPr>
          <w:p>
            <w:pPr>
              <w:ind w:left="240"/>
              <w:spacing w:after="0" w:line="11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740" w:type="dxa"/>
            <w:vAlign w:val="bottom"/>
            <w:gridSpan w:val="7"/>
            <w:vMerge w:val="continue"/>
          </w:tcPr>
          <w:p>
            <w:pPr>
              <w:spacing w:after="0" w:line="20" w:lineRule="exact"/>
              <w:rPr>
                <w:sz w:val="1"/>
                <w:szCs w:val="1"/>
                <w:color w:val="auto"/>
              </w:rPr>
            </w:pPr>
          </w:p>
        </w:tc>
        <w:tc>
          <w:tcPr>
            <w:tcW w:w="360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3"/>
          </w:tcPr>
          <w:p>
            <w:pPr>
              <w:ind w:left="300"/>
              <w:spacing w:after="0"/>
              <w:rPr>
                <w:sz w:val="20"/>
                <w:szCs w:val="20"/>
                <w:color w:val="auto"/>
              </w:rPr>
            </w:pPr>
            <w:r>
              <w:rPr>
                <w:rFonts w:ascii="Arial" w:cs="Arial" w:eastAsia="Arial" w:hAnsi="Arial"/>
                <w:sz w:val="17"/>
                <w:szCs w:val="17"/>
                <w:color w:val="0000FF"/>
              </w:rPr>
              <w:t>09/14/2020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ARLINGTON</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VA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22209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0" w:type="dxa"/>
            <w:vAlign w:val="bottom"/>
            <w:gridSpan w:val="11"/>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160"/>
              <w:spacing w:after="0" w:line="114"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w w:val="97"/>
              </w:rPr>
              <w:t>$</w:t>
            </w:r>
            <w:r>
              <w:rPr>
                <w:rFonts w:ascii="Arial" w:cs="Arial" w:eastAsia="Arial" w:hAnsi="Arial"/>
                <w:sz w:val="12"/>
                <w:szCs w:val="12"/>
                <w:color w:val="0000FF"/>
                <w:w w:val="97"/>
              </w:rPr>
              <w:t>426.86</w:t>
            </w:r>
          </w:p>
        </w:tc>
        <w:tc>
          <w:tcPr>
            <w:tcW w:w="1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3"/>
                <w:szCs w:val="13"/>
                <w:color w:val="0000FF"/>
              </w:rPr>
              <w:t>09/10/2020</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77,258</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09/10/2030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77,258</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77,258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-2639060</wp:posOffset>
            </wp:positionV>
            <wp:extent cx="7034530" cy="2776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768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spacing w:after="0" w:line="28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As previously reported on a Form 4 filed on September 14, 2020 by the reporting person, the reporting person reported acquiring stock options to purchase 85,000 shares of common stock pursuant to the Company's 2012 Incentive Compensation Plan (the "2012 ICP"). However, the Company subsequently determined that stock options to purchase 7,742 shares of common stock were not validly granted pursuant to the 2012 ICP because such stock options exceeded the limit on the number of stock options that may be granted to any individual participant within any 12-month period. Accordingly, the attempted grant of these excess stock options was ineffective, and such excess stock options were never granted to the reporting person. The reporting person is filing this amendment to report the correct amount of stock options acquired.</w:t>
      </w:r>
    </w:p>
    <w:p>
      <w:pPr>
        <w:spacing w:after="0" w:line="4" w:lineRule="exact"/>
        <w:rPr>
          <w:rFonts w:ascii="Arial" w:cs="Arial" w:eastAsia="Arial" w:hAnsi="Arial"/>
          <w:sz w:val="11"/>
          <w:szCs w:val="11"/>
          <w:color w:val="008000"/>
        </w:rPr>
      </w:pPr>
    </w:p>
    <w:p>
      <w:pPr>
        <w:ind w:left="40" w:right="66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the stock option, with 12,876 vesting on each of September 10, 2021, September 10, 2022, September 10, 2023 and September 10, 2024 and 12,877 vesting on each of September 10, 2025 and September 10, 2026.</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Nicole M. Maddrey for</w:t>
            </w:r>
          </w:p>
        </w:tc>
        <w:tc>
          <w:tcPr>
            <w:tcW w:w="46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Timothy J. O'Shaughnessy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1362"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2021-03-08T20:51:56Z</dcterms:created>
  <dcterms:modified xsi:type="dcterms:W3CDTF">2021-03-08T20:51:56Z</dcterms:modified>
</cp:coreProperties>
</file>