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80"/>
          </w:cols>
          <w:pgMar w:left="240" w:top="226" w:right="25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GRAHAM DONALD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366" w:lineRule="auto"/>
        <w:rPr>
          <w:sz w:val="20"/>
          <w:szCs w:val="20"/>
          <w:color w:val="auto"/>
        </w:rPr>
      </w:pPr>
      <w:r>
        <w:rPr>
          <w:rFonts w:ascii="Arial" w:cs="Arial" w:eastAsia="Arial" w:hAnsi="Arial"/>
          <w:sz w:val="16"/>
          <w:szCs w:val="16"/>
          <w:color w:val="0000FF"/>
        </w:rPr>
        <w:t>C/O GRAHAM HOLDINGS COMPANY 1300 NORTH 17TH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Graham Holdings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GHC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CEO and COB</w:t>
      </w:r>
    </w:p>
    <w:p>
      <w:pPr>
        <w:spacing w:after="0" w:line="422" w:lineRule="exact"/>
        <w:rPr>
          <w:sz w:val="24"/>
          <w:szCs w:val="24"/>
          <w:color w:val="auto"/>
        </w:rPr>
      </w:pPr>
    </w:p>
    <w:p>
      <w:pPr>
        <w:sectPr>
          <w:pgSz w:w="11900" w:h="16838" w:orient="portrait"/>
          <w:cols w:equalWidth="0" w:num="3">
            <w:col w:w="3360" w:space="720"/>
            <w:col w:w="3257" w:space="720"/>
            <w:col w:w="3343"/>
          </w:cols>
          <w:pgMar w:left="240" w:top="226" w:right="259" w:bottom="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ARLINGTON</w:t>
            </w:r>
          </w:p>
        </w:tc>
        <w:tc>
          <w:tcPr>
            <w:tcW w:w="960" w:type="dxa"/>
            <w:vAlign w:val="bottom"/>
          </w:tcPr>
          <w:p>
            <w:pPr>
              <w:ind w:left="120"/>
              <w:spacing w:after="0"/>
              <w:rPr>
                <w:sz w:val="20"/>
                <w:szCs w:val="20"/>
                <w:color w:val="auto"/>
              </w:rPr>
            </w:pPr>
            <w:r>
              <w:rPr>
                <w:rFonts w:ascii="Arial" w:cs="Arial" w:eastAsia="Arial" w:hAnsi="Arial"/>
                <w:sz w:val="18"/>
                <w:szCs w:val="18"/>
                <w:color w:val="0000FF"/>
              </w:rPr>
              <w:t>VA</w:t>
            </w:r>
          </w:p>
        </w:tc>
        <w:tc>
          <w:tcPr>
            <w:tcW w:w="1680" w:type="dxa"/>
            <w:vAlign w:val="bottom"/>
          </w:tcPr>
          <w:p>
            <w:pPr>
              <w:ind w:left="420"/>
              <w:spacing w:after="0"/>
              <w:rPr>
                <w:sz w:val="20"/>
                <w:szCs w:val="20"/>
                <w:color w:val="auto"/>
              </w:rPr>
            </w:pPr>
            <w:r>
              <w:rPr>
                <w:rFonts w:ascii="Arial" w:cs="Arial" w:eastAsia="Arial" w:hAnsi="Arial"/>
                <w:sz w:val="18"/>
                <w:szCs w:val="18"/>
                <w:color w:val="0000FF"/>
              </w:rPr>
              <w:t>22209</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20"/>
          </w:cols>
          <w:pgMar w:left="240" w:top="226" w:right="25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Of (D) (Instr. 3, 4 and 5)</w:t>
            </w:r>
          </w:p>
        </w:tc>
        <w:tc>
          <w:tcPr>
            <w:tcW w:w="9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660" w:type="dxa"/>
            <w:vAlign w:val="bottom"/>
          </w:tcPr>
          <w:p>
            <w:pPr>
              <w:jc w:val="center"/>
              <w:ind w:left="457"/>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3,087</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40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57"/>
              <w:spacing w:after="0"/>
              <w:rPr>
                <w:sz w:val="20"/>
                <w:szCs w:val="20"/>
                <w:color w:val="auto"/>
              </w:rPr>
            </w:pPr>
            <w:r>
              <w:rPr>
                <w:rFonts w:ascii="Arial" w:cs="Arial" w:eastAsia="Arial" w:hAnsi="Arial"/>
                <w:sz w:val="18"/>
                <w:szCs w:val="18"/>
                <w:color w:val="0000FF"/>
                <w:w w:val="88"/>
              </w:rPr>
              <w:t>06/04/2015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2,084.02</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1,070.07</w:t>
            </w:r>
            <w:r>
              <w:rPr>
                <w:rFonts w:ascii="Arial" w:cs="Arial" w:eastAsia="Arial" w:hAnsi="Arial"/>
                <w:sz w:val="22"/>
                <w:szCs w:val="22"/>
                <w:color w:val="008000"/>
                <w:w w:val="85"/>
                <w:vertAlign w:val="superscript"/>
              </w:rPr>
              <w:t>(3)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63,705.98</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0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57"/>
              <w:spacing w:after="0"/>
              <w:rPr>
                <w:sz w:val="20"/>
                <w:szCs w:val="20"/>
                <w:color w:val="auto"/>
              </w:rPr>
            </w:pPr>
            <w:r>
              <w:rPr>
                <w:rFonts w:ascii="Arial" w:cs="Arial" w:eastAsia="Arial" w:hAnsi="Arial"/>
                <w:sz w:val="18"/>
                <w:szCs w:val="18"/>
                <w:color w:val="0000FF"/>
                <w:w w:val="88"/>
              </w:rPr>
              <w:t>06/04/2015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1,608.69</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1,071.75</w:t>
            </w:r>
            <w:r>
              <w:rPr>
                <w:rFonts w:ascii="Arial" w:cs="Arial" w:eastAsia="Arial" w:hAnsi="Arial"/>
                <w:sz w:val="22"/>
                <w:szCs w:val="22"/>
                <w:color w:val="008000"/>
                <w:w w:val="85"/>
                <w:vertAlign w:val="superscript"/>
              </w:rPr>
              <w:t>(4)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62,097.28</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0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57"/>
              <w:spacing w:after="0"/>
              <w:rPr>
                <w:sz w:val="20"/>
                <w:szCs w:val="20"/>
                <w:color w:val="auto"/>
              </w:rPr>
            </w:pPr>
            <w:r>
              <w:rPr>
                <w:rFonts w:ascii="Arial" w:cs="Arial" w:eastAsia="Arial" w:hAnsi="Arial"/>
                <w:sz w:val="18"/>
                <w:szCs w:val="18"/>
                <w:color w:val="0000FF"/>
                <w:w w:val="88"/>
              </w:rPr>
              <w:t>06/04/2015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347.61</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1,072.3</w:t>
            </w:r>
            <w:r>
              <w:rPr>
                <w:rFonts w:ascii="Arial" w:cs="Arial" w:eastAsia="Arial" w:hAnsi="Arial"/>
                <w:sz w:val="22"/>
                <w:szCs w:val="22"/>
                <w:color w:val="008000"/>
                <w:w w:val="86"/>
                <w:vertAlign w:val="superscript"/>
              </w:rPr>
              <w:t>(5)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61,749.68</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0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57"/>
              <w:spacing w:after="0"/>
              <w:rPr>
                <w:sz w:val="20"/>
                <w:szCs w:val="20"/>
                <w:color w:val="auto"/>
              </w:rPr>
            </w:pPr>
            <w:r>
              <w:rPr>
                <w:rFonts w:ascii="Arial" w:cs="Arial" w:eastAsia="Arial" w:hAnsi="Arial"/>
                <w:sz w:val="18"/>
                <w:szCs w:val="18"/>
                <w:color w:val="0000FF"/>
                <w:w w:val="88"/>
              </w:rPr>
              <w:t>06/04/2015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161.68</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1,073.34</w:t>
            </w:r>
            <w:r>
              <w:rPr>
                <w:rFonts w:ascii="Arial" w:cs="Arial" w:eastAsia="Arial" w:hAnsi="Arial"/>
                <w:sz w:val="22"/>
                <w:szCs w:val="22"/>
                <w:color w:val="008000"/>
                <w:w w:val="85"/>
                <w:vertAlign w:val="superscript"/>
              </w:rPr>
              <w:t>(6)</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61,588</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0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57"/>
              <w:spacing w:after="0"/>
              <w:rPr>
                <w:sz w:val="20"/>
                <w:szCs w:val="20"/>
                <w:color w:val="auto"/>
              </w:rPr>
            </w:pPr>
            <w:r>
              <w:rPr>
                <w:rFonts w:ascii="Arial" w:cs="Arial" w:eastAsia="Arial" w:hAnsi="Arial"/>
                <w:sz w:val="18"/>
                <w:szCs w:val="18"/>
                <w:color w:val="0000FF"/>
                <w:w w:val="88"/>
              </w:rPr>
              <w:t>06/05/2015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732.92</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1,070.27</w:t>
            </w:r>
            <w:r>
              <w:rPr>
                <w:rFonts w:ascii="Arial" w:cs="Arial" w:eastAsia="Arial" w:hAnsi="Arial"/>
                <w:sz w:val="22"/>
                <w:szCs w:val="22"/>
                <w:color w:val="008000"/>
                <w:w w:val="85"/>
                <w:vertAlign w:val="superscript"/>
              </w:rPr>
              <w:t>(7)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60,855.08</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0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57"/>
              <w:spacing w:after="0"/>
              <w:rPr>
                <w:sz w:val="20"/>
                <w:szCs w:val="20"/>
                <w:color w:val="auto"/>
              </w:rPr>
            </w:pPr>
            <w:r>
              <w:rPr>
                <w:rFonts w:ascii="Arial" w:cs="Arial" w:eastAsia="Arial" w:hAnsi="Arial"/>
                <w:sz w:val="18"/>
                <w:szCs w:val="18"/>
                <w:color w:val="0000FF"/>
                <w:w w:val="88"/>
              </w:rPr>
              <w:t>06/05/2015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808.08</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1,071.86</w:t>
            </w:r>
            <w:r>
              <w:rPr>
                <w:rFonts w:ascii="Arial" w:cs="Arial" w:eastAsia="Arial" w:hAnsi="Arial"/>
                <w:sz w:val="22"/>
                <w:szCs w:val="22"/>
                <w:color w:val="008000"/>
                <w:w w:val="85"/>
                <w:vertAlign w:val="superscript"/>
              </w:rPr>
              <w:t>(8)</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60,047</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0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57"/>
              <w:spacing w:after="0"/>
              <w:rPr>
                <w:sz w:val="20"/>
                <w:szCs w:val="20"/>
                <w:color w:val="auto"/>
              </w:rPr>
            </w:pPr>
            <w:r>
              <w:rPr>
                <w:rFonts w:ascii="Arial" w:cs="Arial" w:eastAsia="Arial" w:hAnsi="Arial"/>
                <w:sz w:val="18"/>
                <w:szCs w:val="18"/>
                <w:color w:val="0000FF"/>
                <w:w w:val="88"/>
              </w:rPr>
              <w:t>06/08/2015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3,361.08</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1,070.26</w:t>
            </w:r>
            <w:r>
              <w:rPr>
                <w:rFonts w:ascii="Arial" w:cs="Arial" w:eastAsia="Arial" w:hAnsi="Arial"/>
                <w:sz w:val="22"/>
                <w:szCs w:val="22"/>
                <w:color w:val="008000"/>
                <w:w w:val="85"/>
                <w:vertAlign w:val="superscript"/>
              </w:rPr>
              <w:t>(9)</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56,685.92</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0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57"/>
              <w:spacing w:after="0"/>
              <w:rPr>
                <w:sz w:val="20"/>
                <w:szCs w:val="20"/>
                <w:color w:val="auto"/>
              </w:rPr>
            </w:pPr>
            <w:r>
              <w:rPr>
                <w:rFonts w:ascii="Arial" w:cs="Arial" w:eastAsia="Arial" w:hAnsi="Arial"/>
                <w:sz w:val="18"/>
                <w:szCs w:val="18"/>
                <w:color w:val="0000FF"/>
                <w:w w:val="88"/>
              </w:rPr>
              <w:t>06/08/2015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189.11</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1,071.22</w:t>
            </w:r>
            <w:r>
              <w:rPr>
                <w:rFonts w:ascii="Arial" w:cs="Arial" w:eastAsia="Arial" w:hAnsi="Arial"/>
                <w:sz w:val="22"/>
                <w:szCs w:val="22"/>
                <w:color w:val="008000"/>
                <w:w w:val="84"/>
                <w:vertAlign w:val="superscript"/>
              </w:rPr>
              <w:t>(10)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56,496.81</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0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57"/>
              <w:spacing w:after="0"/>
              <w:rPr>
                <w:sz w:val="20"/>
                <w:szCs w:val="20"/>
                <w:color w:val="auto"/>
              </w:rPr>
            </w:pPr>
            <w:r>
              <w:rPr>
                <w:rFonts w:ascii="Arial" w:cs="Arial" w:eastAsia="Arial" w:hAnsi="Arial"/>
                <w:sz w:val="18"/>
                <w:szCs w:val="18"/>
                <w:color w:val="0000FF"/>
                <w:w w:val="88"/>
              </w:rPr>
              <w:t>06/08/2015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80.81</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1,072.07</w:t>
            </w:r>
            <w:r>
              <w:rPr>
                <w:rFonts w:ascii="Arial" w:cs="Arial" w:eastAsia="Arial" w:hAnsi="Arial"/>
                <w:sz w:val="22"/>
                <w:szCs w:val="22"/>
                <w:color w:val="008000"/>
                <w:w w:val="85"/>
                <w:vertAlign w:val="superscript"/>
              </w:rPr>
              <w:t>(4)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56,416</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0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9,200</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w w:val="94"/>
              </w:rPr>
              <w:t>Children</w:t>
            </w:r>
            <w:r>
              <w:rPr>
                <w:rFonts w:ascii="Arial" w:cs="Arial" w:eastAsia="Arial" w:hAnsi="Arial"/>
                <w:sz w:val="22"/>
                <w:szCs w:val="22"/>
                <w:color w:val="008000"/>
                <w:w w:val="94"/>
                <w:vertAlign w:val="superscript"/>
              </w:rPr>
              <w:t>(1)</w:t>
            </w:r>
          </w:p>
        </w:tc>
        <w:tc>
          <w:tcPr>
            <w:tcW w:w="0" w:type="dxa"/>
            <w:vAlign w:val="bottom"/>
          </w:tcPr>
          <w:p>
            <w:pPr>
              <w:spacing w:after="0"/>
              <w:rPr>
                <w:sz w:val="1"/>
                <w:szCs w:val="1"/>
                <w:color w:val="auto"/>
              </w:rPr>
            </w:pPr>
          </w:p>
        </w:tc>
      </w:tr>
      <w:tr>
        <w:trPr>
          <w:trHeight w:val="171"/>
        </w:trPr>
        <w:tc>
          <w:tcPr>
            <w:tcW w:w="2400" w:type="dxa"/>
            <w:vAlign w:val="bottom"/>
            <w:tcBorders>
              <w:bottom w:val="single" w:sz="8" w:color="2C2C2C"/>
            </w:tcBorders>
          </w:tcPr>
          <w:p>
            <w:pPr>
              <w:spacing w:after="0"/>
              <w:rPr>
                <w:sz w:val="14"/>
                <w:szCs w:val="14"/>
                <w:color w:val="auto"/>
              </w:rPr>
            </w:pPr>
          </w:p>
        </w:tc>
        <w:tc>
          <w:tcPr>
            <w:tcW w:w="16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216"/>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57"/>
              <w:spacing w:after="0"/>
              <w:rPr>
                <w:sz w:val="20"/>
                <w:szCs w:val="20"/>
                <w:color w:val="auto"/>
              </w:rPr>
            </w:pPr>
            <w:r>
              <w:rPr>
                <w:rFonts w:ascii="Arial" w:cs="Arial" w:eastAsia="Arial" w:hAnsi="Arial"/>
                <w:sz w:val="18"/>
                <w:szCs w:val="18"/>
                <w:color w:val="0000FF"/>
                <w:w w:val="88"/>
              </w:rPr>
              <w:t>06/04/2015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493.98</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1,070.07</w:t>
            </w:r>
            <w:r>
              <w:rPr>
                <w:rFonts w:ascii="Arial" w:cs="Arial" w:eastAsia="Arial" w:hAnsi="Arial"/>
                <w:sz w:val="22"/>
                <w:szCs w:val="22"/>
                <w:color w:val="008000"/>
                <w:w w:val="82"/>
                <w:vertAlign w:val="superscript"/>
              </w:rPr>
              <w:t>(11)</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5,096.02</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70"/>
        </w:trPr>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46"/>
        </w:trPr>
        <w:tc>
          <w:tcPr>
            <w:tcW w:w="2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216"/>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57"/>
              <w:spacing w:after="0"/>
              <w:rPr>
                <w:sz w:val="20"/>
                <w:szCs w:val="20"/>
                <w:color w:val="auto"/>
              </w:rPr>
            </w:pPr>
            <w:r>
              <w:rPr>
                <w:rFonts w:ascii="Arial" w:cs="Arial" w:eastAsia="Arial" w:hAnsi="Arial"/>
                <w:sz w:val="18"/>
                <w:szCs w:val="18"/>
                <w:color w:val="0000FF"/>
                <w:w w:val="88"/>
              </w:rPr>
              <w:t>06/04/2015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381.31</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1,071.75</w:t>
            </w:r>
            <w:r>
              <w:rPr>
                <w:rFonts w:ascii="Arial" w:cs="Arial" w:eastAsia="Arial" w:hAnsi="Arial"/>
                <w:sz w:val="22"/>
                <w:szCs w:val="22"/>
                <w:color w:val="008000"/>
                <w:w w:val="85"/>
                <w:vertAlign w:val="superscript"/>
              </w:rPr>
              <w:t>(4)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4,714.72</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70"/>
        </w:trPr>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46"/>
        </w:trPr>
        <w:tc>
          <w:tcPr>
            <w:tcW w:w="2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216"/>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57"/>
              <w:spacing w:after="0"/>
              <w:rPr>
                <w:sz w:val="20"/>
                <w:szCs w:val="20"/>
                <w:color w:val="auto"/>
              </w:rPr>
            </w:pPr>
            <w:r>
              <w:rPr>
                <w:rFonts w:ascii="Arial" w:cs="Arial" w:eastAsia="Arial" w:hAnsi="Arial"/>
                <w:sz w:val="18"/>
                <w:szCs w:val="18"/>
                <w:color w:val="0000FF"/>
                <w:w w:val="88"/>
              </w:rPr>
              <w:t>06/04/2015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82.39</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1,072.3</w:t>
            </w:r>
            <w:r>
              <w:rPr>
                <w:rFonts w:ascii="Arial" w:cs="Arial" w:eastAsia="Arial" w:hAnsi="Arial"/>
                <w:sz w:val="22"/>
                <w:szCs w:val="22"/>
                <w:color w:val="008000"/>
                <w:w w:val="86"/>
                <w:vertAlign w:val="superscript"/>
              </w:rPr>
              <w:t>(5)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4,632.32</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70"/>
        </w:trPr>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46"/>
        </w:trPr>
        <w:tc>
          <w:tcPr>
            <w:tcW w:w="2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216"/>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57"/>
              <w:spacing w:after="0"/>
              <w:rPr>
                <w:sz w:val="20"/>
                <w:szCs w:val="20"/>
                <w:color w:val="auto"/>
              </w:rPr>
            </w:pPr>
            <w:r>
              <w:rPr>
                <w:rFonts w:ascii="Arial" w:cs="Arial" w:eastAsia="Arial" w:hAnsi="Arial"/>
                <w:sz w:val="18"/>
                <w:szCs w:val="18"/>
                <w:color w:val="0000FF"/>
                <w:w w:val="88"/>
              </w:rPr>
              <w:t>06/04/2015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38.32</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1,073.34</w:t>
            </w:r>
            <w:r>
              <w:rPr>
                <w:rFonts w:ascii="Arial" w:cs="Arial" w:eastAsia="Arial" w:hAnsi="Arial"/>
                <w:sz w:val="22"/>
                <w:szCs w:val="22"/>
                <w:color w:val="008000"/>
                <w:w w:val="85"/>
                <w:vertAlign w:val="superscript"/>
              </w:rPr>
              <w:t>(6)</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4,594</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70"/>
        </w:trPr>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52"/>
        </w:trPr>
        <w:tc>
          <w:tcPr>
            <w:tcW w:w="2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580"/>
        <w:spacing w:after="0"/>
        <w:rPr>
          <w:sz w:val="20"/>
          <w:szCs w:val="20"/>
          <w:color w:val="auto"/>
        </w:rPr>
      </w:pPr>
      <w:r>
        <w:rPr>
          <w:rFonts w:ascii="Arial" w:cs="Arial" w:eastAsia="Arial" w:hAnsi="Arial"/>
          <w:sz w:val="18"/>
          <w:szCs w:val="18"/>
          <w:color w:val="0000FF"/>
        </w:rPr>
        <w:t>Siblings</w:t>
      </w:r>
      <w:r>
        <w:rPr>
          <w:rFonts w:ascii="Arial" w:cs="Arial" w:eastAsia="Arial" w:hAnsi="Arial"/>
          <w:sz w:val="22"/>
          <w:szCs w:val="22"/>
          <w:color w:val="008000"/>
          <w:vertAlign w:val="superscript"/>
        </w:rPr>
        <w:t>(1)</w:t>
      </w:r>
    </w:p>
    <w:p>
      <w:pPr>
        <w:sectPr>
          <w:pgSz w:w="11900" w:h="16838" w:orient="portrait"/>
          <w:cols w:equalWidth="0" w:num="1">
            <w:col w:w="11400"/>
          </w:cols>
          <w:pgMar w:left="240" w:top="226" w:right="259" w:bottom="0" w:gutter="0" w:footer="0" w:header="0"/>
          <w:type w:val="continuous"/>
        </w:sectPr>
      </w:pPr>
    </w:p>
    <w:bookmarkStart w:id="1" w:name="page2"/>
    <w:bookmarkEnd w:id="1"/>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14565" cy="8734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14565" cy="873442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Of (D) (Instr. 3, 4 and 5)</w:t>
            </w:r>
          </w:p>
        </w:tc>
        <w:tc>
          <w:tcPr>
            <w:tcW w:w="9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60" w:type="dxa"/>
            <w:vAlign w:val="bottom"/>
          </w:tcPr>
          <w:p>
            <w:pPr>
              <w:jc w:val="center"/>
              <w:ind w:left="462"/>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62"/>
              <w:spacing w:after="0"/>
              <w:rPr>
                <w:sz w:val="20"/>
                <w:szCs w:val="20"/>
                <w:color w:val="auto"/>
              </w:rPr>
            </w:pPr>
            <w:r>
              <w:rPr>
                <w:rFonts w:ascii="Arial" w:cs="Arial" w:eastAsia="Arial" w:hAnsi="Arial"/>
                <w:sz w:val="18"/>
                <w:szCs w:val="18"/>
                <w:color w:val="0000FF"/>
                <w:w w:val="88"/>
              </w:rPr>
              <w:t>06/05/2015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7"/>
              </w:rPr>
              <w:t>174.08</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1,070.27</w:t>
            </w:r>
            <w:r>
              <w:rPr>
                <w:rFonts w:ascii="Arial" w:cs="Arial" w:eastAsia="Arial" w:hAnsi="Arial"/>
                <w:sz w:val="22"/>
                <w:szCs w:val="22"/>
                <w:color w:val="008000"/>
                <w:w w:val="85"/>
                <w:vertAlign w:val="superscript"/>
              </w:rPr>
              <w:t>(7)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4,419.92</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rPr>
              <w:t>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62"/>
              <w:spacing w:after="0"/>
              <w:rPr>
                <w:sz w:val="20"/>
                <w:szCs w:val="20"/>
                <w:color w:val="auto"/>
              </w:rPr>
            </w:pPr>
            <w:r>
              <w:rPr>
                <w:rFonts w:ascii="Arial" w:cs="Arial" w:eastAsia="Arial" w:hAnsi="Arial"/>
                <w:sz w:val="18"/>
                <w:szCs w:val="18"/>
                <w:color w:val="0000FF"/>
                <w:w w:val="88"/>
              </w:rPr>
              <w:t>06/05/2015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7"/>
              </w:rPr>
              <w:t>191.92</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1,071.86</w:t>
            </w:r>
            <w:r>
              <w:rPr>
                <w:rFonts w:ascii="Arial" w:cs="Arial" w:eastAsia="Arial" w:hAnsi="Arial"/>
                <w:sz w:val="22"/>
                <w:szCs w:val="22"/>
                <w:color w:val="008000"/>
                <w:w w:val="85"/>
                <w:vertAlign w:val="superscript"/>
              </w:rPr>
              <w:t>(8)</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4,228</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rPr>
              <w:t>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62"/>
              <w:spacing w:after="0"/>
              <w:rPr>
                <w:sz w:val="20"/>
                <w:szCs w:val="20"/>
                <w:color w:val="auto"/>
              </w:rPr>
            </w:pPr>
            <w:r>
              <w:rPr>
                <w:rFonts w:ascii="Arial" w:cs="Arial" w:eastAsia="Arial" w:hAnsi="Arial"/>
                <w:sz w:val="18"/>
                <w:szCs w:val="18"/>
                <w:color w:val="0000FF"/>
                <w:w w:val="88"/>
              </w:rPr>
              <w:t>06/08/2015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7"/>
              </w:rPr>
              <w:t>797.92</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1,070.26</w:t>
            </w:r>
            <w:r>
              <w:rPr>
                <w:rFonts w:ascii="Arial" w:cs="Arial" w:eastAsia="Arial" w:hAnsi="Arial"/>
                <w:sz w:val="22"/>
                <w:szCs w:val="22"/>
                <w:color w:val="008000"/>
                <w:w w:val="85"/>
                <w:vertAlign w:val="superscript"/>
              </w:rPr>
              <w:t>(9)</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3,430.08</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rPr>
              <w:t>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62"/>
              <w:spacing w:after="0"/>
              <w:rPr>
                <w:sz w:val="20"/>
                <w:szCs w:val="20"/>
                <w:color w:val="auto"/>
              </w:rPr>
            </w:pPr>
            <w:r>
              <w:rPr>
                <w:rFonts w:ascii="Arial" w:cs="Arial" w:eastAsia="Arial" w:hAnsi="Arial"/>
                <w:sz w:val="18"/>
                <w:szCs w:val="18"/>
                <w:color w:val="0000FF"/>
                <w:w w:val="88"/>
              </w:rPr>
              <w:t>06/08/2015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8"/>
              </w:rPr>
              <w:t>44.89</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1,071.22</w:t>
            </w:r>
            <w:r>
              <w:rPr>
                <w:rFonts w:ascii="Arial" w:cs="Arial" w:eastAsia="Arial" w:hAnsi="Arial"/>
                <w:sz w:val="22"/>
                <w:szCs w:val="22"/>
                <w:color w:val="008000"/>
                <w:w w:val="84"/>
                <w:vertAlign w:val="superscript"/>
              </w:rPr>
              <w:t>(10)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3,385.19</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rPr>
              <w:t>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vMerge w:val="restart"/>
          </w:tcPr>
          <w:p>
            <w:pPr>
              <w:jc w:val="center"/>
              <w:ind w:left="462"/>
              <w:spacing w:after="0"/>
              <w:rPr>
                <w:sz w:val="20"/>
                <w:szCs w:val="20"/>
                <w:color w:val="auto"/>
              </w:rPr>
            </w:pPr>
            <w:r>
              <w:rPr>
                <w:rFonts w:ascii="Arial" w:cs="Arial" w:eastAsia="Arial" w:hAnsi="Arial"/>
                <w:sz w:val="18"/>
                <w:szCs w:val="18"/>
                <w:color w:val="0000FF"/>
                <w:w w:val="88"/>
              </w:rPr>
              <w:t>06/08/2015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8"/>
              </w:rPr>
              <w:t>19.19</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1,072.07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3,366</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80" w:type="dxa"/>
            <w:vAlign w:val="bottom"/>
            <w:vMerge w:val="restart"/>
          </w:tcPr>
          <w:p>
            <w:pPr>
              <w:ind w:left="60"/>
              <w:spacing w:after="0"/>
              <w:rPr>
                <w:sz w:val="20"/>
                <w:szCs w:val="20"/>
                <w:color w:val="auto"/>
              </w:rPr>
            </w:pPr>
            <w:r>
              <w:rPr>
                <w:rFonts w:ascii="Arial" w:cs="Arial" w:eastAsia="Arial" w:hAnsi="Arial"/>
                <w:sz w:val="18"/>
                <w:szCs w:val="18"/>
                <w:color w:val="0000FF"/>
              </w:rPr>
              <w:t>of</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0000FF"/>
              </w:rPr>
              <w:t>Trust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5,000</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60"/>
              <w:spacing w:after="0"/>
              <w:rPr>
                <w:sz w:val="20"/>
                <w:szCs w:val="20"/>
                <w:color w:val="auto"/>
              </w:rPr>
            </w:pPr>
            <w:r>
              <w:rPr>
                <w:rFonts w:ascii="Arial" w:cs="Arial" w:eastAsia="Arial" w:hAnsi="Arial"/>
                <w:sz w:val="18"/>
                <w:szCs w:val="18"/>
                <w:color w:val="0000FF"/>
              </w:rPr>
              <w:t>Third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Party</w:t>
            </w:r>
            <w:r>
              <w:rPr>
                <w:rFonts w:ascii="Arial" w:cs="Arial" w:eastAsia="Arial" w:hAnsi="Arial"/>
                <w:sz w:val="22"/>
                <w:szCs w:val="22"/>
                <w:color w:val="008000"/>
                <w:vertAlign w:val="superscript"/>
              </w:rPr>
              <w:t>(1)</w:t>
            </w: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jc w:val="right"/>
              <w:ind w:right="282"/>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jc w:val="right"/>
              <w:ind w:right="182"/>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91"/>
              </w:rPr>
              <w:t>Common</w:t>
            </w:r>
          </w:p>
        </w:tc>
        <w:tc>
          <w:tcPr>
            <w:tcW w:w="5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0000FF"/>
                <w:w w:val="86"/>
              </w:rPr>
              <w:t>230,048</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Arial" w:cs="Arial" w:eastAsia="Arial" w:hAnsi="Arial"/>
                <w:sz w:val="14"/>
                <w:szCs w:val="14"/>
                <w:color w:val="0000FF"/>
              </w:rPr>
              <w:t>Grantor</w:t>
            </w: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vMerge w:val="restart"/>
          </w:tcPr>
          <w:p>
            <w:pPr>
              <w:jc w:val="right"/>
              <w:ind w:right="282"/>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5"/>
                <w:szCs w:val="5"/>
                <w:color w:val="auto"/>
              </w:rPr>
            </w:pPr>
          </w:p>
        </w:tc>
        <w:tc>
          <w:tcPr>
            <w:tcW w:w="560" w:type="dxa"/>
            <w:vAlign w:val="bottom"/>
            <w:vMerge w:val="restart"/>
          </w:tcPr>
          <w:p>
            <w:pPr>
              <w:jc w:val="right"/>
              <w:ind w:right="182"/>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Retained</w:t>
            </w: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91"/>
              </w:rPr>
              <w:t>Common</w:t>
            </w: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91,354</w:t>
            </w:r>
          </w:p>
        </w:tc>
        <w:tc>
          <w:tcPr>
            <w:tcW w:w="76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I</w:t>
            </w: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Annuity</w:t>
            </w: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rPr>
              <w:t>Trust</w:t>
            </w: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jc w:val="right"/>
              <w:ind w:right="282"/>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jc w:val="right"/>
              <w:ind w:right="182"/>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rPr>
              <w:t>Trusts for</w:t>
            </w:r>
          </w:p>
        </w:tc>
        <w:tc>
          <w:tcPr>
            <w:tcW w:w="0" w:type="dxa"/>
            <w:vAlign w:val="bottom"/>
          </w:tcPr>
          <w:p>
            <w:pPr>
              <w:spacing w:after="0"/>
              <w:rPr>
                <w:sz w:val="1"/>
                <w:szCs w:val="1"/>
                <w:color w:val="auto"/>
              </w:rPr>
            </w:pPr>
          </w:p>
        </w:tc>
      </w:tr>
      <w:tr>
        <w:trPr>
          <w:trHeight w:val="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0000FF"/>
                <w:w w:val="91"/>
              </w:rPr>
              <w:t>Common</w:t>
            </w:r>
          </w:p>
        </w:tc>
        <w:tc>
          <w:tcPr>
            <w:tcW w:w="5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0000FF"/>
                <w:w w:val="88"/>
              </w:rPr>
              <w:t>28,972</w:t>
            </w:r>
          </w:p>
        </w:tc>
        <w:tc>
          <w:tcPr>
            <w:tcW w:w="760" w:type="dxa"/>
            <w:vAlign w:val="bottom"/>
            <w:vMerge w:val="restart"/>
          </w:tcPr>
          <w:p>
            <w:pPr>
              <w:ind w:left="360"/>
              <w:spacing w:after="0"/>
              <w:rPr>
                <w:sz w:val="20"/>
                <w:szCs w:val="20"/>
                <w:color w:val="auto"/>
              </w:rPr>
            </w:pPr>
            <w:r>
              <w:rPr>
                <w:rFonts w:ascii="Arial" w:cs="Arial" w:eastAsia="Arial" w:hAnsi="Arial"/>
                <w:sz w:val="14"/>
                <w:szCs w:val="14"/>
                <w:color w:val="0000FF"/>
              </w:rPr>
              <w:t>I</w:t>
            </w: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restart"/>
          </w:tcPr>
          <w:p>
            <w:pPr>
              <w:ind w:left="80"/>
              <w:spacing w:after="0" w:line="164" w:lineRule="exact"/>
              <w:rPr>
                <w:sz w:val="20"/>
                <w:szCs w:val="20"/>
                <w:color w:val="auto"/>
              </w:rPr>
            </w:pPr>
            <w:r>
              <w:rPr>
                <w:rFonts w:ascii="Arial" w:cs="Arial" w:eastAsia="Arial" w:hAnsi="Arial"/>
                <w:sz w:val="12"/>
                <w:szCs w:val="12"/>
                <w:color w:val="0000FF"/>
              </w:rPr>
              <w:t>Children</w:t>
            </w:r>
            <w:r>
              <w:rPr>
                <w:rFonts w:ascii="Arial" w:cs="Arial" w:eastAsia="Arial" w:hAnsi="Arial"/>
                <w:sz w:val="19"/>
                <w:szCs w:val="19"/>
                <w:color w:val="008000"/>
                <w:vertAlign w:val="superscript"/>
              </w:rPr>
              <w:t>(1)</w:t>
            </w:r>
          </w:p>
        </w:tc>
        <w:tc>
          <w:tcPr>
            <w:tcW w:w="0" w:type="dxa"/>
            <w:vAlign w:val="bottom"/>
          </w:tcPr>
          <w:p>
            <w:pPr>
              <w:spacing w:after="0"/>
              <w:rPr>
                <w:sz w:val="1"/>
                <w:szCs w:val="1"/>
                <w:color w:val="auto"/>
              </w:rPr>
            </w:pPr>
          </w:p>
        </w:tc>
      </w:tr>
      <w:tr>
        <w:trPr>
          <w:trHeight w:val="76"/>
        </w:trPr>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720" w:type="dxa"/>
            <w:vAlign w:val="bottom"/>
            <w:tcBorders>
              <w:bottom w:val="single" w:sz="8" w:color="2C2C2C"/>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5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jc w:val="right"/>
              <w:ind w:right="282"/>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jc w:val="right"/>
              <w:ind w:right="182"/>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rPr>
              <w:t>Trusts for</w:t>
            </w:r>
          </w:p>
        </w:tc>
        <w:tc>
          <w:tcPr>
            <w:tcW w:w="0" w:type="dxa"/>
            <w:vAlign w:val="bottom"/>
          </w:tcPr>
          <w:p>
            <w:pPr>
              <w:spacing w:after="0"/>
              <w:rPr>
                <w:sz w:val="1"/>
                <w:szCs w:val="1"/>
                <w:color w:val="auto"/>
              </w:rPr>
            </w:pPr>
          </w:p>
        </w:tc>
      </w:tr>
      <w:tr>
        <w:trPr>
          <w:trHeight w:val="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0000FF"/>
                <w:w w:val="91"/>
              </w:rPr>
              <w:t>Common</w:t>
            </w:r>
          </w:p>
        </w:tc>
        <w:tc>
          <w:tcPr>
            <w:tcW w:w="5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0000FF"/>
                <w:w w:val="86"/>
              </w:rPr>
              <w:t>208,555</w:t>
            </w:r>
          </w:p>
        </w:tc>
        <w:tc>
          <w:tcPr>
            <w:tcW w:w="760" w:type="dxa"/>
            <w:vAlign w:val="bottom"/>
            <w:vMerge w:val="restart"/>
          </w:tcPr>
          <w:p>
            <w:pPr>
              <w:ind w:left="360"/>
              <w:spacing w:after="0"/>
              <w:rPr>
                <w:sz w:val="20"/>
                <w:szCs w:val="20"/>
                <w:color w:val="auto"/>
              </w:rPr>
            </w:pPr>
            <w:r>
              <w:rPr>
                <w:rFonts w:ascii="Arial" w:cs="Arial" w:eastAsia="Arial" w:hAnsi="Arial"/>
                <w:sz w:val="14"/>
                <w:szCs w:val="14"/>
                <w:color w:val="0000FF"/>
              </w:rPr>
              <w:t>I</w:t>
            </w: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restart"/>
          </w:tcPr>
          <w:p>
            <w:pPr>
              <w:ind w:left="80"/>
              <w:spacing w:after="0" w:line="164" w:lineRule="exact"/>
              <w:rPr>
                <w:sz w:val="20"/>
                <w:szCs w:val="20"/>
                <w:color w:val="auto"/>
              </w:rPr>
            </w:pPr>
            <w:r>
              <w:rPr>
                <w:rFonts w:ascii="Arial" w:cs="Arial" w:eastAsia="Arial" w:hAnsi="Arial"/>
                <w:sz w:val="12"/>
                <w:szCs w:val="12"/>
                <w:color w:val="0000FF"/>
              </w:rPr>
              <w:t>Siblings</w:t>
            </w:r>
            <w:r>
              <w:rPr>
                <w:rFonts w:ascii="Arial" w:cs="Arial" w:eastAsia="Arial" w:hAnsi="Arial"/>
                <w:sz w:val="19"/>
                <w:szCs w:val="19"/>
                <w:color w:val="008000"/>
                <w:vertAlign w:val="superscript"/>
              </w:rPr>
              <w:t>(1)</w:t>
            </w:r>
          </w:p>
        </w:tc>
        <w:tc>
          <w:tcPr>
            <w:tcW w:w="0" w:type="dxa"/>
            <w:vAlign w:val="bottom"/>
          </w:tcPr>
          <w:p>
            <w:pPr>
              <w:spacing w:after="0"/>
              <w:rPr>
                <w:sz w:val="1"/>
                <w:szCs w:val="1"/>
                <w:color w:val="auto"/>
              </w:rPr>
            </w:pPr>
          </w:p>
        </w:tc>
      </w:tr>
      <w:tr>
        <w:trPr>
          <w:trHeight w:val="76"/>
        </w:trPr>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720" w:type="dxa"/>
            <w:vAlign w:val="bottom"/>
            <w:tcBorders>
              <w:bottom w:val="single" w:sz="8" w:color="2C2C2C"/>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5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jc w:val="right"/>
              <w:ind w:right="282"/>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jc w:val="right"/>
              <w:ind w:right="182"/>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w w:val="98"/>
              </w:rPr>
              <w:t>Beneficiary</w:t>
            </w: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91"/>
              </w:rPr>
              <w:t>Common</w:t>
            </w: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6"/>
              </w:rPr>
              <w:t>388,225</w:t>
            </w:r>
          </w:p>
        </w:tc>
        <w:tc>
          <w:tcPr>
            <w:tcW w:w="76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I</w:t>
            </w: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rPr>
              <w:t>of Trusts</w:t>
            </w: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Arial" w:cs="Arial" w:eastAsia="Arial" w:hAnsi="Arial"/>
                <w:sz w:val="14"/>
                <w:szCs w:val="14"/>
                <w:color w:val="0000FF"/>
              </w:rPr>
              <w:t>Trusts for</w:t>
            </w:r>
          </w:p>
        </w:tc>
        <w:tc>
          <w:tcPr>
            <w:tcW w:w="0" w:type="dxa"/>
            <w:vAlign w:val="bottom"/>
          </w:tcPr>
          <w:p>
            <w:pPr>
              <w:spacing w:after="0"/>
              <w:rPr>
                <w:sz w:val="1"/>
                <w:szCs w:val="1"/>
                <w:color w:val="auto"/>
              </w:rPr>
            </w:pPr>
          </w:p>
        </w:tc>
      </w:tr>
      <w:tr>
        <w:trPr>
          <w:trHeight w:val="146"/>
        </w:trPr>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Common</w:t>
            </w:r>
          </w:p>
        </w:tc>
        <w:tc>
          <w:tcPr>
            <w:tcW w:w="820" w:type="dxa"/>
            <w:vAlign w:val="bottom"/>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right"/>
              <w:ind w:right="282"/>
              <w:spacing w:after="0"/>
              <w:rPr>
                <w:sz w:val="20"/>
                <w:szCs w:val="20"/>
                <w:color w:val="auto"/>
              </w:rPr>
            </w:pPr>
            <w:r>
              <w:rPr>
                <w:rFonts w:ascii="Arial" w:cs="Arial" w:eastAsia="Arial" w:hAnsi="Arial"/>
                <w:sz w:val="11"/>
                <w:szCs w:val="11"/>
                <w:color w:val="008000"/>
              </w:rPr>
              <w:t>(2)</w:t>
            </w:r>
          </w:p>
        </w:tc>
        <w:tc>
          <w:tcPr>
            <w:tcW w:w="760" w:type="dxa"/>
            <w:vAlign w:val="bottom"/>
          </w:tcPr>
          <w:p>
            <w:pPr>
              <w:jc w:val="center"/>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line="146" w:lineRule="exact"/>
              <w:rPr>
                <w:sz w:val="20"/>
                <w:szCs w:val="20"/>
                <w:color w:val="auto"/>
              </w:rPr>
            </w:pPr>
            <w:r>
              <w:rPr>
                <w:rFonts w:ascii="Arial" w:cs="Arial" w:eastAsia="Arial" w:hAnsi="Arial"/>
                <w:sz w:val="14"/>
                <w:szCs w:val="14"/>
                <w:color w:val="0000FF"/>
                <w:w w:val="91"/>
              </w:rPr>
              <w:t>Common</w:t>
            </w:r>
          </w:p>
        </w:tc>
        <w:tc>
          <w:tcPr>
            <w:tcW w:w="560" w:type="dxa"/>
            <w:vAlign w:val="bottom"/>
          </w:tcPr>
          <w:p>
            <w:pPr>
              <w:jc w:val="right"/>
              <w:ind w:right="182"/>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4"/>
                <w:szCs w:val="14"/>
                <w:color w:val="0000FF"/>
                <w:w w:val="85"/>
              </w:rPr>
              <w:t>1,800</w:t>
            </w:r>
          </w:p>
        </w:tc>
        <w:tc>
          <w:tcPr>
            <w:tcW w:w="760" w:type="dxa"/>
            <w:vAlign w:val="bottom"/>
          </w:tcPr>
          <w:p>
            <w:pPr>
              <w:ind w:left="360"/>
              <w:spacing w:after="0" w:line="146" w:lineRule="exact"/>
              <w:rPr>
                <w:sz w:val="20"/>
                <w:szCs w:val="20"/>
                <w:color w:val="auto"/>
              </w:rPr>
            </w:pPr>
            <w:r>
              <w:rPr>
                <w:rFonts w:ascii="Arial" w:cs="Arial" w:eastAsia="Arial" w:hAnsi="Arial"/>
                <w:sz w:val="14"/>
                <w:szCs w:val="14"/>
                <w:color w:val="0000FF"/>
              </w:rPr>
              <w:t>I</w:t>
            </w:r>
          </w:p>
        </w:tc>
        <w:tc>
          <w:tcPr>
            <w:tcW w:w="780" w:type="dxa"/>
            <w:vAlign w:val="bottom"/>
          </w:tcPr>
          <w:p>
            <w:pPr>
              <w:ind w:left="80"/>
              <w:spacing w:after="0" w:line="146" w:lineRule="exact"/>
              <w:rPr>
                <w:sz w:val="20"/>
                <w:szCs w:val="20"/>
                <w:color w:val="auto"/>
              </w:rPr>
            </w:pPr>
            <w:r>
              <w:rPr>
                <w:rFonts w:ascii="Arial" w:cs="Arial" w:eastAsia="Arial" w:hAnsi="Arial"/>
                <w:sz w:val="14"/>
                <w:szCs w:val="14"/>
                <w:color w:val="0000FF"/>
              </w:rPr>
              <w:t>Children of</w:t>
            </w:r>
          </w:p>
        </w:tc>
        <w:tc>
          <w:tcPr>
            <w:tcW w:w="0" w:type="dxa"/>
            <w:vAlign w:val="bottom"/>
          </w:tcPr>
          <w:p>
            <w:pPr>
              <w:spacing w:after="0"/>
              <w:rPr>
                <w:sz w:val="1"/>
                <w:szCs w:val="1"/>
                <w:color w:val="auto"/>
              </w:rPr>
            </w:pPr>
          </w:p>
        </w:tc>
      </w:tr>
      <w:tr>
        <w:trPr>
          <w:trHeight w:val="293"/>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4"/>
                <w:szCs w:val="14"/>
                <w:color w:val="0000FF"/>
              </w:rPr>
              <w:t>Siblings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trustee of the trust that owns the reported securities, but he is not a beneficiary of such trust. The reporting person disclaims beneficial ownership of the reported securities.</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Class A Common Stock are convertible into shares of Class B Common Stock at any time on a one-for-one basis and have no expiration date.</w:t>
      </w:r>
    </w:p>
    <w:p>
      <w:pPr>
        <w:spacing w:after="0" w:line="41" w:lineRule="exact"/>
        <w:rPr>
          <w:rFonts w:ascii="Arial" w:cs="Arial" w:eastAsia="Arial" w:hAnsi="Arial"/>
          <w:sz w:val="14"/>
          <w:szCs w:val="14"/>
          <w:color w:val="008000"/>
        </w:rPr>
      </w:pPr>
    </w:p>
    <w:p>
      <w:pPr>
        <w:ind w:left="40" w:right="260" w:firstLine="9"/>
        <w:spacing w:after="0" w:line="27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$1,070.00 to $1,070.70, inclusive. The reporting person undertakes to provide to Graham Holdings Company, any security holder of Graham Holdings Company, or the staff of the Securities and Exchange Commission, upon request, full information regarding the shares sold at each separate price within the ranges set forth in footnotes (3) to (11), inclusive to this Form 4. For purposes of calculating the number of shares sold at a specific weighted average price on each day by each trust, the ratio of the number of shares in such trust sold on such date over the total number of shares sold was applied to the total shares sold at the applicable price ranges, yielding the fractional amounts appearing in columns 4 and 5. For the avoidance of doubt, column 5 sets forth the number of whole shares held in each trust as of the last sale taking place on a given day.</w:t>
      </w:r>
    </w:p>
    <w:p>
      <w:pPr>
        <w:spacing w:after="0" w:line="11"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$1,071.11 to $1,072.10,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$1,072.11 to $1,072.59,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$1,073.18 to $1,073.50,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$1,070.00 to $1,070.50,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$1,071.84 to $1,072.00,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$1,070.00 to $1,070.96,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$1,071.00 to $1,071.51, inclusive.</w:t>
      </w:r>
    </w:p>
    <w:p>
      <w:pPr>
        <w:sectPr>
          <w:pgSz w:w="11900" w:h="16886" w:orient="portrait"/>
          <w:cols w:equalWidth="0" w:num="1">
            <w:col w:w="11480"/>
          </w:cols>
          <w:pgMar w:left="240" w:top="188" w:right="179" w:bottom="0" w:gutter="0" w:footer="0" w:header="0"/>
        </w:sectPr>
      </w:pPr>
    </w:p>
    <w:bookmarkStart w:id="2" w:name="page3"/>
    <w:bookmarkEnd w:id="2"/>
    <w:p>
      <w:pPr>
        <w:spacing w:after="0"/>
        <w:rPr>
          <w:sz w:val="20"/>
          <w:szCs w:val="20"/>
          <w:color w:val="auto"/>
        </w:rPr>
      </w:pPr>
      <w:r>
        <w:rPr>
          <w:rFonts w:ascii="Arial" w:cs="Arial" w:eastAsia="Arial" w:hAnsi="Arial"/>
          <w:sz w:val="12"/>
          <w:szCs w:val="12"/>
          <w:color w:val="008000"/>
        </w:rPr>
        <w:t>11. The price reported in Column 4 is a weighted average price. These shares were sold in multiple transactions at prices ranging from $1,070.00 to $1,070.70, inclusive.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Nicole M. Maddrey for</w:t>
            </w:r>
          </w:p>
        </w:tc>
        <w:tc>
          <w:tcPr>
            <w:tcW w:w="26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06/08/2015</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Donald E. Graham</w:t>
            </w:r>
          </w:p>
        </w:tc>
        <w:tc>
          <w:tcPr>
            <w:tcW w:w="78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56"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18401"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2019-12-23T21:32:46Z</dcterms:created>
  <dcterms:modified xsi:type="dcterms:W3CDTF">2019-12-23T21:32:46Z</dcterms:modified>
</cp:coreProperties>
</file>