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Date of Report (Date of earliest event reported) February 25,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THE WASHINGTON POST COMPANY</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53-0182885</w:t>
      </w:r>
    </w:p>
    <w:p>
      <w:pPr>
        <w:spacing w:after="0" w:line="55"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340"/>
        <w:spacing w:after="0"/>
        <w:rPr>
          <w:sz w:val="20"/>
          <w:szCs w:val="20"/>
          <w:color w:val="auto"/>
        </w:rPr>
      </w:pPr>
      <w:r>
        <w:rPr>
          <w:rFonts w:ascii="Arial" w:cs="Arial" w:eastAsia="Arial" w:hAnsi="Arial"/>
          <w:sz w:val="15"/>
          <w:szCs w:val="15"/>
          <w:b w:val="1"/>
          <w:bCs w:val="1"/>
          <w:color w:val="auto"/>
        </w:rPr>
        <w:t>1150 15th Street, N.W. Washington, 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20071</w:t>
      </w:r>
    </w:p>
    <w:p>
      <w:pPr>
        <w:spacing w:after="0" w:line="56" w:lineRule="exact"/>
        <w:rPr>
          <w:sz w:val="24"/>
          <w:szCs w:val="24"/>
          <w:color w:val="auto"/>
        </w:rPr>
      </w:pPr>
    </w:p>
    <w:p>
      <w:pPr>
        <w:sectPr>
          <w:pgSz w:w="11900" w:h="16838" w:orient="portrait"/>
          <w:cols w:equalWidth="0" w:num="2">
            <w:col w:w="7740" w:space="720"/>
            <w:col w:w="25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February 25, 2005, The Washington Post Company issued a press release announcing the Company’s earnings for the fourth quarter and year ended January 2, 2005. A copy of this press release is furnished with this report as an exhibit to this Form 8-K.</w:t>
      </w:r>
    </w:p>
    <w:p>
      <w:pPr>
        <w:sectPr>
          <w:pgSz w:w="11900" w:h="16838" w:orient="portrait"/>
          <w:cols w:equalWidth="0" w:num="1">
            <w:col w:w="11420"/>
          </w:cols>
          <w:pgMar w:left="240" w:top="280"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00" w:val="left"/>
          <w:tab w:leader="none" w:pos="7860" w:val="left"/>
        </w:tabs>
        <w:rPr>
          <w:sz w:val="20"/>
          <w:szCs w:val="20"/>
          <w:color w:val="auto"/>
        </w:rPr>
      </w:pPr>
      <w:r>
        <w:rPr>
          <w:rFonts w:ascii="Arial" w:cs="Arial" w:eastAsia="Arial" w:hAnsi="Arial"/>
          <w:sz w:val="18"/>
          <w:szCs w:val="18"/>
          <w:color w:val="auto"/>
        </w:rPr>
        <w:t>Date</w:t>
        <w:tab/>
        <w:t>February 25, 2005</w:t>
      </w:r>
      <w:r>
        <w:rPr>
          <w:sz w:val="20"/>
          <w:szCs w:val="20"/>
          <w:color w:val="auto"/>
        </w:rPr>
        <w:tab/>
      </w:r>
      <w:r>
        <w:rPr>
          <w:rFonts w:ascii="Arial" w:cs="Arial" w:eastAsia="Arial" w:hAnsi="Arial"/>
          <w:sz w:val="15"/>
          <w:szCs w:val="15"/>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Vice President - Finance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7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The Washington Post Company Earnings Release dated February 25, 2005.</w:t>
      </w:r>
    </w:p>
    <w:p>
      <w:pPr>
        <w:sectPr>
          <w:pgSz w:w="11900" w:h="16838" w:orient="portrait"/>
          <w:cols w:equalWidth="0" w:num="1">
            <w:col w:w="11420"/>
          </w:cols>
          <w:pgMar w:left="240" w:top="2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Contact:</w:t>
            </w:r>
          </w:p>
        </w:tc>
        <w:tc>
          <w:tcPr>
            <w:tcW w:w="2260" w:type="dxa"/>
            <w:vAlign w:val="bottom"/>
          </w:tcPr>
          <w:p>
            <w:pPr>
              <w:ind w:left="380"/>
              <w:spacing w:after="0"/>
              <w:rPr>
                <w:sz w:val="20"/>
                <w:szCs w:val="20"/>
                <w:color w:val="auto"/>
              </w:rPr>
            </w:pPr>
            <w:r>
              <w:rPr>
                <w:rFonts w:ascii="Arial" w:cs="Arial" w:eastAsia="Arial" w:hAnsi="Arial"/>
                <w:sz w:val="18"/>
                <w:szCs w:val="18"/>
                <w:color w:val="auto"/>
              </w:rPr>
              <w:t>John B. Morse, Jr.</w:t>
            </w:r>
          </w:p>
        </w:tc>
        <w:tc>
          <w:tcPr>
            <w:tcW w:w="326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For Immediate Release</w:t>
            </w:r>
          </w:p>
        </w:tc>
      </w:tr>
      <w:tr>
        <w:trPr>
          <w:trHeight w:val="235"/>
        </w:trPr>
        <w:tc>
          <w:tcPr>
            <w:tcW w:w="1000" w:type="dxa"/>
            <w:vAlign w:val="bottom"/>
          </w:tcPr>
          <w:p>
            <w:pPr>
              <w:spacing w:after="0"/>
              <w:rPr>
                <w:sz w:val="20"/>
                <w:szCs w:val="20"/>
                <w:color w:val="auto"/>
              </w:rPr>
            </w:pPr>
          </w:p>
        </w:tc>
        <w:tc>
          <w:tcPr>
            <w:tcW w:w="2260" w:type="dxa"/>
            <w:vAlign w:val="bottom"/>
          </w:tcPr>
          <w:p>
            <w:pPr>
              <w:ind w:left="380"/>
              <w:spacing w:after="0"/>
              <w:rPr>
                <w:sz w:val="20"/>
                <w:szCs w:val="20"/>
                <w:color w:val="auto"/>
              </w:rPr>
            </w:pPr>
            <w:r>
              <w:rPr>
                <w:rFonts w:ascii="Arial" w:cs="Arial" w:eastAsia="Arial" w:hAnsi="Arial"/>
                <w:sz w:val="18"/>
                <w:szCs w:val="18"/>
                <w:color w:val="auto"/>
              </w:rPr>
              <w:t>(202) 334-6662</w:t>
            </w:r>
          </w:p>
        </w:tc>
        <w:tc>
          <w:tcPr>
            <w:tcW w:w="326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February 25, 2005</w:t>
            </w:r>
          </w:p>
        </w:tc>
      </w:tr>
      <w:tr>
        <w:trPr>
          <w:trHeight w:val="358"/>
        </w:trPr>
        <w:tc>
          <w:tcPr>
            <w:tcW w:w="10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80" w:type="dxa"/>
            <w:vAlign w:val="bottom"/>
            <w:gridSpan w:val="2"/>
          </w:tcPr>
          <w:p>
            <w:pPr>
              <w:jc w:val="center"/>
              <w:spacing w:after="0"/>
              <w:rPr>
                <w:sz w:val="20"/>
                <w:szCs w:val="20"/>
                <w:color w:val="auto"/>
              </w:rPr>
            </w:pPr>
            <w:r>
              <w:rPr>
                <w:rFonts w:ascii="Arial" w:cs="Arial" w:eastAsia="Arial" w:hAnsi="Arial"/>
                <w:sz w:val="18"/>
                <w:szCs w:val="18"/>
                <w:color w:val="auto"/>
                <w:w w:val="91"/>
              </w:rPr>
              <w:t>THE WASHINGTON POST COMPANY REPORTS</w:t>
            </w:r>
          </w:p>
        </w:tc>
      </w:tr>
      <w:tr>
        <w:trPr>
          <w:trHeight w:val="222"/>
        </w:trPr>
        <w:tc>
          <w:tcPr>
            <w:tcW w:w="10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880" w:type="dxa"/>
            <w:vAlign w:val="bottom"/>
            <w:gridSpan w:val="2"/>
          </w:tcPr>
          <w:p>
            <w:pPr>
              <w:jc w:val="center"/>
              <w:spacing w:after="0"/>
              <w:rPr>
                <w:sz w:val="20"/>
                <w:szCs w:val="20"/>
                <w:color w:val="auto"/>
              </w:rPr>
            </w:pPr>
            <w:r>
              <w:rPr>
                <w:rFonts w:ascii="Arial" w:cs="Arial" w:eastAsia="Arial" w:hAnsi="Arial"/>
                <w:sz w:val="18"/>
                <w:szCs w:val="18"/>
                <w:color w:val="auto"/>
                <w:w w:val="92"/>
              </w:rPr>
              <w:t>2004 AND FOURTH QUARTER EARNINGS</w:t>
            </w:r>
          </w:p>
        </w:tc>
      </w:tr>
    </w:tbl>
    <w:p>
      <w:pPr>
        <w:spacing w:after="0" w:line="14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WASHINGTON – The Washington Post Company (NYSE: WPO) today reported net income of $332.7 million ($34.59 per share) for its fiscal 2004 year ended January 2, 2005, up from $241.1 million ($25.12 per share) for the fiscal year 2003 ended December 28, 2003. Each of the Company’s divisions reported strong growth in operating income for 2004.</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2003 results included a non-operating gain from the sale of the Company’s 50% interest in the International Herald Tribune (after-tax</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impact of $32.3 million, or $3.38 per share), an operating gain from the sale of land at The Washington Post newspaper (after-tax impact of $25.5 million,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$2.66 per share) and early retirement program charges at The Washington Post newspaper (after-tax impact of $20.8 million, or $2.18 per share). Also included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2003 results is a charge in connection with the establishment of the Kaplan Educational Foundation (after-tax impact of $3.9 million, or $0.41 per share)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Kaplan stock compensation expense for the 10% premium associated with a partial buyout of the Kaplan stock compensation plan (after-tax impact of $6.4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or $0.67 per share).</w:t>
      </w:r>
    </w:p>
    <w:p>
      <w:pPr>
        <w:spacing w:after="0" w:line="15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Revenue for 2004 was $3,300.1 million, up 16% compared to $2,838.9 million in 2003. The increase in revenue is due mostly to significant revenue growth at the education and television broadcasting divisions, along with increases at the Company’s cable television, newspaper publishing and magazine publishing divisions. Operating income increased 55% to $563.0 million, from $363.8 million in 2003, due largely to significantly improved results at the education and television broadcasting divisions. Kaplan results for 2004 include $32.5 million in stock compensation expense. In addition to pre-tax charges of $10.5 million for the 10% buyout premium and $6.5 million for the Kaplan Education Foundation, Kaplan results for 2003 included an additional $108.6 million in Kaplan stock compensation expense. Operating results for 2003 also included a $41.7 million pre-tax gain on the sale of land at The Washington Post newspaper and $34.1 million in pre-tax charges from early retirement programs at The Washington Post newspaper.</w:t>
      </w:r>
    </w:p>
    <w:p>
      <w:pPr>
        <w:spacing w:after="0" w:line="10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Net income for the fourth quarter of 2004 was $105.9 million ($11.03 per share), compared with $87.5 million ($9.15 per share) for the fourth quarter of 2003. Results for the fourth quarter of 2003 included a gain from the sale of land at The Washington Post newspaper (after-tax impact of $25.5 million, or $2.66 per share), an early retirement charge at The Washington Post newspaper (after-tax impact of $19.5 million, or $2.04 per share), Kaplan stock compensation expense for the 10% premium and a charge for the Kaplan Educational Foundation (after-tax impact of $10.3 million, or $1.08 per share).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w:t>
      </w:r>
    </w:p>
    <w:p>
      <w:pPr>
        <w:spacing w:after="0" w:line="15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Revenue for the fourth quarter of 2004 was $902.7 million, up 15% from $785.5 million in 2003. The increase in revenue is due to growth at all of the Company’s divisions, particularly at the education and television broadcasting divisions. Operating income for the quarter increased 25% to $171.8 million, from $137.7 million in 2003. Operating results in the fourth quarter of 2003 included a $41.7 million pre-tax gain on the sale of land at The Washington Post newspaper, $32.0 million in pre-tax charges from early retirement programs at The Washington Post newspaper, $10.5 million in Kaplan stock compensation charges associated with the 10% premium and a $6.5 million charge for the Kaplan Educational Foundation. Fourth quarter operating results improved significantly at the Company’s education, television broadcasting and cable divisions. Excluding the pre-tax gain on the sale of land and the pre-tax charge from an early retirement program at The Washington Post newspaper in the fourth quarter of 2003, operating income increased at the newspaper publishing division as well. Magazine publishing operating income declined in the fourth quarter of 2004.</w:t>
      </w:r>
    </w:p>
    <w:p>
      <w:pPr>
        <w:spacing w:after="0" w:line="10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Excluding charges related to early retirement programs, the Company’s 2004 and 2003 operating income includes $42.0 million and $55.1 million of net pension credits, respectively. For the fourth quarter of 2004 and 2003, operating income includes $10.9 million and $14.1 million, respectively, of net pension credits. At December 28, 2003, the Company reduced its discount rate assumption from 6.75% to 6.25%. At January 2, 2005, the Company further reduced its discount rate assumption to 5.75%.</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Divisional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Newspaper Publishing</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At the newspaper publishing division, 2004 generally included 53 weeks compared to 52 weeks in 2003. Newspaper publishing division revenue in 2004 increased 7% to $938.1 million, from $872.8 million in 2003; revenues totaled $260.3 million for the fourth quarter of 2004, an 11% increase from $234.1 million for the fourth quarter of 2003. Division operating income for 2004 totaled $143.1 million, an increase of 7% from $134.2 million in 2003; operating income declined 16% to $43.4 million in the fourth quarter of 2004, from $51.5 million in the fourth quarter of 2003. The increase in operating income for 2004 reflects higher print and online advertising revenue, 2003 pre-tax charges of $34.1 million from early retirement programs at The Washington Post newspaper ($32.0 million in early retirement program charges were incurred in the fourth quarter of 2003) and payroll savings from the early retirement programs implemented at The Post in 2003. These factors were partially offset by a $41.7 million pre-tax gain on the sale of land at The Washington Post newspaper in the fourth quarter of 2003, a 12% increase in newsprint expense at The Post and a $10.8 million reduction in the net pension credit, excluding charges related to early retirement programs. Fourth quarter operating results in 2004 reflect higher print and online advertising revenue, payroll savings from early retirement programs implemented at The Post in 2003, a 22% increase in newsprint expense at The Post and a $2.2 million reduction in the net pension credit, excluding charges related to early retirement programs. Excluding the $41.7 pre-tax gain on the sale of land and the $32.0 million pre-tax charge for an early retirement program at The Post in the fourth quarter of 2003, fourth quarter 2004 operating income increased versus the prior year.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w:t>
      </w:r>
    </w:p>
    <w:p>
      <w:pPr>
        <w:spacing w:after="0" w:line="15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Print advertising revenue at The Washington Post newspaper in 2004 increased 5% to $603.3 million, from $572.2 million in 2003, and increased 9% to $170.2 million for the fourth quarter of 2004, from $155.9 million for the fourth quarter of 2003. The increase in print advertising revenue for 2004 is primarily due to increases in classified recruitment, preprints and general advertising categories. Classified recruitment advertising revenue was up 20% to $74.8 million in 2004, a $12.5 million increase compared to 2003. The increase in print advertising revenue for the fourth quarter of 2004 is primarily due to increases in retail, classified recruitment and preprints advertising categories. Classified recruitment advertising revenue was up 17% to $16.2 million, a $2.3 million increase compared to the fourth quarter of 2003.</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Daily circulation at The Post declined 2.6% and Sunday circulation declined 2.3% in 2004; average daily circulation totaled 726,000 and average Sunday circulation totaled 1,011,000.</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2004, revenue generated by the Company’s online publishing activities, primarily washingtonpost.com, increased 32% to $62.0 million, from $46.9 million in 2003. Online revenues increased 21% to $17.3 million for the fourth quarter of 2004, from $14.2 million for the fourth quarter of 2003. Local and national online advertising revenues grew 46% in 2004 and 24% for the fourth quarter of 2004. Online classified advertising revenue on washingtonpost.com increased 33% in 2004 and 25% for the fourth quarter of 2004.</w:t>
      </w:r>
    </w:p>
    <w:p>
      <w:pPr>
        <w:spacing w:after="0" w:line="13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January 14, 2005, the Company completed the acquisition of Slate, the online magazine, which will be included as part of the Company’s newspaper publishing division.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Television Broadcasting</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Revenue for the television broadcasting division increased 15% to $361.7 million in 2004, from $315.1 million in 2003, due to $34.3 million in political advertising in 2004, $8.0 million in incremental summer Olympics-related advertising at the Company’s NBC affiliates in 2004 and several days of commercial-free coverage in connection with the Iraq war in March 2003. Revenue increased 18% in the fourth quarter of 2004 to $103.8 million, from $87.9 million in 2003, due primarily to $17.5 million in political advertising in the fourth quarter of 2004.</w:t>
      </w:r>
    </w:p>
    <w:p>
      <w:pPr>
        <w:spacing w:after="0" w:line="13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Operating income for 2004 increased 25% to $174.2 million, from $139.7 million in 2003. For the fourth quarter of 2004, operating income increased 31% to $55.8 million, from $42.5 million for the fourth quarter of 2003. The operating income gains are primarily related to the revenue increases discussed above.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Magazine Publishing</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Revenue for the magazine publishing division totaled $366.1 million for 2004, a 4% increase from $353.6 million in 2003; revenue increased 1% to $105.3 for the fourth quarter of 2004, from $104.2 million in the fourth quarter of 2003. The revenue increase in 2004 is primarily due to a 9% increase in advertising revenue, largely from increased ad pages at the domestic and international editions of Newsweek and at Arthur Frommer’s Budget Travel magazine, as well as lower travel-related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advertising revenues at the Pacific edition of Newsweek in 2003 due to the SARS outbreak, offset by a 4% decline in circulation revenue. The revenue increase for the fourth quarter of 2004 is due primarily to a 4% increase in advertising revenue, largely from increased ad pages at Newsweek’s domestic edition, offset by a 4% decline in circulation revenue.</w:t>
      </w:r>
    </w:p>
    <w:p>
      <w:pPr>
        <w:spacing w:after="0" w:line="127"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Operating income totaled $52.9 million for 2004, an increase of 22% from $43.5 million in 2003; operating income for the fourth quarter totaled $17.0 million, a 15% decline from $19.9 million in the fourth quarter of 2003. The improvement in operating results for 2004 is primarily due to increased advertising revenue, continued cost controls at Newsweek’s international editions and improved results at the Company’s trade magazines. The fourth quarter operating results were down due to increases in subscription acquisition and general operating expenses at the domestic edition of Newsweek, and a reduced net pension credit.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Cable Television</w:t>
      </w:r>
    </w:p>
    <w:p>
      <w:pPr>
        <w:spacing w:after="0" w:line="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Cable division revenue of $499.3 million for 2004 represents a 9% increase from $459.4 in 2003; revenue totaled $127.0 million for the fourth quarter of 2004, a 7% increase from $119.1 million for the fourth quarter of 2003. The revenue increases are due to continued growth in the division’s cable modem and digital service revenues and a $2 monthly rate increase for basic cable service, effective March 1, 2004, at most of the cable division’s systems.</w:t>
      </w:r>
    </w:p>
    <w:p>
      <w:pPr>
        <w:spacing w:after="0" w:line="9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Cable division operating income increased 18% in 2004 to $104.2 million, from $88.4 million in 2003. For the fourth quarter of 2004, operating income increased 33% to $31.8 million, from $23.9 million for the fourth quarter of 2003. The increases in operating income for 2004 and the fourth quarter of 2004 are due mostly to the division’s significant revenue growth, offset by higher programming and internet costs. Depreciation expense in the fourth quarter of 2003 included approximately $2.0 million in accelerated write-offs associated with rebuilt plant.</w:t>
      </w:r>
    </w:p>
    <w:p>
      <w:pPr>
        <w:spacing w:after="0" w:line="9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At December 31, 2004, the cable division had approximately 219,200 digital cable subscribers, down slightly from 222,900 at December 31, 2003. This represents a 31% penetration of the subscriber base. At December 31, 2004, the cable division had 178,300 CableONE.net service subscribers, compared to 133,800 at December 31, 2003. Both digital and cable modem services are now offered in virtually all of the cable division’s markets. At December 31, 2004, the cable division had 709,100 basic subscribers, compared to 720,800 at December 31, 2003. The decrease is due to small losses associated with the basic rate increase discussed above, along with continued competition from DBS providers.</w:t>
      </w:r>
    </w:p>
    <w:p>
      <w:pPr>
        <w:spacing w:after="0" w:line="10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At December 31, 2004, Revenue Generating Units (the sum of basic video, digital video and cable modem subscribers) totaled 1,106,600, compared to 1,077,500 as of December 31, 2003. The increase is due to an increase in the number of cable modem customers.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Education division revenue in 2004 increased 35% to $1,134.9 million, from $838.1 million in 2003. Excluding revenue from acquired businesses, primarily in the higher education division and the professional training schools that are part of supplemental education, education division revenue increased 24% in 2004. Kaplan reported operating income of $121.5 million for the year, compared to an operating loss of $11.7 million in 2003; a significant portion of the improvement is from a $93.1 million decline in costs associated with the Kaplan stock option plan and the establishment of the Kaplan Educational Foundation, as discussed previously.</w:t>
      </w:r>
    </w:p>
    <w:p>
      <w:pPr>
        <w:spacing w:after="0" w:line="129"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Education division revenue totaled $306.3 million for the fourth quarter of 2004, a 28% increase over revenue of $240.1 million for the same period of 2003. Excluding revenue from acquired businesses, primarily in the higher education division and the professional training schools that are part of supplemental education, education division revenue increased 21% for the fourth quarter of 2004. Kaplan reported operating income for the fourth quarter of 2004 of $33.4 million, compared to operating income of $11.9 million for the fourth quarter of 2003; the increase is due primarily to the significant revenue growth during the quarter, as well as an $11.4 million decline in costs associated with the Kaplan stock option plan and the establishment of the Kaplan Educational Foundation in the fourth quarter of 2003.</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operating results for 2004 and the fourth quarter of 2004 compared to 2003 is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5"/>
              </w:rPr>
              <w:t>Fourth Quarter</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YTD</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980" w:type="dxa"/>
            <w:vAlign w:val="bottom"/>
            <w:gridSpan w:val="6"/>
          </w:tcPr>
          <w:p>
            <w:pPr>
              <w:ind w:left="58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5"/>
              </w:rPr>
              <w:t>% Change</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0"/>
              </w:rPr>
              <w:t>Revenue</w:t>
            </w:r>
          </w:p>
        </w:tc>
        <w:tc>
          <w:tcPr>
            <w:tcW w:w="2780" w:type="dxa"/>
            <w:vAlign w:val="bottom"/>
            <w:tcBorders>
              <w:bottom w:val="single" w:sz="8" w:color="CCEEFF"/>
            </w:tcBorders>
            <w:gridSpan w:val="2"/>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3"/>
          </w:tcPr>
          <w:p>
            <w:pPr>
              <w:ind w:left="60"/>
              <w:spacing w:after="0"/>
              <w:rPr>
                <w:sz w:val="20"/>
                <w:szCs w:val="20"/>
                <w:color w:val="auto"/>
              </w:rPr>
            </w:pPr>
            <w:r>
              <w:rPr>
                <w:rFonts w:ascii="Arial" w:cs="Arial" w:eastAsia="Arial" w:hAnsi="Arial"/>
                <w:sz w:val="18"/>
                <w:szCs w:val="18"/>
                <w:color w:val="auto"/>
              </w:rPr>
              <w:t>Supplemental education</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144,911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126,886</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575,014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469,757</w:t>
            </w:r>
          </w:p>
        </w:tc>
        <w:tc>
          <w:tcPr>
            <w:tcW w:w="3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Higher education</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161,392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113,190</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559,877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368,320</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306,303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240,076</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1,134,891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838,077</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5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6"/>
              </w:rPr>
              <w:t>Operating income (loss)</w:t>
            </w:r>
          </w:p>
        </w:tc>
        <w:tc>
          <w:tcPr>
            <w:tcW w:w="17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3"/>
          </w:tcPr>
          <w:p>
            <w:pPr>
              <w:ind w:left="60"/>
              <w:spacing w:after="0"/>
              <w:rPr>
                <w:sz w:val="20"/>
                <w:szCs w:val="20"/>
                <w:color w:val="auto"/>
              </w:rPr>
            </w:pPr>
            <w:r>
              <w:rPr>
                <w:rFonts w:ascii="Arial" w:cs="Arial" w:eastAsia="Arial" w:hAnsi="Arial"/>
                <w:sz w:val="18"/>
                <w:szCs w:val="18"/>
                <w:color w:val="auto"/>
              </w:rPr>
              <w:t>Supplemental education</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22,207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20,415</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100,795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87,044</w:t>
            </w:r>
          </w:p>
        </w:tc>
        <w:tc>
          <w:tcPr>
            <w:tcW w:w="3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Higher education</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20,959</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93,402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58,428</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3"/>
          </w:tcPr>
          <w:p>
            <w:pPr>
              <w:ind w:left="60"/>
              <w:spacing w:after="0"/>
              <w:rPr>
                <w:sz w:val="20"/>
                <w:szCs w:val="20"/>
                <w:color w:val="auto"/>
              </w:rPr>
            </w:pPr>
            <w:r>
              <w:rPr>
                <w:rFonts w:ascii="Arial" w:cs="Arial" w:eastAsia="Arial" w:hAnsi="Arial"/>
                <w:sz w:val="18"/>
                <w:szCs w:val="18"/>
                <w:color w:val="auto"/>
              </w:rPr>
              <w:t>Kaplan corporate overhead</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(7,406)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(14,424)</w:t>
            </w: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(31,533)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(36,782)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(11,126)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(15,029)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(41,209)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(120,399)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(11,709)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-1304925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-1304925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-1304925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-1304925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-1304925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-1304925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-1304925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-1304925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-1304925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-1304925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-1304925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-1304925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-1304925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-1304925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-1304925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-1304925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-172720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-172720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-172720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-172720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-172720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-172720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-172720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-172720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-172720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-172720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-172720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-172720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-172720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-172720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-172720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-172720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Other includes charges for Kaplan stock-based incentive compensation and amortization of certain intangibles.</w:t>
      </w:r>
    </w:p>
    <w:p>
      <w:pPr>
        <w:spacing w:after="0" w:line="15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Supplemental education includes Kaplan’s test preparation, professional training and Score! businesses. Excluding revenues from acquired businesses, supplemental education revenues grew by 14%. Test preparation revenue grew by 15% due to strong enrollment in the SAT/PSAT, MCAT and Advanced Med. In the fourth quarter of 2004, operating results reflect increased course development costs. Also included in supplemental education is The Financial Training Company (FTC), which was acquired in March 2003. Headquartered in London, FTC provides test preparation services for accountants and financial services professionals, with training centers in the United Kingdom and Asia. FTC revenues grew by 44% in 2004 over the same time period the business was owned by Kaplan in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9" w:name="page10"/>
    <w:bookmarkEnd w:id="9"/>
    <w:p>
      <w:pPr>
        <w:ind w:left="113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w:t>
      </w:r>
    </w:p>
    <w:p>
      <w:pPr>
        <w:spacing w:after="0" w:line="204"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color w:val="auto"/>
        </w:rPr>
        <w:t>2003. Supplemental education results also include professional real estate, insurance and security courses. Real estate publishing and training courses contributed to growth in supplemental education in 2004. The final component of supplemental education is Score!, which provides academic enrichment to children and has lower operating margins than the other supplemental education businesses due to higher fixed costs. Revenues at Score! were up slightly compared to 2003.</w:t>
      </w:r>
    </w:p>
    <w:p>
      <w:pPr>
        <w:spacing w:after="0" w:line="7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Higher education includes all of Kaplan’s post-secondary education businesses, including fixed-facility colleges as well as online post-secondary and career programs (various distance-learning businesses). Excluding revenue from acquired businesses, higher education revenues grew by 35% in 2004. Higher education results are showing significant growth, especially the online programs, in which revenues more than doubled in 2004. At the end of 2004, higher education enrollments totaled 58,000, compared to 45,000 at the end of 2003.</w:t>
      </w:r>
    </w:p>
    <w:p>
      <w:pPr>
        <w:spacing w:after="0" w:line="13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Corporate overhead represents unallocated expenses of Kaplan, Inc.’s corporate office, including a $6.5 million charge in the fourth quarter of 2003 for the Kaplan Educational Foundation.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Other expense comprises charges for stock-based incentive compensation arising from a stock option plan established for certain members of Kaplan’s management, and amortization of certain intangibles. Under the stock-based incentive plan, the amount of compensation expense varies directly with the estimated fair value of Kaplan’s common stock and the number of options outstanding. The Company recorded expense of $32.5 million and $119.1 million for 2004 and 2003, respectively, and $9.6 million and $14.5 million for the fourth quarter of 2004 and 2003, respectively, related to this plan. The stock compensation expense for 2003 included the impact of the third quarter 2003 buyout offer for approximately 55% of the stock options outstanding at Kaplan. The stock compensation expense in 2004 is based on the remaining Kaplan stock options held by a small number of Kaplan executives after the 2003 buyout.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Office</w:t>
      </w:r>
    </w:p>
    <w:p>
      <w:pPr>
        <w:spacing w:after="0" w:line="7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corporate office operating expenses increased to $32.8 million in 2004, from $30.3 million in 2003. The increase is primarily due to increased compliance costs in connection with Section 404 of the Sarbanes-Oxley Act of 2002.</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Equity in Losses of Affiliates</w:t>
      </w:r>
    </w:p>
    <w:p>
      <w:pPr>
        <w:spacing w:after="0" w:line="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Company’s equity in losses of affiliates for 2004 was $2.3 million, compared to losses of $9.8 million for 2003. For the fourth quarter of 2004, the Company’s equity in losses of affiliates totaled $0.8 million, compared to $0.5 million for the fourth quarter of 2003. The Company’s affiliate investments at the end of 2004 consisted of a 49% interest in BrassRing LLC and a 49% interest in Bowater Mersey Paper Company Limited. The reduction in affiliate losses for 2004 is attributable to improved operating results at both BrassRing and Bowater.</w:t>
      </w:r>
    </w:p>
    <w:p>
      <w:pPr>
        <w:spacing w:after="0" w:line="9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January 1, 2003, the Company sold its 50% interest in the International Herald Tribune for $65 million and recorded an after-tax non-operating gain of $32.3 million in the first quarter of 2003.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Non-Operating Income</w:t>
      </w:r>
    </w:p>
    <w:p>
      <w:pPr>
        <w:spacing w:after="0" w:line="77"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The Company recorded other non-operating income, net, of $8.1 million in 2004, compared to $55.4 million in 2003. For the fourth quarter of 2004, the Company recorded non-operating income, net, of $6.6 million, compared to $3.4 million for the fourth quarter of 2003. The 2004 non-operating income, net, is primarily from foreign currency gains. The 2003 non-operating income, net, mostly comprises a $49.8 million pre-tax gain from the sale of the Company’s 50% interest in the International Herald Tribune.</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Net Interest Expense</w:t>
      </w:r>
    </w:p>
    <w:p>
      <w:pPr>
        <w:spacing w:after="0" w:line="77"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Company incurred net interest expense of $26.4 million in 2004, compared to $26.9 million in 2003; net interest expense totaled $7.0 million for the fourth quarter of 2004, versus $6.7 million for the fourth quarter of 2003. At January 2, 2005, the Company had $484.1 million in borrowings outstanding at an average interest rate of 5.1%; at December 28, 2003, the Company had $631.1 million in borrowings outstanding.</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Provision for Income Taxes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effective tax rate was 38.7% for 2004, compared to 37.0% for 2003. The 2003 effective tax rate benefited from the 35.1% effective tax rate applicable to the one-time gain arising from the sale of the Company’s interest in the International Herald Tribune. The Company expects an effective tax rate in 2005 of approximately 38.7%.</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Earnings Per Share</w:t>
      </w:r>
    </w:p>
    <w:p>
      <w:pPr>
        <w:spacing w:after="0" w:line="7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calculations of diluted earnings per share for 2004 and the fourth quarter of 2004 were based on 9,592,000 and 9,601,000 weighted average shares, respectively, compared to 9,555,000 and 9,563,000, respectively, for 2003 and the fourth quarter of 2003. The Company made no significant repurchases of its stock during 2004.</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Forward-Looking Statements</w:t>
      </w:r>
    </w:p>
    <w:p>
      <w:pPr>
        <w:spacing w:after="0" w:line="7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 -</w:t>
      </w:r>
    </w:p>
    <w:p>
      <w:pPr>
        <w:sectPr>
          <w:pgSz w:w="11900" w:h="16838" w:orient="portrait"/>
          <w:cols w:equalWidth="0" w:num="1">
            <w:col w:w="11420"/>
          </w:cols>
          <w:pgMar w:left="240" w:top="280"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6"/>
          </w:tcPr>
          <w:p>
            <w:pPr>
              <w:ind w:left="440"/>
              <w:spacing w:after="0"/>
              <w:rPr>
                <w:sz w:val="20"/>
                <w:szCs w:val="20"/>
                <w:color w:val="auto"/>
              </w:rPr>
            </w:pPr>
            <w:r>
              <w:rPr>
                <w:rFonts w:ascii="Arial" w:cs="Arial" w:eastAsia="Arial" w:hAnsi="Arial"/>
                <w:sz w:val="14"/>
                <w:szCs w:val="14"/>
                <w:b w:val="1"/>
                <w:bCs w:val="1"/>
                <w:color w:val="auto"/>
              </w:rPr>
              <w:t>Fourth Quarter</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902,712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785,452</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(687,490)</w:t>
            </w:r>
          </w:p>
        </w:tc>
        <w:tc>
          <w:tcPr>
            <w:tcW w:w="8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w w:val="98"/>
              </w:rPr>
              <w:t>(644,120)</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land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41,747</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(41,690)</w:t>
            </w:r>
          </w:p>
        </w:tc>
        <w:tc>
          <w:tcPr>
            <w:tcW w:w="8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(44,821)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(1,741)</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171,791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137,732</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(761)</w:t>
            </w:r>
          </w:p>
        </w:tc>
        <w:tc>
          <w:tcPr>
            <w:tcW w:w="8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(484)</w:t>
            </w: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(7,467)</w:t>
            </w:r>
          </w:p>
        </w:tc>
        <w:tc>
          <w:tcPr>
            <w:tcW w:w="8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(6,872)</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170,630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133,979</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(64,700)</w:t>
            </w:r>
          </w:p>
        </w:tc>
        <w:tc>
          <w:tcPr>
            <w:tcW w:w="80" w:type="dxa"/>
            <w:vAlign w:val="bottom"/>
          </w:tcPr>
          <w:p>
            <w:pPr>
              <w:spacing w:after="0"/>
              <w:rPr>
                <w:sz w:val="19"/>
                <w:szCs w:val="19"/>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(46,500)</w:t>
            </w: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105,930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87,479</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tcPr>
          <w:p>
            <w:pPr>
              <w:spacing w:after="0"/>
              <w:rPr>
                <w:sz w:val="19"/>
                <w:szCs w:val="19"/>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105,930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87,479</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9,571,000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9,536,000</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9,601,000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9,563,000</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-974725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-974725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-974725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-974725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-974725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-974725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-674370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-674370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-674370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-674370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-674370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-674370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-374015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-374015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-374015</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-374015</wp:posOffset>
            </wp:positionV>
            <wp:extent cx="53594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3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3,300,104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2,838,911</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(2,552,426)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(2,341,554)</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land</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41,747</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(175,338)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(173,848)</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563,006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363,820</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Equity in losses of affiliates, net</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(9,766)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(28,032)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(27,804)</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55,385</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542,432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382,588</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(209,700)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(141,500)</w:t>
            </w: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332,732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241,088</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Redeemable preferred stock dividends</w:t>
            </w: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(1,027)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331,740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240,061</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average shares outstanding</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9,563,000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9,530,000</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9,592,000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9,555,000</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-974725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-974725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-974725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-974725</wp:posOffset>
            </wp:positionV>
            <wp:extent cx="57848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-674370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-674370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-674370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-674370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-674370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-674370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-374015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-374015</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-374015</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-374015</wp:posOffset>
            </wp:positionV>
            <wp:extent cx="57848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28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7"/>
          </w:tcPr>
          <w:p>
            <w:pPr>
              <w:ind w:left="260"/>
              <w:spacing w:after="0"/>
              <w:rPr>
                <w:sz w:val="20"/>
                <w:szCs w:val="20"/>
                <w:color w:val="auto"/>
              </w:rPr>
            </w:pPr>
            <w:r>
              <w:rPr>
                <w:rFonts w:ascii="Arial" w:cs="Arial" w:eastAsia="Arial" w:hAnsi="Arial"/>
                <w:sz w:val="14"/>
                <w:szCs w:val="14"/>
                <w:b w:val="1"/>
                <w:bCs w:val="1"/>
                <w:color w:val="auto"/>
              </w:rPr>
              <w:t>Fourth Quarter</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Year-to-Date</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w:t>
            </w:r>
          </w:p>
        </w:tc>
        <w:tc>
          <w:tcPr>
            <w:tcW w:w="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5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260,332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234,138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938,066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872,754</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103,789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361,716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315,126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105,303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104,185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366,119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353,555</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126,985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119,133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499,312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459,399</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306,303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240,076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1,134,891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838,077</w:t>
            </w: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902,712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785,452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3,300,104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2,838,911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420"/>
              <w:spacing w:after="0"/>
              <w:rPr>
                <w:sz w:val="20"/>
                <w:szCs w:val="20"/>
                <w:color w:val="auto"/>
              </w:rPr>
            </w:pPr>
            <w:r>
              <w:rPr>
                <w:rFonts w:ascii="Arial" w:cs="Arial" w:eastAsia="Arial" w:hAnsi="Arial"/>
                <w:sz w:val="18"/>
                <w:szCs w:val="18"/>
                <w:color w:val="auto"/>
              </w:rPr>
              <w:t>Newspaper publishing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216,892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182,610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794,980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738,557</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187,540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175,382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88,273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84,256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313,198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310,051</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95,196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395,141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371,007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272,903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228,155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1,013,436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849,786</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730,921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647,720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2,737,098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2,475,091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43,440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51,528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143,086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134,197</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174,176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139,744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17,030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19,929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52,921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43,504</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11,921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121,455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(11,709)</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office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2"/>
              </w:rPr>
              <w:t>(12,063)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(32,803)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(30,308)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171,791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137,732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563,006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363,820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8,839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9,991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36,862</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41,914</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3,255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3,727</w:t>
            </w: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92,804</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8,427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6,207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29,154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23,989</w:t>
            </w: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175,338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173,848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420"/>
              <w:spacing w:after="0"/>
              <w:rPr>
                <w:sz w:val="20"/>
                <w:szCs w:val="20"/>
                <w:color w:val="auto"/>
              </w:rPr>
            </w:pPr>
            <w:r>
              <w:rPr>
                <w:rFonts w:ascii="Arial" w:cs="Arial" w:eastAsia="Arial" w:hAnsi="Arial"/>
                <w:sz w:val="18"/>
                <w:szCs w:val="18"/>
                <w:color w:val="auto"/>
              </w:rPr>
              <w:t>Newspaper publishing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420"/>
              <w:spacing w:after="0"/>
              <w:rPr>
                <w:sz w:val="20"/>
                <w:szCs w:val="20"/>
                <w:color w:val="auto"/>
              </w:rPr>
            </w:pPr>
            <w:r>
              <w:rPr>
                <w:rFonts w:ascii="Arial" w:cs="Arial" w:eastAsia="Arial" w:hAnsi="Arial"/>
                <w:sz w:val="18"/>
                <w:szCs w:val="18"/>
                <w:color w:val="auto"/>
              </w:rPr>
              <w:t>Magazine publishing</w:t>
            </w:r>
          </w:p>
        </w:tc>
        <w:tc>
          <w:tcPr>
            <w:tcW w:w="100" w:type="dxa"/>
            <w:vAlign w:val="bottom"/>
          </w:tcPr>
          <w:p>
            <w:pPr>
              <w:spacing w:after="0"/>
              <w:rPr>
                <w:sz w:val="18"/>
                <w:szCs w:val="18"/>
                <w:color w:val="auto"/>
              </w:rPr>
            </w:pPr>
          </w:p>
        </w:tc>
        <w:tc>
          <w:tcPr>
            <w:tcW w:w="8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8,663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1,270</w:t>
            </w: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-5524500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-5524500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-5524500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-5524500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-5524500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-5524500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-5524500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-5524500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-5524500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-5524500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-5524500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-5524500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-5524500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-5524500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-5524500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-5524500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-4117975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-4117975</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-4117975</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-4117975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-4117975</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-4117975</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-4117975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-4117975</wp:posOffset>
            </wp:positionV>
            <wp:extent cx="9302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027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-4117975</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-4117975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-4117975</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-2711450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-2711450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-2711450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-2711450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-2711450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-2711450</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-2711450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-2711450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-2711450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-2711450</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-2711450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-2711450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-2711450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-2711450</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-2711450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-2711450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-1442085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-1442085</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-1442085</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-1442085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-1442085</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-1442085</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-1442085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-1442085</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-1442085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-1442085</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-1442085</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-1442085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-1442085</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-1442085</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-1442085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-1442085</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-172720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-172720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-172720</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-172720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-172720</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-172720</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-172720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-172720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-172720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-172720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-172720</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-172720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-172720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-172720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-172720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6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Newspaper publishing operating expenses in the fourth quarter of 2003 included $31,972 in early retirement program expenses and are reduced by $41,747 in connection with a gain on the sale of land at The Washington Post Newspaper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2019-12-13T07:51:42Z</dcterms:created>
  <dcterms:modified xsi:type="dcterms:W3CDTF">2019-12-13T07:51:42Z</dcterms:modified>
</cp:coreProperties>
</file>