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Cable 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CABO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5,842,313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5,843,313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5,843,313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29, 2015, Cable One, Inc. ("Cable ONE"), a Delaware corporation, distributed to Graham Holdings Company ("Graham"), its sole stockholder, 5,842,313 newly issued shares of common stock, par value $0.01 per share, of Cable ONE (the "Cable ONE Common Stock") in the form of a dividend.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July 1, 2015, Graham disposed of all 5,843,313 shares of Cable ONE Common Stock issued and outstanding by distributing, as a pro rata dividend to Graham's stockholders, one share of Cable ONE Common Stock for every one share of Graham Class A common stock, par value $1.00 per share, and Class B common stock, par value $1.00 per share, held by each holder of record as of 5:00 p.m. New York City time on June 15, 2015, to effect the legal and structural separation of Cable ONE from Graham.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Nicole M. Maddrey,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50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47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 and Secretary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239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Graham Holdings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73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6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0104889" TargetMode="External"/><Relationship Id="rId13" Type="http://schemas.openxmlformats.org/officeDocument/2006/relationships/hyperlink" Target="http://www.sec.gov/cgi-bin/browse-edgar?action=getcompany&amp;CIK=0001632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2019-12-05T16:57:33Z</dcterms:created>
  <dcterms:modified xsi:type="dcterms:W3CDTF">2019-12-05T16:57:33Z</dcterms:modified>
</cp:coreProperties>
</file>