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2940" w:val="left"/>
          <w:tab w:leader="none" w:pos="5900" w:val="left"/>
        </w:tabs>
        <w:rPr>
          <w:sz w:val="20"/>
          <w:szCs w:val="20"/>
          <w:color w:val="auto"/>
        </w:rPr>
      </w:pPr>
      <w:r>
        <w:rPr>
          <w:rFonts w:ascii="Arial" w:cs="Arial" w:eastAsia="Arial" w:hAnsi="Arial"/>
          <w:sz w:val="18"/>
          <w:szCs w:val="18"/>
          <w:color w:val="auto"/>
        </w:rPr>
        <w:t>CUSIP NO.939640108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 OF 7</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(Amendment No. 5)*</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Common Stock - Class B, par value $1</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(Title of Class of Securities)</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939640108</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(CUSIP Number)</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December 31, 2005</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color w:val="auto"/>
        </w:rPr>
        <w:t>Rule 13d-1(b)</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o Rule 13d-1(c)</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Rule 13d-1(d)</w:t>
      </w:r>
    </w:p>
    <w:p>
      <w:pPr>
        <w:spacing w:after="0" w:line="21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6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80"/>
          </w:cols>
          <w:pgMar w:left="240" w:top="239" w:right="479" w:bottom="1440" w:gutter="0" w:footer="0" w:header="0"/>
        </w:sectPr>
      </w:pPr>
    </w:p>
    <w:bookmarkStart w:id="1" w:name="page2"/>
    <w:bookmarkEnd w:id="1"/>
    <w:p>
      <w:pPr>
        <w:spacing w:after="0"/>
        <w:tabs>
          <w:tab w:leader="none" w:pos="2940" w:val="left"/>
          <w:tab w:leader="none" w:pos="5900" w:val="left"/>
        </w:tabs>
        <w:rPr>
          <w:sz w:val="20"/>
          <w:szCs w:val="20"/>
          <w:color w:val="auto"/>
        </w:rPr>
      </w:pPr>
      <w:r>
        <w:rPr>
          <w:rFonts w:ascii="Arial" w:cs="Arial" w:eastAsia="Arial" w:hAnsi="Arial"/>
          <w:sz w:val="18"/>
          <w:szCs w:val="18"/>
          <w:color w:val="auto"/>
        </w:rPr>
        <w:t>CUSIP NO.939640108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2 OF 7</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320" w:type="dxa"/>
            <w:vAlign w:val="bottom"/>
          </w:tcPr>
          <w:p>
            <w:pPr>
              <w:jc w:val="right"/>
              <w:ind w:right="2032"/>
              <w:spacing w:after="0"/>
              <w:rPr>
                <w:sz w:val="20"/>
                <w:szCs w:val="20"/>
                <w:color w:val="auto"/>
              </w:rPr>
            </w:pPr>
            <w:r>
              <w:rPr>
                <w:rFonts w:ascii="Arial" w:cs="Arial" w:eastAsia="Arial" w:hAnsi="Arial"/>
                <w:sz w:val="22"/>
                <w:szCs w:val="22"/>
                <w:color w:val="auto"/>
                <w:w w:val="86"/>
              </w:rPr>
              <w:t>1.</w:t>
            </w:r>
          </w:p>
        </w:tc>
        <w:tc>
          <w:tcPr>
            <w:tcW w:w="6540" w:type="dxa"/>
            <w:vAlign w:val="bottom"/>
          </w:tcPr>
          <w:p>
            <w:pPr>
              <w:ind w:left="2140"/>
              <w:spacing w:after="0"/>
              <w:rPr>
                <w:sz w:val="20"/>
                <w:szCs w:val="20"/>
                <w:color w:val="auto"/>
              </w:rPr>
            </w:pPr>
            <w:r>
              <w:rPr>
                <w:rFonts w:ascii="Arial" w:cs="Arial" w:eastAsia="Arial" w:hAnsi="Arial"/>
                <w:sz w:val="22"/>
                <w:szCs w:val="22"/>
                <w:color w:val="auto"/>
              </w:rPr>
              <w:t>NAMES OF REPORTING PERSONS.</w:t>
            </w:r>
          </w:p>
        </w:tc>
      </w:tr>
      <w:tr>
        <w:trPr>
          <w:trHeight w:val="270"/>
        </w:trPr>
        <w:tc>
          <w:tcPr>
            <w:tcW w:w="2320" w:type="dxa"/>
            <w:vAlign w:val="bottom"/>
          </w:tcPr>
          <w:p>
            <w:pPr>
              <w:spacing w:after="0"/>
              <w:rPr>
                <w:sz w:val="23"/>
                <w:szCs w:val="23"/>
                <w:color w:val="auto"/>
              </w:rPr>
            </w:pPr>
          </w:p>
        </w:tc>
        <w:tc>
          <w:tcPr>
            <w:tcW w:w="6540" w:type="dxa"/>
            <w:vAlign w:val="bottom"/>
          </w:tcPr>
          <w:p>
            <w:pPr>
              <w:ind w:left="2140"/>
              <w:spacing w:after="0"/>
              <w:rPr>
                <w:sz w:val="20"/>
                <w:szCs w:val="20"/>
                <w:color w:val="auto"/>
              </w:rPr>
            </w:pPr>
            <w:r>
              <w:rPr>
                <w:rFonts w:ascii="Arial" w:cs="Arial" w:eastAsia="Arial" w:hAnsi="Arial"/>
                <w:sz w:val="22"/>
                <w:szCs w:val="22"/>
                <w:color w:val="auto"/>
              </w:rPr>
              <w:t>I.R.S. IDENTIFICATION NOS. OF ABOVE</w:t>
            </w:r>
          </w:p>
        </w:tc>
      </w:tr>
      <w:tr>
        <w:trPr>
          <w:trHeight w:val="275"/>
        </w:trPr>
        <w:tc>
          <w:tcPr>
            <w:tcW w:w="2320" w:type="dxa"/>
            <w:vAlign w:val="bottom"/>
          </w:tcPr>
          <w:p>
            <w:pPr>
              <w:spacing w:after="0"/>
              <w:rPr>
                <w:sz w:val="23"/>
                <w:szCs w:val="23"/>
                <w:color w:val="auto"/>
              </w:rPr>
            </w:pPr>
          </w:p>
        </w:tc>
        <w:tc>
          <w:tcPr>
            <w:tcW w:w="6540" w:type="dxa"/>
            <w:vAlign w:val="bottom"/>
          </w:tcPr>
          <w:p>
            <w:pPr>
              <w:ind w:left="2140"/>
              <w:spacing w:after="0"/>
              <w:rPr>
                <w:sz w:val="20"/>
                <w:szCs w:val="20"/>
                <w:color w:val="auto"/>
              </w:rPr>
            </w:pPr>
            <w:r>
              <w:rPr>
                <w:rFonts w:ascii="Arial" w:cs="Arial" w:eastAsia="Arial" w:hAnsi="Arial"/>
                <w:sz w:val="22"/>
                <w:szCs w:val="22"/>
                <w:color w:val="auto"/>
              </w:rPr>
              <w:t>PERSONS (ENTITIES ONLY).</w:t>
            </w:r>
          </w:p>
        </w:tc>
      </w:tr>
      <w:tr>
        <w:trPr>
          <w:trHeight w:val="513"/>
        </w:trPr>
        <w:tc>
          <w:tcPr>
            <w:tcW w:w="2320" w:type="dxa"/>
            <w:vAlign w:val="bottom"/>
          </w:tcPr>
          <w:p>
            <w:pPr>
              <w:spacing w:after="0"/>
              <w:rPr>
                <w:sz w:val="24"/>
                <w:szCs w:val="24"/>
                <w:color w:val="auto"/>
              </w:rPr>
            </w:pPr>
          </w:p>
        </w:tc>
        <w:tc>
          <w:tcPr>
            <w:tcW w:w="6540" w:type="dxa"/>
            <w:vAlign w:val="bottom"/>
          </w:tcPr>
          <w:p>
            <w:pPr>
              <w:ind w:left="2140"/>
              <w:spacing w:after="0"/>
              <w:rPr>
                <w:sz w:val="20"/>
                <w:szCs w:val="20"/>
                <w:color w:val="auto"/>
              </w:rPr>
            </w:pPr>
            <w:r>
              <w:rPr>
                <w:rFonts w:ascii="Arial" w:cs="Arial" w:eastAsia="Arial" w:hAnsi="Arial"/>
                <w:sz w:val="22"/>
                <w:szCs w:val="22"/>
                <w:color w:val="auto"/>
              </w:rPr>
              <w:t>Franklin Mutual Advisers, LLC (22-3463202)</w:t>
            </w:r>
          </w:p>
        </w:tc>
      </w:tr>
      <w:tr>
        <w:trPr>
          <w:trHeight w:val="711"/>
        </w:trPr>
        <w:tc>
          <w:tcPr>
            <w:tcW w:w="2320" w:type="dxa"/>
            <w:vAlign w:val="bottom"/>
          </w:tcPr>
          <w:p>
            <w:pPr>
              <w:jc w:val="right"/>
              <w:ind w:right="2032"/>
              <w:spacing w:after="0"/>
              <w:rPr>
                <w:sz w:val="20"/>
                <w:szCs w:val="20"/>
                <w:color w:val="auto"/>
              </w:rPr>
            </w:pPr>
            <w:r>
              <w:rPr>
                <w:rFonts w:ascii="Arial" w:cs="Arial" w:eastAsia="Arial" w:hAnsi="Arial"/>
                <w:sz w:val="22"/>
                <w:szCs w:val="22"/>
                <w:color w:val="auto"/>
                <w:w w:val="86"/>
              </w:rPr>
              <w:t>2.</w:t>
            </w:r>
          </w:p>
        </w:tc>
        <w:tc>
          <w:tcPr>
            <w:tcW w:w="6540" w:type="dxa"/>
            <w:vAlign w:val="bottom"/>
          </w:tcPr>
          <w:p>
            <w:pPr>
              <w:ind w:left="2140"/>
              <w:spacing w:after="0"/>
              <w:rPr>
                <w:sz w:val="20"/>
                <w:szCs w:val="20"/>
                <w:color w:val="auto"/>
              </w:rPr>
            </w:pPr>
            <w:r>
              <w:rPr>
                <w:rFonts w:ascii="Arial" w:cs="Arial" w:eastAsia="Arial" w:hAnsi="Arial"/>
                <w:sz w:val="22"/>
                <w:szCs w:val="22"/>
                <w:color w:val="auto"/>
              </w:rPr>
              <w:t>CHECK THE APPROPRIATE BOX IF A</w:t>
            </w:r>
          </w:p>
        </w:tc>
      </w:tr>
      <w:tr>
        <w:trPr>
          <w:trHeight w:val="275"/>
        </w:trPr>
        <w:tc>
          <w:tcPr>
            <w:tcW w:w="2320" w:type="dxa"/>
            <w:vAlign w:val="bottom"/>
          </w:tcPr>
          <w:p>
            <w:pPr>
              <w:spacing w:after="0"/>
              <w:rPr>
                <w:sz w:val="23"/>
                <w:szCs w:val="23"/>
                <w:color w:val="auto"/>
              </w:rPr>
            </w:pPr>
          </w:p>
        </w:tc>
        <w:tc>
          <w:tcPr>
            <w:tcW w:w="6540" w:type="dxa"/>
            <w:vAlign w:val="bottom"/>
          </w:tcPr>
          <w:p>
            <w:pPr>
              <w:ind w:left="2140"/>
              <w:spacing w:after="0"/>
              <w:rPr>
                <w:sz w:val="20"/>
                <w:szCs w:val="20"/>
                <w:color w:val="auto"/>
              </w:rPr>
            </w:pPr>
            <w:r>
              <w:rPr>
                <w:rFonts w:ascii="Arial" w:cs="Arial" w:eastAsia="Arial" w:hAnsi="Arial"/>
                <w:sz w:val="22"/>
                <w:szCs w:val="22"/>
                <w:color w:val="auto"/>
              </w:rPr>
              <w:t>MEMBER OF A GROUP</w:t>
            </w:r>
          </w:p>
        </w:tc>
      </w:tr>
      <w:tr>
        <w:trPr>
          <w:trHeight w:val="495"/>
        </w:trPr>
        <w:tc>
          <w:tcPr>
            <w:tcW w:w="2320" w:type="dxa"/>
            <w:vAlign w:val="bottom"/>
          </w:tcPr>
          <w:p>
            <w:pPr>
              <w:spacing w:after="0"/>
              <w:rPr>
                <w:sz w:val="24"/>
                <w:szCs w:val="24"/>
                <w:color w:val="auto"/>
              </w:rPr>
            </w:pPr>
          </w:p>
        </w:tc>
        <w:tc>
          <w:tcPr>
            <w:tcW w:w="6540" w:type="dxa"/>
            <w:vAlign w:val="bottom"/>
          </w:tcPr>
          <w:p>
            <w:pPr>
              <w:ind w:left="2140"/>
              <w:spacing w:after="0"/>
              <w:rPr>
                <w:sz w:val="20"/>
                <w:szCs w:val="20"/>
                <w:color w:val="auto"/>
              </w:rPr>
            </w:pPr>
            <w:r>
              <w:rPr>
                <w:rFonts w:ascii="Arial" w:cs="Arial" w:eastAsia="Arial" w:hAnsi="Arial"/>
                <w:sz w:val="22"/>
                <w:szCs w:val="22"/>
                <w:color w:val="auto"/>
              </w:rPr>
              <w:t>(a)</w:t>
            </w:r>
          </w:p>
        </w:tc>
      </w:tr>
      <w:tr>
        <w:trPr>
          <w:trHeight w:val="275"/>
        </w:trPr>
        <w:tc>
          <w:tcPr>
            <w:tcW w:w="2320" w:type="dxa"/>
            <w:vAlign w:val="bottom"/>
          </w:tcPr>
          <w:p>
            <w:pPr>
              <w:spacing w:after="0"/>
              <w:rPr>
                <w:sz w:val="23"/>
                <w:szCs w:val="23"/>
                <w:color w:val="auto"/>
              </w:rPr>
            </w:pPr>
          </w:p>
        </w:tc>
        <w:tc>
          <w:tcPr>
            <w:tcW w:w="6540" w:type="dxa"/>
            <w:vAlign w:val="bottom"/>
          </w:tcPr>
          <w:p>
            <w:pPr>
              <w:ind w:left="2140"/>
              <w:spacing w:after="0"/>
              <w:rPr>
                <w:sz w:val="20"/>
                <w:szCs w:val="20"/>
                <w:color w:val="auto"/>
              </w:rPr>
            </w:pPr>
            <w:r>
              <w:rPr>
                <w:rFonts w:ascii="Arial" w:cs="Arial" w:eastAsia="Arial" w:hAnsi="Arial"/>
                <w:sz w:val="22"/>
                <w:szCs w:val="22"/>
                <w:color w:val="auto"/>
              </w:rPr>
              <w:t>(b) X</w:t>
            </w:r>
          </w:p>
        </w:tc>
      </w:tr>
      <w:tr>
        <w:trPr>
          <w:trHeight w:val="500"/>
        </w:trPr>
        <w:tc>
          <w:tcPr>
            <w:tcW w:w="2320" w:type="dxa"/>
            <w:vAlign w:val="bottom"/>
          </w:tcPr>
          <w:p>
            <w:pPr>
              <w:jc w:val="right"/>
              <w:ind w:right="2032"/>
              <w:spacing w:after="0"/>
              <w:rPr>
                <w:sz w:val="20"/>
                <w:szCs w:val="20"/>
                <w:color w:val="auto"/>
              </w:rPr>
            </w:pPr>
            <w:r>
              <w:rPr>
                <w:rFonts w:ascii="Arial" w:cs="Arial" w:eastAsia="Arial" w:hAnsi="Arial"/>
                <w:sz w:val="22"/>
                <w:szCs w:val="22"/>
                <w:color w:val="auto"/>
                <w:w w:val="86"/>
              </w:rPr>
              <w:t>3.</w:t>
            </w:r>
          </w:p>
        </w:tc>
        <w:tc>
          <w:tcPr>
            <w:tcW w:w="6540" w:type="dxa"/>
            <w:vAlign w:val="bottom"/>
          </w:tcPr>
          <w:p>
            <w:pPr>
              <w:ind w:left="2140"/>
              <w:spacing w:after="0"/>
              <w:rPr>
                <w:sz w:val="20"/>
                <w:szCs w:val="20"/>
                <w:color w:val="auto"/>
              </w:rPr>
            </w:pPr>
            <w:r>
              <w:rPr>
                <w:rFonts w:ascii="Arial" w:cs="Arial" w:eastAsia="Arial" w:hAnsi="Arial"/>
                <w:sz w:val="22"/>
                <w:szCs w:val="22"/>
                <w:color w:val="auto"/>
              </w:rPr>
              <w:t>SEC USE ONLY</w:t>
            </w:r>
          </w:p>
        </w:tc>
      </w:tr>
      <w:tr>
        <w:trPr>
          <w:trHeight w:val="486"/>
        </w:trPr>
        <w:tc>
          <w:tcPr>
            <w:tcW w:w="2320" w:type="dxa"/>
            <w:vAlign w:val="bottom"/>
          </w:tcPr>
          <w:p>
            <w:pPr>
              <w:jc w:val="right"/>
              <w:ind w:right="2032"/>
              <w:spacing w:after="0"/>
              <w:rPr>
                <w:sz w:val="20"/>
                <w:szCs w:val="20"/>
                <w:color w:val="auto"/>
              </w:rPr>
            </w:pPr>
            <w:r>
              <w:rPr>
                <w:rFonts w:ascii="Arial" w:cs="Arial" w:eastAsia="Arial" w:hAnsi="Arial"/>
                <w:sz w:val="22"/>
                <w:szCs w:val="22"/>
                <w:color w:val="auto"/>
                <w:w w:val="86"/>
              </w:rPr>
              <w:t>4.</w:t>
            </w:r>
          </w:p>
        </w:tc>
        <w:tc>
          <w:tcPr>
            <w:tcW w:w="6540" w:type="dxa"/>
            <w:vAlign w:val="bottom"/>
          </w:tcPr>
          <w:p>
            <w:pPr>
              <w:ind w:left="2140"/>
              <w:spacing w:after="0"/>
              <w:rPr>
                <w:sz w:val="20"/>
                <w:szCs w:val="20"/>
                <w:color w:val="auto"/>
              </w:rPr>
            </w:pPr>
            <w:r>
              <w:rPr>
                <w:rFonts w:ascii="Arial" w:cs="Arial" w:eastAsia="Arial" w:hAnsi="Arial"/>
                <w:sz w:val="22"/>
                <w:szCs w:val="22"/>
                <w:color w:val="auto"/>
                <w:w w:val="94"/>
              </w:rPr>
              <w:t>CITIZENSHIP OR PLACE OF ORGANIZATION</w:t>
            </w:r>
          </w:p>
        </w:tc>
      </w:tr>
      <w:tr>
        <w:trPr>
          <w:trHeight w:val="500"/>
        </w:trPr>
        <w:tc>
          <w:tcPr>
            <w:tcW w:w="2320" w:type="dxa"/>
            <w:vAlign w:val="bottom"/>
          </w:tcPr>
          <w:p>
            <w:pPr>
              <w:spacing w:after="0"/>
              <w:rPr>
                <w:sz w:val="24"/>
                <w:szCs w:val="24"/>
                <w:color w:val="auto"/>
              </w:rPr>
            </w:pPr>
          </w:p>
        </w:tc>
        <w:tc>
          <w:tcPr>
            <w:tcW w:w="6540" w:type="dxa"/>
            <w:vAlign w:val="bottom"/>
          </w:tcPr>
          <w:p>
            <w:pPr>
              <w:ind w:left="2140"/>
              <w:spacing w:after="0"/>
              <w:rPr>
                <w:sz w:val="20"/>
                <w:szCs w:val="20"/>
                <w:color w:val="auto"/>
              </w:rPr>
            </w:pPr>
            <w:r>
              <w:rPr>
                <w:rFonts w:ascii="Arial" w:cs="Arial" w:eastAsia="Arial" w:hAnsi="Arial"/>
                <w:sz w:val="22"/>
                <w:szCs w:val="22"/>
                <w:color w:val="auto"/>
              </w:rPr>
              <w:t>Delaware</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NUMBER OF SHARES BENEFICIALLY OWNED BY EACH REPORTING PERSON WITH:</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780" w:type="dxa"/>
            <w:vAlign w:val="bottom"/>
          </w:tcPr>
          <w:p>
            <w:pPr>
              <w:ind w:left="2960"/>
              <w:spacing w:after="0"/>
              <w:rPr>
                <w:sz w:val="20"/>
                <w:szCs w:val="20"/>
                <w:color w:val="auto"/>
              </w:rPr>
            </w:pPr>
            <w:r>
              <w:rPr>
                <w:rFonts w:ascii="Arial" w:cs="Arial" w:eastAsia="Arial" w:hAnsi="Arial"/>
                <w:sz w:val="22"/>
                <w:szCs w:val="22"/>
                <w:color w:val="auto"/>
              </w:rPr>
              <w:t>5.</w:t>
            </w:r>
          </w:p>
        </w:tc>
        <w:tc>
          <w:tcPr>
            <w:tcW w:w="4860" w:type="dxa"/>
            <w:vAlign w:val="bottom"/>
          </w:tcPr>
          <w:p>
            <w:pPr>
              <w:ind w:left="2140"/>
              <w:spacing w:after="0"/>
              <w:rPr>
                <w:sz w:val="20"/>
                <w:szCs w:val="20"/>
                <w:color w:val="auto"/>
              </w:rPr>
            </w:pPr>
            <w:r>
              <w:rPr>
                <w:rFonts w:ascii="Arial" w:cs="Arial" w:eastAsia="Arial" w:hAnsi="Arial"/>
                <w:sz w:val="22"/>
                <w:szCs w:val="22"/>
                <w:color w:val="auto"/>
              </w:rPr>
              <w:t>SOLE VOTING POWER</w:t>
            </w:r>
          </w:p>
        </w:tc>
      </w:tr>
      <w:tr>
        <w:trPr>
          <w:trHeight w:val="527"/>
        </w:trPr>
        <w:tc>
          <w:tcPr>
            <w:tcW w:w="3780" w:type="dxa"/>
            <w:vAlign w:val="bottom"/>
          </w:tcPr>
          <w:p>
            <w:pPr>
              <w:spacing w:after="0"/>
              <w:rPr>
                <w:sz w:val="24"/>
                <w:szCs w:val="24"/>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(See Item 4)</w:t>
            </w:r>
          </w:p>
        </w:tc>
      </w:tr>
      <w:tr>
        <w:trPr>
          <w:trHeight w:val="500"/>
        </w:trPr>
        <w:tc>
          <w:tcPr>
            <w:tcW w:w="3780" w:type="dxa"/>
            <w:vAlign w:val="bottom"/>
          </w:tcPr>
          <w:p>
            <w:pPr>
              <w:ind w:left="2960"/>
              <w:spacing w:after="0"/>
              <w:rPr>
                <w:sz w:val="20"/>
                <w:szCs w:val="20"/>
                <w:color w:val="auto"/>
              </w:rPr>
            </w:pPr>
            <w:r>
              <w:rPr>
                <w:rFonts w:ascii="Arial" w:cs="Arial" w:eastAsia="Arial" w:hAnsi="Arial"/>
                <w:sz w:val="22"/>
                <w:szCs w:val="22"/>
                <w:color w:val="auto"/>
              </w:rPr>
              <w:t>6.</w:t>
            </w:r>
          </w:p>
        </w:tc>
        <w:tc>
          <w:tcPr>
            <w:tcW w:w="4860" w:type="dxa"/>
            <w:vAlign w:val="bottom"/>
          </w:tcPr>
          <w:p>
            <w:pPr>
              <w:ind w:left="2140"/>
              <w:spacing w:after="0"/>
              <w:rPr>
                <w:sz w:val="20"/>
                <w:szCs w:val="20"/>
                <w:color w:val="auto"/>
              </w:rPr>
            </w:pPr>
            <w:r>
              <w:rPr>
                <w:rFonts w:ascii="Arial" w:cs="Arial" w:eastAsia="Arial" w:hAnsi="Arial"/>
                <w:sz w:val="22"/>
                <w:szCs w:val="22"/>
                <w:color w:val="auto"/>
                <w:w w:val="99"/>
              </w:rPr>
              <w:t>SHARED VOTING POWER</w:t>
            </w:r>
          </w:p>
        </w:tc>
      </w:tr>
      <w:tr>
        <w:trPr>
          <w:trHeight w:val="527"/>
        </w:trPr>
        <w:tc>
          <w:tcPr>
            <w:tcW w:w="3780" w:type="dxa"/>
            <w:vAlign w:val="bottom"/>
          </w:tcPr>
          <w:p>
            <w:pPr>
              <w:spacing w:after="0"/>
              <w:rPr>
                <w:sz w:val="24"/>
                <w:szCs w:val="24"/>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0</w:t>
            </w:r>
          </w:p>
        </w:tc>
      </w:tr>
      <w:tr>
        <w:trPr>
          <w:trHeight w:val="500"/>
        </w:trPr>
        <w:tc>
          <w:tcPr>
            <w:tcW w:w="3780" w:type="dxa"/>
            <w:vAlign w:val="bottom"/>
          </w:tcPr>
          <w:p>
            <w:pPr>
              <w:ind w:left="2960"/>
              <w:spacing w:after="0"/>
              <w:rPr>
                <w:sz w:val="20"/>
                <w:szCs w:val="20"/>
                <w:color w:val="auto"/>
              </w:rPr>
            </w:pPr>
            <w:r>
              <w:rPr>
                <w:rFonts w:ascii="Arial" w:cs="Arial" w:eastAsia="Arial" w:hAnsi="Arial"/>
                <w:sz w:val="22"/>
                <w:szCs w:val="22"/>
                <w:color w:val="auto"/>
              </w:rPr>
              <w:t>7.</w:t>
            </w:r>
          </w:p>
        </w:tc>
        <w:tc>
          <w:tcPr>
            <w:tcW w:w="4860" w:type="dxa"/>
            <w:vAlign w:val="bottom"/>
          </w:tcPr>
          <w:p>
            <w:pPr>
              <w:ind w:left="2140"/>
              <w:spacing w:after="0"/>
              <w:rPr>
                <w:sz w:val="20"/>
                <w:szCs w:val="20"/>
                <w:color w:val="auto"/>
              </w:rPr>
            </w:pPr>
            <w:r>
              <w:rPr>
                <w:rFonts w:ascii="Arial" w:cs="Arial" w:eastAsia="Arial" w:hAnsi="Arial"/>
                <w:sz w:val="22"/>
                <w:szCs w:val="22"/>
                <w:color w:val="auto"/>
                <w:w w:val="92"/>
              </w:rPr>
              <w:t>SOLE DISPOSITIVE POWER</w:t>
            </w:r>
          </w:p>
        </w:tc>
      </w:tr>
      <w:tr>
        <w:trPr>
          <w:trHeight w:val="527"/>
        </w:trPr>
        <w:tc>
          <w:tcPr>
            <w:tcW w:w="3780" w:type="dxa"/>
            <w:vAlign w:val="bottom"/>
          </w:tcPr>
          <w:p>
            <w:pPr>
              <w:spacing w:after="0"/>
              <w:rPr>
                <w:sz w:val="24"/>
                <w:szCs w:val="24"/>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(See Item 4)</w:t>
            </w:r>
          </w:p>
        </w:tc>
      </w:tr>
      <w:tr>
        <w:trPr>
          <w:trHeight w:val="468"/>
        </w:trPr>
        <w:tc>
          <w:tcPr>
            <w:tcW w:w="3780" w:type="dxa"/>
            <w:vAlign w:val="bottom"/>
          </w:tcPr>
          <w:p>
            <w:pPr>
              <w:ind w:left="2960"/>
              <w:spacing w:after="0"/>
              <w:rPr>
                <w:sz w:val="20"/>
                <w:szCs w:val="20"/>
                <w:color w:val="auto"/>
              </w:rPr>
            </w:pPr>
            <w:r>
              <w:rPr>
                <w:rFonts w:ascii="Arial" w:cs="Arial" w:eastAsia="Arial" w:hAnsi="Arial"/>
                <w:sz w:val="22"/>
                <w:szCs w:val="22"/>
                <w:color w:val="auto"/>
              </w:rPr>
              <w:t>8.</w:t>
            </w:r>
          </w:p>
        </w:tc>
        <w:tc>
          <w:tcPr>
            <w:tcW w:w="4860" w:type="dxa"/>
            <w:vAlign w:val="bottom"/>
          </w:tcPr>
          <w:p>
            <w:pPr>
              <w:ind w:left="2140"/>
              <w:spacing w:after="0"/>
              <w:rPr>
                <w:sz w:val="20"/>
                <w:szCs w:val="20"/>
                <w:color w:val="auto"/>
              </w:rPr>
            </w:pPr>
            <w:r>
              <w:rPr>
                <w:rFonts w:ascii="Arial" w:cs="Arial" w:eastAsia="Arial" w:hAnsi="Arial"/>
                <w:sz w:val="22"/>
                <w:szCs w:val="22"/>
                <w:color w:val="auto"/>
              </w:rPr>
              <w:t>SHARED DISPOSITIVE</w:t>
            </w:r>
          </w:p>
        </w:tc>
      </w:tr>
      <w:tr>
        <w:trPr>
          <w:trHeight w:val="275"/>
        </w:trPr>
        <w:tc>
          <w:tcPr>
            <w:tcW w:w="3780" w:type="dxa"/>
            <w:vAlign w:val="bottom"/>
          </w:tcPr>
          <w:p>
            <w:pPr>
              <w:spacing w:after="0"/>
              <w:rPr>
                <w:sz w:val="23"/>
                <w:szCs w:val="23"/>
                <w:color w:val="auto"/>
              </w:rPr>
            </w:pPr>
          </w:p>
        </w:tc>
        <w:tc>
          <w:tcPr>
            <w:tcW w:w="4860" w:type="dxa"/>
            <w:vAlign w:val="bottom"/>
          </w:tcPr>
          <w:p>
            <w:pPr>
              <w:ind w:left="2140"/>
              <w:spacing w:after="0"/>
              <w:rPr>
                <w:sz w:val="20"/>
                <w:szCs w:val="20"/>
                <w:color w:val="auto"/>
              </w:rPr>
            </w:pPr>
            <w:r>
              <w:rPr>
                <w:rFonts w:ascii="Arial" w:cs="Arial" w:eastAsia="Arial" w:hAnsi="Arial"/>
                <w:sz w:val="22"/>
                <w:szCs w:val="22"/>
                <w:color w:val="auto"/>
              </w:rPr>
              <w:t>POWER</w:t>
            </w:r>
          </w:p>
        </w:tc>
      </w:tr>
      <w:tr>
        <w:trPr>
          <w:trHeight w:val="500"/>
        </w:trPr>
        <w:tc>
          <w:tcPr>
            <w:tcW w:w="3780" w:type="dxa"/>
            <w:vAlign w:val="bottom"/>
          </w:tcPr>
          <w:p>
            <w:pPr>
              <w:spacing w:after="0"/>
              <w:rPr>
                <w:sz w:val="24"/>
                <w:szCs w:val="24"/>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0</w:t>
            </w:r>
          </w:p>
        </w:tc>
      </w:tr>
      <w:tr>
        <w:trPr>
          <w:trHeight w:val="468"/>
        </w:trPr>
        <w:tc>
          <w:tcPr>
            <w:tcW w:w="3780" w:type="dxa"/>
            <w:vAlign w:val="bottom"/>
          </w:tcPr>
          <w:p>
            <w:pPr>
              <w:spacing w:after="0"/>
              <w:rPr>
                <w:sz w:val="20"/>
                <w:szCs w:val="20"/>
                <w:color w:val="auto"/>
              </w:rPr>
            </w:pPr>
            <w:r>
              <w:rPr>
                <w:rFonts w:ascii="Arial" w:cs="Arial" w:eastAsia="Arial" w:hAnsi="Arial"/>
                <w:sz w:val="22"/>
                <w:szCs w:val="22"/>
                <w:color w:val="auto"/>
              </w:rPr>
              <w:t>9.</w:t>
            </w:r>
          </w:p>
        </w:tc>
        <w:tc>
          <w:tcPr>
            <w:tcW w:w="4860" w:type="dxa"/>
            <w:vAlign w:val="bottom"/>
          </w:tcPr>
          <w:p>
            <w:pPr>
              <w:ind w:left="680"/>
              <w:spacing w:after="0"/>
              <w:rPr>
                <w:sz w:val="20"/>
                <w:szCs w:val="20"/>
                <w:color w:val="auto"/>
              </w:rPr>
            </w:pPr>
            <w:r>
              <w:rPr>
                <w:rFonts w:ascii="Arial" w:cs="Arial" w:eastAsia="Arial" w:hAnsi="Arial"/>
                <w:sz w:val="22"/>
                <w:szCs w:val="22"/>
                <w:color w:val="auto"/>
              </w:rPr>
              <w:t>AGGREGATE AMOUNT BENEFICIALLY</w:t>
            </w:r>
          </w:p>
        </w:tc>
      </w:tr>
      <w:tr>
        <w:trPr>
          <w:trHeight w:val="275"/>
        </w:trPr>
        <w:tc>
          <w:tcPr>
            <w:tcW w:w="3780" w:type="dxa"/>
            <w:vAlign w:val="bottom"/>
          </w:tcPr>
          <w:p>
            <w:pPr>
              <w:spacing w:after="0"/>
              <w:rPr>
                <w:sz w:val="23"/>
                <w:szCs w:val="23"/>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w w:val="98"/>
              </w:rPr>
              <w:t>OWNED BY EACH REPORTING PERSON</w:t>
            </w:r>
          </w:p>
        </w:tc>
      </w:tr>
      <w:tr>
        <w:trPr>
          <w:trHeight w:val="500"/>
        </w:trPr>
        <w:tc>
          <w:tcPr>
            <w:tcW w:w="3780" w:type="dxa"/>
            <w:vAlign w:val="bottom"/>
          </w:tcPr>
          <w:p>
            <w:pPr>
              <w:spacing w:after="0"/>
              <w:rPr>
                <w:sz w:val="24"/>
                <w:szCs w:val="24"/>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552,623</w:t>
            </w:r>
          </w:p>
        </w:tc>
      </w:tr>
      <w:tr>
        <w:trPr>
          <w:trHeight w:val="468"/>
        </w:trPr>
        <w:tc>
          <w:tcPr>
            <w:tcW w:w="3780" w:type="dxa"/>
            <w:vAlign w:val="bottom"/>
          </w:tcPr>
          <w:p>
            <w:pPr>
              <w:spacing w:after="0"/>
              <w:rPr>
                <w:sz w:val="20"/>
                <w:szCs w:val="20"/>
                <w:color w:val="auto"/>
              </w:rPr>
            </w:pPr>
            <w:r>
              <w:rPr>
                <w:rFonts w:ascii="Arial" w:cs="Arial" w:eastAsia="Arial" w:hAnsi="Arial"/>
                <w:sz w:val="22"/>
                <w:szCs w:val="22"/>
                <w:color w:val="auto"/>
              </w:rPr>
              <w:t>10.</w:t>
            </w:r>
          </w:p>
        </w:tc>
        <w:tc>
          <w:tcPr>
            <w:tcW w:w="4860" w:type="dxa"/>
            <w:vAlign w:val="bottom"/>
          </w:tcPr>
          <w:p>
            <w:pPr>
              <w:ind w:left="680"/>
              <w:spacing w:after="0"/>
              <w:rPr>
                <w:sz w:val="20"/>
                <w:szCs w:val="20"/>
                <w:color w:val="auto"/>
              </w:rPr>
            </w:pPr>
            <w:r>
              <w:rPr>
                <w:rFonts w:ascii="Arial" w:cs="Arial" w:eastAsia="Arial" w:hAnsi="Arial"/>
                <w:sz w:val="22"/>
                <w:szCs w:val="22"/>
                <w:color w:val="auto"/>
                <w:w w:val="97"/>
              </w:rPr>
              <w:t>CHECK IF THE AGGREGATE AMOUNT IN</w:t>
            </w:r>
          </w:p>
        </w:tc>
      </w:tr>
      <w:tr>
        <w:trPr>
          <w:trHeight w:val="257"/>
        </w:trPr>
        <w:tc>
          <w:tcPr>
            <w:tcW w:w="3780" w:type="dxa"/>
            <w:vAlign w:val="bottom"/>
          </w:tcPr>
          <w:p>
            <w:pPr>
              <w:spacing w:after="0"/>
              <w:rPr>
                <w:sz w:val="22"/>
                <w:szCs w:val="22"/>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ROW (9) EXCLUDES</w:t>
            </w:r>
          </w:p>
        </w:tc>
      </w:tr>
      <w:tr>
        <w:trPr>
          <w:trHeight w:val="275"/>
        </w:trPr>
        <w:tc>
          <w:tcPr>
            <w:tcW w:w="3780" w:type="dxa"/>
            <w:vAlign w:val="bottom"/>
          </w:tcPr>
          <w:p>
            <w:pPr>
              <w:spacing w:after="0"/>
              <w:rPr>
                <w:sz w:val="23"/>
                <w:szCs w:val="23"/>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CERTAIN SHARES o</w:t>
            </w:r>
          </w:p>
        </w:tc>
      </w:tr>
      <w:tr>
        <w:trPr>
          <w:trHeight w:val="711"/>
        </w:trPr>
        <w:tc>
          <w:tcPr>
            <w:tcW w:w="3780" w:type="dxa"/>
            <w:vAlign w:val="bottom"/>
          </w:tcPr>
          <w:p>
            <w:pPr>
              <w:spacing w:after="0"/>
              <w:rPr>
                <w:sz w:val="20"/>
                <w:szCs w:val="20"/>
                <w:color w:val="auto"/>
              </w:rPr>
            </w:pPr>
            <w:r>
              <w:rPr>
                <w:rFonts w:ascii="Arial" w:cs="Arial" w:eastAsia="Arial" w:hAnsi="Arial"/>
                <w:sz w:val="22"/>
                <w:szCs w:val="22"/>
                <w:color w:val="auto"/>
              </w:rPr>
              <w:t>11.</w:t>
            </w:r>
          </w:p>
        </w:tc>
        <w:tc>
          <w:tcPr>
            <w:tcW w:w="4860" w:type="dxa"/>
            <w:vAlign w:val="bottom"/>
          </w:tcPr>
          <w:p>
            <w:pPr>
              <w:ind w:left="680"/>
              <w:spacing w:after="0"/>
              <w:rPr>
                <w:sz w:val="20"/>
                <w:szCs w:val="20"/>
                <w:color w:val="auto"/>
              </w:rPr>
            </w:pPr>
            <w:r>
              <w:rPr>
                <w:rFonts w:ascii="Arial" w:cs="Arial" w:eastAsia="Arial" w:hAnsi="Arial"/>
                <w:sz w:val="22"/>
                <w:szCs w:val="22"/>
                <w:color w:val="auto"/>
                <w:w w:val="97"/>
              </w:rPr>
              <w:t>PERCENT OF CLASS REPRESENTED BY</w:t>
            </w:r>
          </w:p>
        </w:tc>
      </w:tr>
      <w:tr>
        <w:trPr>
          <w:trHeight w:val="275"/>
        </w:trPr>
        <w:tc>
          <w:tcPr>
            <w:tcW w:w="3780" w:type="dxa"/>
            <w:vAlign w:val="bottom"/>
          </w:tcPr>
          <w:p>
            <w:pPr>
              <w:spacing w:after="0"/>
              <w:rPr>
                <w:sz w:val="23"/>
                <w:szCs w:val="23"/>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AMOUNT IN ROW (9)</w:t>
            </w:r>
          </w:p>
        </w:tc>
      </w:tr>
      <w:tr>
        <w:trPr>
          <w:trHeight w:val="500"/>
        </w:trPr>
        <w:tc>
          <w:tcPr>
            <w:tcW w:w="3780" w:type="dxa"/>
            <w:vAlign w:val="bottom"/>
          </w:tcPr>
          <w:p>
            <w:pPr>
              <w:spacing w:after="0"/>
              <w:rPr>
                <w:sz w:val="24"/>
                <w:szCs w:val="24"/>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7%</w:t>
            </w:r>
          </w:p>
        </w:tc>
      </w:tr>
      <w:tr>
        <w:trPr>
          <w:trHeight w:val="500"/>
        </w:trPr>
        <w:tc>
          <w:tcPr>
            <w:tcW w:w="3780" w:type="dxa"/>
            <w:vAlign w:val="bottom"/>
          </w:tcPr>
          <w:p>
            <w:pPr>
              <w:spacing w:after="0"/>
              <w:rPr>
                <w:sz w:val="20"/>
                <w:szCs w:val="20"/>
                <w:color w:val="auto"/>
              </w:rPr>
            </w:pPr>
            <w:r>
              <w:rPr>
                <w:rFonts w:ascii="Arial" w:cs="Arial" w:eastAsia="Arial" w:hAnsi="Arial"/>
                <w:sz w:val="22"/>
                <w:szCs w:val="22"/>
                <w:color w:val="auto"/>
              </w:rPr>
              <w:t>12.</w:t>
            </w:r>
          </w:p>
        </w:tc>
        <w:tc>
          <w:tcPr>
            <w:tcW w:w="4860" w:type="dxa"/>
            <w:vAlign w:val="bottom"/>
          </w:tcPr>
          <w:p>
            <w:pPr>
              <w:ind w:left="680"/>
              <w:spacing w:after="0"/>
              <w:rPr>
                <w:sz w:val="20"/>
                <w:szCs w:val="20"/>
                <w:color w:val="auto"/>
              </w:rPr>
            </w:pPr>
            <w:r>
              <w:rPr>
                <w:rFonts w:ascii="Arial" w:cs="Arial" w:eastAsia="Arial" w:hAnsi="Arial"/>
                <w:sz w:val="22"/>
                <w:szCs w:val="22"/>
                <w:color w:val="auto"/>
              </w:rPr>
              <w:t>TYPE OF REPORTING PERSON</w:t>
            </w:r>
          </w:p>
        </w:tc>
      </w:tr>
      <w:tr>
        <w:trPr>
          <w:trHeight w:val="500"/>
        </w:trPr>
        <w:tc>
          <w:tcPr>
            <w:tcW w:w="3780" w:type="dxa"/>
            <w:vAlign w:val="bottom"/>
          </w:tcPr>
          <w:p>
            <w:pPr>
              <w:spacing w:after="0"/>
              <w:rPr>
                <w:sz w:val="24"/>
                <w:szCs w:val="24"/>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HC (See Item 4)</w:t>
            </w:r>
          </w:p>
        </w:tc>
      </w:tr>
    </w:tbl>
    <w:p>
      <w:pPr>
        <w:sectPr>
          <w:pgSz w:w="11900" w:h="16838" w:orient="portrait"/>
          <w:cols w:equalWidth="0" w:num="1">
            <w:col w:w="10219"/>
          </w:cols>
          <w:pgMar w:left="240" w:top="131" w:right="1440" w:bottom="904" w:gutter="0" w:footer="0" w:header="0"/>
        </w:sectPr>
      </w:pPr>
    </w:p>
    <w:bookmarkStart w:id="2" w:name="page3"/>
    <w:bookmarkEnd w:id="2"/>
    <w:p>
      <w:pPr>
        <w:spacing w:after="0"/>
        <w:tabs>
          <w:tab w:leader="none" w:pos="2940" w:val="left"/>
          <w:tab w:leader="none" w:pos="5900" w:val="left"/>
        </w:tabs>
        <w:rPr>
          <w:sz w:val="20"/>
          <w:szCs w:val="20"/>
          <w:color w:val="auto"/>
        </w:rPr>
      </w:pPr>
      <w:r>
        <w:rPr>
          <w:rFonts w:ascii="Arial" w:cs="Arial" w:eastAsia="Arial" w:hAnsi="Arial"/>
          <w:sz w:val="22"/>
          <w:szCs w:val="22"/>
          <w:color w:val="auto"/>
        </w:rPr>
        <w:t>CUSIP NO.939640108</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3 OF 7</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Name of Issuer</w:t>
      </w:r>
    </w:p>
    <w:p>
      <w:pPr>
        <w:spacing w:after="0" w:line="22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The Washington Post Company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 Address of Issuer's Principal Executive Offices</w:t>
      </w:r>
    </w:p>
    <w:p>
      <w:pPr>
        <w:spacing w:after="0" w:line="24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1150 15th Street NW</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Washington, DC 20071</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 Name of Person Filing</w:t>
      </w:r>
    </w:p>
    <w:p>
      <w:pPr>
        <w:spacing w:after="0" w:line="22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Franklin Mutual Advisers, LLC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 Address of Principal Business Office or, if None, Residence</w:t>
      </w:r>
    </w:p>
    <w:p>
      <w:pPr>
        <w:spacing w:after="0" w:line="24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101 John F. Kennedy Parkway</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Short Hills, NJ 07078</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 Citizenship</w:t>
      </w:r>
    </w:p>
    <w:p>
      <w:pPr>
        <w:spacing w:after="0" w:line="24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Delaware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(d) Title of Class of Securities</w:t>
      </w:r>
    </w:p>
    <w:p>
      <w:pPr>
        <w:spacing w:after="0" w:line="247" w:lineRule="exact"/>
        <w:rPr>
          <w:sz w:val="20"/>
          <w:szCs w:val="20"/>
          <w:color w:val="auto"/>
        </w:rPr>
      </w:pPr>
    </w:p>
    <w:p>
      <w:pPr>
        <w:jc w:val="right"/>
        <w:ind w:right="2399"/>
        <w:spacing w:after="0"/>
        <w:rPr>
          <w:sz w:val="20"/>
          <w:szCs w:val="20"/>
          <w:color w:val="auto"/>
        </w:rPr>
      </w:pPr>
      <w:r>
        <w:rPr>
          <w:rFonts w:ascii="Arial" w:cs="Arial" w:eastAsia="Arial" w:hAnsi="Arial"/>
          <w:sz w:val="22"/>
          <w:szCs w:val="22"/>
          <w:color w:val="auto"/>
        </w:rPr>
        <w:t>Common Stock - Class B, par value $1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(e) CUSIP Number</w:t>
      </w:r>
    </w:p>
    <w:p>
      <w:pPr>
        <w:spacing w:after="0" w:line="26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939640108</w:t>
      </w:r>
    </w:p>
    <w:p>
      <w:pPr>
        <w:sectPr>
          <w:pgSz w:w="11900" w:h="16838" w:orient="portrait"/>
          <w:cols w:equalWidth="0" w:num="1">
            <w:col w:w="10219"/>
          </w:cols>
          <w:pgMar w:left="240" w:top="118" w:right="1440" w:bottom="1440" w:gutter="0" w:footer="0" w:header="0"/>
        </w:sectPr>
      </w:pPr>
    </w:p>
    <w:bookmarkStart w:id="3" w:name="page4"/>
    <w:bookmarkEnd w:id="3"/>
    <w:p>
      <w:pPr>
        <w:spacing w:after="0"/>
        <w:tabs>
          <w:tab w:leader="none" w:pos="2940" w:val="left"/>
          <w:tab w:leader="none" w:pos="5900" w:val="left"/>
        </w:tabs>
        <w:rPr>
          <w:sz w:val="20"/>
          <w:szCs w:val="20"/>
          <w:color w:val="auto"/>
        </w:rPr>
      </w:pPr>
      <w:r>
        <w:rPr>
          <w:rFonts w:ascii="Arial" w:cs="Arial" w:eastAsia="Arial" w:hAnsi="Arial"/>
          <w:sz w:val="22"/>
          <w:szCs w:val="22"/>
          <w:color w:val="auto"/>
        </w:rPr>
        <w:t>CUSIP NO.939640108</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4 OF 7</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color w:val="auto"/>
        </w:rPr>
        <w:t>Item 3. If this statement is filed pursuant to §§240.13d-1(b) or 240.13d-2(b) or (c), check whether the person filing is a:</w:t>
      </w:r>
    </w:p>
    <w:p>
      <w:pPr>
        <w:spacing w:after="0" w:line="245"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Broker or dealer registered under section 15 of the Act (15 U.S.C. 78o).</w:t>
      </w:r>
    </w:p>
    <w:p>
      <w:pPr>
        <w:spacing w:after="0" w:line="8" w:lineRule="exact"/>
        <w:rPr>
          <w:rFonts w:ascii="Arial" w:cs="Arial" w:eastAsia="Arial" w:hAnsi="Arial"/>
          <w:sz w:val="22"/>
          <w:szCs w:val="22"/>
          <w:color w:val="auto"/>
        </w:rPr>
      </w:pP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Bank as defined in section 3(a)(6) of the Act (15 U.S.C. 78c).</w:t>
      </w: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Insurance company as defined in section 3(a)(19) of the Act (15 U.S.C. 78c).</w:t>
      </w:r>
    </w:p>
    <w:p>
      <w:pPr>
        <w:ind w:left="1300" w:hanging="320"/>
        <w:spacing w:after="0"/>
        <w:tabs>
          <w:tab w:leader="none" w:pos="1300" w:val="left"/>
        </w:tabs>
        <w:numPr>
          <w:ilvl w:val="0"/>
          <w:numId w:val="1"/>
        </w:numPr>
        <w:rPr>
          <w:rFonts w:ascii="Arial" w:cs="Arial" w:eastAsia="Arial" w:hAnsi="Arial"/>
          <w:sz w:val="21"/>
          <w:szCs w:val="21"/>
          <w:color w:val="auto"/>
        </w:rPr>
      </w:pPr>
      <w:r>
        <w:rPr>
          <w:rFonts w:ascii="Arial" w:cs="Arial" w:eastAsia="Arial" w:hAnsi="Arial"/>
          <w:sz w:val="21"/>
          <w:szCs w:val="21"/>
          <w:color w:val="auto"/>
        </w:rPr>
        <w:t>o Investment company registered under section 8 of the Investment Company Act of 1940 (15 U.S.C 80a-8).</w:t>
      </w:r>
    </w:p>
    <w:p>
      <w:pPr>
        <w:spacing w:after="0" w:line="1" w:lineRule="exact"/>
        <w:rPr>
          <w:rFonts w:ascii="Arial" w:cs="Arial" w:eastAsia="Arial" w:hAnsi="Arial"/>
          <w:sz w:val="21"/>
          <w:szCs w:val="21"/>
          <w:color w:val="auto"/>
        </w:rPr>
      </w:pP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An employee benefit plan or endowment fund in accordance with §240.13d-1(b)(1)(ii)(F);</w:t>
      </w: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A parent holding company or control person in accordance with §240.13d-1(b)(1)(ii)(G);</w:t>
      </w:r>
    </w:p>
    <w:p>
      <w:pPr>
        <w:ind w:left="1300" w:hanging="320"/>
        <w:spacing w:after="0"/>
        <w:tabs>
          <w:tab w:leader="none" w:pos="1300" w:val="left"/>
        </w:tabs>
        <w:numPr>
          <w:ilvl w:val="0"/>
          <w:numId w:val="1"/>
        </w:numPr>
        <w:rPr>
          <w:rFonts w:ascii="Arial" w:cs="Arial" w:eastAsia="Arial" w:hAnsi="Arial"/>
          <w:sz w:val="21"/>
          <w:szCs w:val="21"/>
          <w:color w:val="auto"/>
        </w:rPr>
      </w:pPr>
      <w:r>
        <w:rPr>
          <w:rFonts w:ascii="Arial" w:cs="Arial" w:eastAsia="Arial" w:hAnsi="Arial"/>
          <w:sz w:val="21"/>
          <w:szCs w:val="21"/>
          <w:color w:val="auto"/>
        </w:rPr>
        <w:t>o A savings associations as defined in Section 3(b) of the Federal Deposit Insurance Act (12 U.S.C. 1813);</w:t>
      </w:r>
    </w:p>
    <w:p>
      <w:pPr>
        <w:spacing w:after="0" w:line="1" w:lineRule="exact"/>
        <w:rPr>
          <w:rFonts w:ascii="Arial" w:cs="Arial" w:eastAsia="Arial" w:hAnsi="Arial"/>
          <w:sz w:val="21"/>
          <w:szCs w:val="21"/>
          <w:color w:val="auto"/>
        </w:rPr>
      </w:pPr>
    </w:p>
    <w:p>
      <w:pPr>
        <w:ind w:left="1300" w:right="74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A church plan that is excluded from the definition of an investment company under section 3(c)(14) of the Investment Company Act of 1940 (15 U.S.C. 80a-3);</w:t>
      </w:r>
    </w:p>
    <w:p>
      <w:pPr>
        <w:spacing w:after="0" w:line="1" w:lineRule="exact"/>
        <w:rPr>
          <w:rFonts w:ascii="Arial" w:cs="Arial" w:eastAsia="Arial" w:hAnsi="Arial"/>
          <w:sz w:val="22"/>
          <w:szCs w:val="22"/>
          <w:color w:val="auto"/>
        </w:rPr>
      </w:pPr>
    </w:p>
    <w:p>
      <w:pPr>
        <w:ind w:left="1300" w:hanging="320"/>
        <w:spacing w:after="0"/>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Group, in accordance with §240.13d-1 (b)(1)(ii)(J).</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Item 4. Ownership.</w:t>
      </w:r>
    </w:p>
    <w:p>
      <w:pPr>
        <w:spacing w:after="0" w:line="23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The securities reported herein (the “Securities”) are beneficially owned by one or more open-end investment companies or other managed accounts which, pursuant to advisory contracts, are advised by Franklin Mutual Advisers, LLC ("FMA"), an indirect wholly owned subsidiary of Franklin Resources, Inc. ("FRI"). Such advisory contracts grant to FMA all investment and voting power over the securities owned by such advisory clients. Therefore, FMA may be deemed to be, for purposes of Rule 13d-3 under the Act, the beneficial owner of the Securities.</w:t>
      </w:r>
    </w:p>
    <w:p>
      <w:pPr>
        <w:spacing w:after="0" w:line="206"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FMA are exercised independently from FRI (FMA’s parent holding company) and from all other investment advisory subsidiaries of FRI (FRI, its affiliates and investment advisory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advisory clients. Consequently, FMA and the FRI affiliates report the securities over which they hold investment and voting power separately from each other for purposes of Section 13 of the Act.</w:t>
      </w:r>
    </w:p>
    <w:p>
      <w:pPr>
        <w:spacing w:after="0" w:line="186"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Charles B. Johnson and Rupert H. Johnson, Jr. (the "Principal Shareholders") each own in excess of 10% of the outstanding common stock of FRI and are the principal stockholders of FRI. However, because FMA exercises voting and investment powers on behalf of its advisory clients independently of FRI, the Principal Shareholders, and their respective affiliates, beneficial ownership of the securities being reported by FMA is being attributed only to FMA. FMA disclaims any pecuniary interest in any of the Securities. In addition, the filing of this Schedule 13G on behalf of FMA should not be construed as an</w:t>
      </w:r>
    </w:p>
    <w:p>
      <w:pPr>
        <w:sectPr>
          <w:pgSz w:w="11900" w:h="16838" w:orient="portrait"/>
          <w:cols w:equalWidth="0" w:num="1">
            <w:col w:w="11400"/>
          </w:cols>
          <w:pgMar w:left="240" w:top="118" w:right="259" w:bottom="1440" w:gutter="0" w:footer="0" w:header="0"/>
        </w:sectPr>
      </w:pPr>
    </w:p>
    <w:bookmarkStart w:id="4" w:name="page5"/>
    <w:bookmarkEnd w:id="4"/>
    <w:p>
      <w:pPr>
        <w:spacing w:after="0"/>
        <w:tabs>
          <w:tab w:leader="none" w:pos="2940" w:val="left"/>
          <w:tab w:leader="none" w:pos="5900" w:val="left"/>
        </w:tabs>
        <w:rPr>
          <w:sz w:val="20"/>
          <w:szCs w:val="20"/>
          <w:color w:val="auto"/>
        </w:rPr>
      </w:pPr>
      <w:r>
        <w:rPr>
          <w:rFonts w:ascii="Arial" w:cs="Arial" w:eastAsia="Arial" w:hAnsi="Arial"/>
          <w:sz w:val="22"/>
          <w:szCs w:val="22"/>
          <w:color w:val="auto"/>
        </w:rPr>
        <w:t>CUSIP NO.939640108</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5 OF 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admission that it is, and it disclaims that it is, the beneficial owner, as defined in Rule 13d-3, of any of the Securities.</w:t>
      </w:r>
    </w:p>
    <w:p>
      <w:pPr>
        <w:spacing w:after="0" w:line="233" w:lineRule="exact"/>
        <w:rPr>
          <w:sz w:val="20"/>
          <w:szCs w:val="20"/>
          <w:color w:val="auto"/>
        </w:rPr>
      </w:pPr>
    </w:p>
    <w:p>
      <w:pPr>
        <w:ind w:right="300"/>
        <w:spacing w:after="0" w:line="297" w:lineRule="auto"/>
        <w:rPr>
          <w:sz w:val="20"/>
          <w:szCs w:val="20"/>
          <w:color w:val="auto"/>
        </w:rPr>
      </w:pPr>
      <w:r>
        <w:rPr>
          <w:rFonts w:ascii="Arial" w:cs="Arial" w:eastAsia="Arial" w:hAnsi="Arial"/>
          <w:sz w:val="19"/>
          <w:szCs w:val="19"/>
          <w:color w:val="auto"/>
        </w:rPr>
        <w:t>Furthermore, FMA believes that it is not a "group" with FRI, the Principal Shareholders, or their respective affiliates within the meaning of Rule 13d-5 under the Act and that none of them are otherwise required to attribute to each other the beneficial ownership of the Securities held by any of them or by any persons or entities advised by FRI subsidiaries.</w:t>
      </w:r>
    </w:p>
    <w:p>
      <w:pPr>
        <w:spacing w:after="0" w:line="175" w:lineRule="exact"/>
        <w:rPr>
          <w:sz w:val="20"/>
          <w:szCs w:val="20"/>
          <w:color w:val="auto"/>
        </w:rPr>
      </w:pPr>
    </w:p>
    <w:p>
      <w:pPr>
        <w:ind w:left="4460" w:right="4080" w:hanging="9"/>
        <w:spacing w:after="0" w:line="486" w:lineRule="auto"/>
        <w:tabs>
          <w:tab w:leader="none" w:pos="4754" w:val="left"/>
        </w:tabs>
        <w:numPr>
          <w:ilvl w:val="0"/>
          <w:numId w:val="2"/>
        </w:numPr>
        <w:rPr>
          <w:rFonts w:ascii="Arial" w:cs="Arial" w:eastAsia="Arial" w:hAnsi="Arial"/>
          <w:sz w:val="22"/>
          <w:szCs w:val="22"/>
          <w:color w:val="auto"/>
        </w:rPr>
      </w:pPr>
      <w:r>
        <w:rPr>
          <w:rFonts w:ascii="Arial" w:cs="Arial" w:eastAsia="Arial" w:hAnsi="Arial"/>
          <w:sz w:val="22"/>
          <w:szCs w:val="22"/>
          <w:color w:val="auto"/>
        </w:rPr>
        <w:t>Amount beneficially owned: 552,623</w:t>
      </w:r>
    </w:p>
    <w:p>
      <w:pPr>
        <w:spacing w:after="0" w:line="1" w:lineRule="exact"/>
        <w:rPr>
          <w:rFonts w:ascii="Arial" w:cs="Arial" w:eastAsia="Arial" w:hAnsi="Arial"/>
          <w:sz w:val="22"/>
          <w:szCs w:val="22"/>
          <w:color w:val="auto"/>
        </w:rPr>
      </w:pPr>
    </w:p>
    <w:p>
      <w:pPr>
        <w:ind w:left="4760" w:hanging="309"/>
        <w:spacing w:after="0"/>
        <w:tabs>
          <w:tab w:leader="none" w:pos="4760"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26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60" w:lineRule="exact"/>
        <w:rPr>
          <w:sz w:val="20"/>
          <w:szCs w:val="20"/>
          <w:color w:val="auto"/>
        </w:rPr>
      </w:pPr>
    </w:p>
    <w:p>
      <w:pPr>
        <w:ind w:left="4740" w:hanging="289"/>
        <w:spacing w:after="0"/>
        <w:tabs>
          <w:tab w:leader="none" w:pos="4740" w:val="left"/>
        </w:tabs>
        <w:numPr>
          <w:ilvl w:val="0"/>
          <w:numId w:val="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260" w:lineRule="exact"/>
        <w:rPr>
          <w:rFonts w:ascii="Arial" w:cs="Arial" w:eastAsia="Arial" w:hAnsi="Arial"/>
          <w:sz w:val="22"/>
          <w:szCs w:val="22"/>
          <w:color w:val="auto"/>
        </w:rPr>
      </w:pPr>
    </w:p>
    <w:p>
      <w:pPr>
        <w:ind w:left="4700" w:hanging="249"/>
        <w:spacing w:after="0"/>
        <w:tabs>
          <w:tab w:leader="none" w:pos="4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7"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Franklin Mutual Advisers, LLC:  552,623</w:t>
      </w:r>
    </w:p>
    <w:p>
      <w:pPr>
        <w:spacing w:after="0" w:line="274" w:lineRule="exact"/>
        <w:rPr>
          <w:sz w:val="20"/>
          <w:szCs w:val="20"/>
          <w:color w:val="auto"/>
        </w:rPr>
      </w:pPr>
    </w:p>
    <w:p>
      <w:pPr>
        <w:ind w:left="4760" w:hanging="309"/>
        <w:spacing w:after="0"/>
        <w:tabs>
          <w:tab w:leader="none" w:pos="4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60" w:lineRule="exact"/>
        <w:rPr>
          <w:rFonts w:ascii="Arial" w:cs="Arial" w:eastAsia="Arial" w:hAnsi="Arial"/>
          <w:sz w:val="22"/>
          <w:szCs w:val="22"/>
          <w:color w:val="auto"/>
        </w:rPr>
      </w:pPr>
    </w:p>
    <w:p>
      <w:pPr>
        <w:ind w:left="4460"/>
        <w:spacing w:after="0"/>
        <w:rPr>
          <w:rFonts w:ascii="Arial" w:cs="Arial" w:eastAsia="Arial" w:hAnsi="Arial"/>
          <w:sz w:val="22"/>
          <w:szCs w:val="22"/>
          <w:color w:val="auto"/>
        </w:rPr>
      </w:pPr>
      <w:r>
        <w:rPr>
          <w:rFonts w:ascii="Arial" w:cs="Arial" w:eastAsia="Arial" w:hAnsi="Arial"/>
          <w:sz w:val="22"/>
          <w:szCs w:val="22"/>
          <w:color w:val="auto"/>
        </w:rPr>
        <w:t>0</w:t>
      </w:r>
    </w:p>
    <w:p>
      <w:pPr>
        <w:spacing w:after="0" w:line="260" w:lineRule="exact"/>
        <w:rPr>
          <w:rFonts w:ascii="Arial" w:cs="Arial" w:eastAsia="Arial" w:hAnsi="Arial"/>
          <w:sz w:val="22"/>
          <w:szCs w:val="22"/>
          <w:color w:val="auto"/>
        </w:rPr>
      </w:pPr>
    </w:p>
    <w:p>
      <w:pPr>
        <w:ind w:left="4460" w:right="3240" w:hanging="9"/>
        <w:spacing w:after="0" w:line="276" w:lineRule="auto"/>
        <w:tabs>
          <w:tab w:leader="none" w:pos="4838" w:val="left"/>
        </w:tabs>
        <w:numPr>
          <w:ilvl w:val="0"/>
          <w:numId w:val="5"/>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188"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Franklin Mutual Advisers, LLC:  552,623</w:t>
      </w:r>
    </w:p>
    <w:p>
      <w:pPr>
        <w:spacing w:after="0" w:line="274" w:lineRule="exact"/>
        <w:rPr>
          <w:sz w:val="20"/>
          <w:szCs w:val="20"/>
          <w:color w:val="auto"/>
        </w:rPr>
      </w:pPr>
    </w:p>
    <w:p>
      <w:pPr>
        <w:ind w:left="4460" w:right="3040" w:hanging="9"/>
        <w:spacing w:after="0" w:line="276" w:lineRule="auto"/>
        <w:tabs>
          <w:tab w:leader="none" w:pos="4826"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w:t>
      </w:r>
    </w:p>
    <w:p>
      <w:pPr>
        <w:spacing w:after="0" w:line="20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Item 5. Ownership of Five Percent or Less of a Class</w:t>
      </w:r>
    </w:p>
    <w:p>
      <w:pPr>
        <w:spacing w:after="0" w:line="233" w:lineRule="exact"/>
        <w:rPr>
          <w:sz w:val="20"/>
          <w:szCs w:val="20"/>
          <w:color w:val="auto"/>
        </w:rPr>
      </w:pPr>
    </w:p>
    <w:p>
      <w:pPr>
        <w:ind w:left="980" w:right="500"/>
        <w:spacing w:after="0" w:line="257"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w:t>
      </w:r>
    </w:p>
    <w:p>
      <w:pPr>
        <w:ind w:left="4460"/>
        <w:spacing w:after="0"/>
        <w:rPr>
          <w:sz w:val="20"/>
          <w:szCs w:val="20"/>
          <w:color w:val="auto"/>
        </w:rPr>
      </w:pPr>
      <w:r>
        <w:rPr>
          <w:rFonts w:ascii="Arial" w:cs="Arial" w:eastAsia="Arial" w:hAnsi="Arial"/>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Item 6. Ownership of More than Five Percent on Behalf of Another Person</w:t>
      </w:r>
    </w:p>
    <w:p>
      <w:pPr>
        <w:spacing w:after="0" w:line="233" w:lineRule="exact"/>
        <w:rPr>
          <w:sz w:val="20"/>
          <w:szCs w:val="20"/>
          <w:color w:val="auto"/>
        </w:rPr>
      </w:pPr>
    </w:p>
    <w:p>
      <w:pPr>
        <w:ind w:left="980"/>
        <w:spacing w:after="0" w:line="258" w:lineRule="auto"/>
        <w:rPr>
          <w:sz w:val="20"/>
          <w:szCs w:val="20"/>
          <w:color w:val="auto"/>
        </w:rPr>
      </w:pPr>
      <w:r>
        <w:rPr>
          <w:rFonts w:ascii="Arial" w:cs="Arial" w:eastAsia="Arial" w:hAnsi="Arial"/>
          <w:sz w:val="21"/>
          <w:szCs w:val="21"/>
          <w:color w:val="auto"/>
        </w:rPr>
        <w:t>The clients of Franklin Mutual Advisers, LLC, including investment companies registered under the Investment Company Act of 1940 and other managed accounts, have the right to receive or power to direct the receipt of dividends from, as well as the proceeds from the sale of, such securities reported on in this statement.</w:t>
      </w:r>
    </w:p>
    <w:p>
      <w:pPr>
        <w:spacing w:after="0" w:line="194" w:lineRule="exact"/>
        <w:rPr>
          <w:sz w:val="20"/>
          <w:szCs w:val="20"/>
          <w:color w:val="auto"/>
        </w:rPr>
      </w:pPr>
    </w:p>
    <w:p>
      <w:pPr>
        <w:ind w:left="980" w:right="60" w:hanging="971"/>
        <w:spacing w:after="0" w:line="251" w:lineRule="auto"/>
        <w:rPr>
          <w:sz w:val="20"/>
          <w:szCs w:val="20"/>
          <w:color w:val="auto"/>
        </w:rPr>
      </w:pPr>
      <w:r>
        <w:rPr>
          <w:rFonts w:ascii="Arial" w:cs="Arial" w:eastAsia="Arial" w:hAnsi="Arial"/>
          <w:sz w:val="22"/>
          <w:szCs w:val="22"/>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Item 8. Identification and Classification of Members of the Group</w:t>
      </w:r>
    </w:p>
    <w:p>
      <w:pPr>
        <w:spacing w:after="0" w:line="24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300"/>
          </w:cols>
          <w:pgMar w:left="240" w:top="118" w:right="359" w:bottom="1440" w:gutter="0" w:footer="0" w:header="0"/>
        </w:sectPr>
      </w:pPr>
    </w:p>
    <w:bookmarkStart w:id="5" w:name="page6"/>
    <w:bookmarkEnd w:id="5"/>
    <w:p>
      <w:pPr>
        <w:spacing w:after="0"/>
        <w:tabs>
          <w:tab w:leader="none" w:pos="2940" w:val="left"/>
          <w:tab w:leader="none" w:pos="5900" w:val="left"/>
        </w:tabs>
        <w:rPr>
          <w:sz w:val="20"/>
          <w:szCs w:val="20"/>
          <w:color w:val="auto"/>
        </w:rPr>
      </w:pPr>
      <w:r>
        <w:rPr>
          <w:rFonts w:ascii="Arial" w:cs="Arial" w:eastAsia="Arial" w:hAnsi="Arial"/>
          <w:sz w:val="22"/>
          <w:szCs w:val="22"/>
          <w:color w:val="auto"/>
        </w:rPr>
        <w:t>CUSIP NO.939640108</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6 OF 7</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Item 9. Notice of Dissolution of Group</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0219"/>
          </w:cols>
          <w:pgMar w:left="240" w:top="118" w:right="1440" w:bottom="1440" w:gutter="0" w:footer="0" w:header="0"/>
        </w:sectPr>
      </w:pPr>
    </w:p>
    <w:bookmarkStart w:id="6" w:name="page7"/>
    <w:bookmarkEnd w:id="6"/>
    <w:p>
      <w:pPr>
        <w:spacing w:after="0"/>
        <w:tabs>
          <w:tab w:leader="none" w:pos="2940" w:val="left"/>
          <w:tab w:leader="none" w:pos="5900" w:val="left"/>
        </w:tabs>
        <w:rPr>
          <w:sz w:val="20"/>
          <w:szCs w:val="20"/>
          <w:color w:val="auto"/>
        </w:rPr>
      </w:pPr>
      <w:r>
        <w:rPr>
          <w:rFonts w:ascii="Arial" w:cs="Arial" w:eastAsia="Arial" w:hAnsi="Arial"/>
          <w:sz w:val="22"/>
          <w:szCs w:val="22"/>
          <w:color w:val="auto"/>
        </w:rPr>
        <w:t>CUSIP NO.939640108</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7 OF 7</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Item 10. Certification</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This report shall not be construed as an admission by the persons filing the report that they are the beneficial owner of any securities covered by this report.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3, 2006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Franklin Mutual Advisers, LLC</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By: /s/BRADLEY TAKAHASHI</w:t>
      </w:r>
    </w:p>
    <w:p>
      <w:pPr>
        <w:ind w:left="4460"/>
        <w:spacing w:after="0" w:line="192" w:lineRule="auto"/>
        <w:rPr>
          <w:sz w:val="20"/>
          <w:szCs w:val="20"/>
          <w:color w:val="auto"/>
        </w:rPr>
      </w:pPr>
      <w:r>
        <w:rPr>
          <w:rFonts w:ascii="Arial" w:cs="Arial" w:eastAsia="Arial" w:hAnsi="Arial"/>
          <w:sz w:val="22"/>
          <w:szCs w:val="22"/>
          <w:color w:val="auto"/>
        </w:rPr>
        <w:t>-----------------------</w:t>
      </w:r>
    </w:p>
    <w:p>
      <w:pPr>
        <w:ind w:left="4460"/>
        <w:spacing w:after="0"/>
        <w:rPr>
          <w:sz w:val="20"/>
          <w:szCs w:val="20"/>
          <w:color w:val="auto"/>
        </w:rPr>
      </w:pPr>
      <w:r>
        <w:rPr>
          <w:rFonts w:ascii="Arial" w:cs="Arial" w:eastAsia="Arial" w:hAnsi="Arial"/>
          <w:sz w:val="22"/>
          <w:szCs w:val="22"/>
          <w:color w:val="auto"/>
        </w:rPr>
        <w:t>Bradley Takahashi</w:t>
      </w:r>
    </w:p>
    <w:p>
      <w:pPr>
        <w:spacing w:after="0" w:line="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Vice President</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9"/>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2019-12-11T19:08:46Z</dcterms:created>
  <dcterms:modified xsi:type="dcterms:W3CDTF">2019-12-11T19:08:46Z</dcterms:modified>
</cp:coreProperties>
</file>