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98"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FORM 12b-25</w:t>
      </w:r>
    </w:p>
    <w:p>
      <w:pPr>
        <w:spacing w:after="0" w:line="225"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NOTIFICATION OF LATE FILING</w:t>
      </w:r>
    </w:p>
    <w:p>
      <w:pPr>
        <w:spacing w:after="0" w:line="242" w:lineRule="exact"/>
        <w:rPr>
          <w:sz w:val="24"/>
          <w:szCs w:val="24"/>
          <w:color w:val="auto"/>
        </w:rPr>
      </w:pPr>
    </w:p>
    <w:p>
      <w:pPr>
        <w:ind w:left="1420" w:right="4320" w:firstLine="1090"/>
        <w:spacing w:after="0" w:line="260" w:lineRule="exact"/>
        <w:tabs>
          <w:tab w:leader="none" w:pos="271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Form 10-K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20-F </w:t>
      </w:r>
      <w:r>
        <w:rPr>
          <w:rFonts w:ascii="Arial" w:cs="Arial" w:eastAsia="Arial" w:hAnsi="Arial"/>
          <w:sz w:val="18"/>
          <w:szCs w:val="18"/>
          <w:color w:val="auto"/>
        </w:rPr>
        <w:t>X</w:t>
      </w:r>
      <w:r>
        <w:rPr>
          <w:rFonts w:ascii="Times New Roman" w:cs="Times New Roman" w:eastAsia="Times New Roman" w:hAnsi="Times New Roman"/>
          <w:sz w:val="18"/>
          <w:szCs w:val="18"/>
          <w:color w:val="auto"/>
        </w:rPr>
        <w:t xml:space="preserve"> Form 11-K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10-Q </w:t>
      </w:r>
      <w:r>
        <w:rPr>
          <w:rFonts w:ascii="Times New Roman" w:cs="Times New Roman" w:eastAsia="Times New Roman" w:hAnsi="Times New Roman"/>
          <w:sz w:val="18"/>
          <w:szCs w:val="18"/>
          <w:i w:val="1"/>
          <w:iCs w:val="1"/>
          <w:color w:val="auto"/>
        </w:rPr>
        <w:t xml:space="preserve">(Check One) </w:t>
      </w:r>
      <w:r>
        <w:rPr>
          <w:rFonts w:ascii="MS PGothic" w:cs="MS PGothic" w:eastAsia="MS PGothic" w:hAnsi="MS PGothic"/>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10-D</w:t>
      </w:r>
      <w:r>
        <w:rPr>
          <w:rFonts w:ascii="Times New Roman" w:cs="Times New Roman" w:eastAsia="Times New Roman" w:hAnsi="Times New Roman"/>
          <w:sz w:val="18"/>
          <w:szCs w:val="18"/>
          <w:i w:val="1"/>
          <w:iCs w:val="1"/>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N-CEN</w:t>
      </w:r>
      <w:r>
        <w:rPr>
          <w:rFonts w:ascii="Times New Roman" w:cs="Times New Roman" w:eastAsia="Times New Roman" w:hAnsi="Times New Roman"/>
          <w:sz w:val="18"/>
          <w:szCs w:val="18"/>
          <w:i w:val="1"/>
          <w:iCs w:val="1"/>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N-CSR</w:t>
      </w:r>
    </w:p>
    <w:p>
      <w:pPr>
        <w:spacing w:after="0" w:line="238"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18"/>
          <w:szCs w:val="18"/>
          <w:color w:val="auto"/>
        </w:rPr>
        <w:t>For Period Ended: December 31, 2023</w:t>
      </w:r>
    </w:p>
    <w:p>
      <w:pPr>
        <w:spacing w:after="0" w:line="293" w:lineRule="exact"/>
        <w:rPr>
          <w:sz w:val="24"/>
          <w:szCs w:val="24"/>
          <w:color w:val="auto"/>
        </w:rPr>
      </w:pPr>
    </w:p>
    <w:p>
      <w:pPr>
        <w:ind w:left="2720" w:hanging="210"/>
        <w:spacing w:after="0"/>
        <w:tabs>
          <w:tab w:leader="none" w:pos="27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10-K</w:t>
      </w:r>
    </w:p>
    <w:p>
      <w:pPr>
        <w:spacing w:after="0" w:line="63" w:lineRule="exact"/>
        <w:rPr>
          <w:rFonts w:ascii="MS PGothic" w:cs="MS PGothic" w:eastAsia="MS PGothic" w:hAnsi="MS PGothic"/>
          <w:sz w:val="18"/>
          <w:szCs w:val="18"/>
          <w:color w:val="auto"/>
        </w:rPr>
      </w:pPr>
    </w:p>
    <w:p>
      <w:pPr>
        <w:ind w:left="2720" w:hanging="210"/>
        <w:spacing w:after="0"/>
        <w:tabs>
          <w:tab w:leader="none" w:pos="27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20-F</w:t>
      </w:r>
    </w:p>
    <w:p>
      <w:pPr>
        <w:spacing w:after="0" w:line="63" w:lineRule="exact"/>
        <w:rPr>
          <w:rFonts w:ascii="MS PGothic" w:cs="MS PGothic" w:eastAsia="MS PGothic" w:hAnsi="MS PGothic"/>
          <w:sz w:val="18"/>
          <w:szCs w:val="18"/>
          <w:color w:val="auto"/>
        </w:rPr>
      </w:pPr>
    </w:p>
    <w:p>
      <w:pPr>
        <w:ind w:left="2720" w:hanging="210"/>
        <w:spacing w:after="0"/>
        <w:tabs>
          <w:tab w:leader="none" w:pos="27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11-K</w:t>
      </w:r>
    </w:p>
    <w:p>
      <w:pPr>
        <w:spacing w:after="0" w:line="63" w:lineRule="exact"/>
        <w:rPr>
          <w:rFonts w:ascii="MS PGothic" w:cs="MS PGothic" w:eastAsia="MS PGothic" w:hAnsi="MS PGothic"/>
          <w:sz w:val="18"/>
          <w:szCs w:val="18"/>
          <w:color w:val="auto"/>
        </w:rPr>
      </w:pPr>
    </w:p>
    <w:p>
      <w:pPr>
        <w:ind w:left="2720" w:hanging="210"/>
        <w:spacing w:after="0"/>
        <w:tabs>
          <w:tab w:leader="none" w:pos="27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10-Q</w:t>
      </w:r>
    </w:p>
    <w:p>
      <w:pPr>
        <w:spacing w:after="0" w:line="293"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18"/>
          <w:szCs w:val="18"/>
          <w:color w:val="auto"/>
        </w:rPr>
        <w:t>For the Transition Period Ended:</w:t>
      </w:r>
    </w:p>
    <w:p>
      <w:pPr>
        <w:spacing w:after="0" w:line="374"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Read Instruction (on back page) Before Preparing Form. Please Print or Type.</w:t>
      </w:r>
    </w:p>
    <w:p>
      <w:pPr>
        <w:spacing w:after="0" w:line="27"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Nothing in this form shall be construed to imply that the Commission has verified any information contained herein.</w:t>
      </w:r>
    </w:p>
    <w:p>
      <w:pPr>
        <w:spacing w:after="0" w:line="207"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8"/>
          <w:szCs w:val="18"/>
          <w:color w:val="221F1F"/>
        </w:rPr>
        <w:t>If the notification relates to a portion of the filing checked above, identify the Item(s) to which the notification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221F1F"/>
        </w:rPr>
        <w:t>PART I — REGISTRANT INFORMATION</w:t>
      </w:r>
    </w:p>
    <w:p>
      <w:pPr>
        <w:spacing w:after="0" w:line="225"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u w:val="single" w:color="auto"/>
          <w:color w:val="auto"/>
        </w:rPr>
        <w:t>401(k) Savings Plan for GHC Affiliates</w:t>
      </w:r>
    </w:p>
    <w:p>
      <w:pPr>
        <w:spacing w:after="0" w:line="31"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u w:val="single" w:color="auto"/>
          <w:color w:val="auto"/>
        </w:rPr>
        <w:t>(Full Name of Registrant)</w:t>
      </w:r>
    </w:p>
    <w:p>
      <w:pPr>
        <w:spacing w:after="0" w:line="203"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c/o Graham Holdings Company</w:t>
      </w:r>
    </w:p>
    <w:p>
      <w:pPr>
        <w:spacing w:after="0" w:line="31"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1300 North 17th Street</w:t>
      </w:r>
    </w:p>
    <w:p>
      <w:pPr>
        <w:spacing w:after="0" w:line="9"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u w:val="single" w:color="auto"/>
          <w:color w:val="auto"/>
        </w:rPr>
        <w:t>(Address of Principal Executive Office (Street and Number)</w:t>
      </w:r>
    </w:p>
    <w:p>
      <w:pPr>
        <w:spacing w:after="0" w:line="9"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Arlington, Virginia 22209</w:t>
      </w:r>
    </w:p>
    <w:p>
      <w:pPr>
        <w:spacing w:after="0" w:line="9"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u w:val="single" w:color="auto"/>
          <w:color w:val="auto"/>
        </w:rPr>
        <w:t>(City, State and Zip Code)</w:t>
      </w:r>
    </w:p>
    <w:p>
      <w:pPr>
        <w:spacing w:after="0" w:line="200" w:lineRule="exact"/>
        <w:rPr>
          <w:sz w:val="24"/>
          <w:szCs w:val="24"/>
          <w:color w:val="auto"/>
        </w:rPr>
      </w:pPr>
    </w:p>
    <w:p>
      <w:pPr>
        <w:spacing w:after="0" w:line="24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RULE 12b-25(b) and (c)</w:t>
      </w:r>
    </w:p>
    <w:p>
      <w:pPr>
        <w:spacing w:after="0" w:line="229"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162" w:lineRule="exact"/>
        <w:rPr>
          <w:sz w:val="24"/>
          <w:szCs w:val="24"/>
          <w:color w:val="auto"/>
        </w:rPr>
      </w:pPr>
    </w:p>
    <w:p>
      <w:pPr>
        <w:ind w:left="160"/>
        <w:spacing w:after="0" w:line="282" w:lineRule="auto"/>
        <w:rPr>
          <w:sz w:val="20"/>
          <w:szCs w:val="20"/>
          <w:color w:val="auto"/>
        </w:rPr>
      </w:pPr>
      <w:r>
        <w:rPr>
          <w:rFonts w:ascii="Times New Roman" w:cs="Times New Roman" w:eastAsia="Times New Roman" w:hAnsi="Times New Roman"/>
          <w:sz w:val="18"/>
          <w:szCs w:val="18"/>
          <w:color w:val="221F1F"/>
        </w:rPr>
        <w:t>If the subject report could not be filed without unreasonable effort or expense and the registrant seeks relief pursuant to Rule 12b-25(b), the following should be completed. (Check box if appropriate)</w:t>
      </w:r>
    </w:p>
    <w:p>
      <w:pPr>
        <w:sectPr>
          <w:pgSz w:w="11900" w:h="16838" w:orient="portrait"/>
          <w:cols w:equalWidth="0" w:num="1">
            <w:col w:w="10940"/>
          </w:cols>
          <w:pgMar w:left="320" w:top="1440" w:right="639" w:bottom="1440" w:gutter="0" w:footer="0" w:header="0"/>
        </w:sectPr>
      </w:pPr>
    </w:p>
    <w:bookmarkStart w:id="1" w:name="page2"/>
    <w:bookmarkEnd w:id="1"/>
    <w:p>
      <w:pPr>
        <w:spacing w:after="0" w:line="18" w:lineRule="exact"/>
        <w:rPr>
          <w:sz w:val="20"/>
          <w:szCs w:val="20"/>
          <w:color w:val="auto"/>
        </w:rPr>
      </w:pPr>
    </w:p>
    <w:p>
      <w:pPr>
        <w:ind w:left="982" w:hanging="346"/>
        <w:spacing w:after="0"/>
        <w:tabs>
          <w:tab w:leader="none" w:pos="982"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reasons described in reasonable detail in Part III of this form could not be eliminated without unreasonable effort or expense;</w:t>
      </w:r>
    </w:p>
    <w:p>
      <w:pPr>
        <w:spacing w:after="0" w:line="211" w:lineRule="exact"/>
        <w:rPr>
          <w:rFonts w:ascii="Times New Roman" w:cs="Times New Roman" w:eastAsia="Times New Roman" w:hAnsi="Times New Roman"/>
          <w:sz w:val="18"/>
          <w:szCs w:val="18"/>
          <w:color w:val="auto"/>
        </w:rPr>
      </w:pPr>
    </w:p>
    <w:p>
      <w:pPr>
        <w:ind w:left="982" w:right="320" w:hanging="356"/>
        <w:spacing w:after="0" w:line="224" w:lineRule="auto"/>
        <w:tabs>
          <w:tab w:leader="none" w:pos="982"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subject annual report, semi-annual report, transition report on Form 10-K, Form 20-F, Form 11-K, Form N-CEN or Form N-CSR, or 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185" w:lineRule="exact"/>
        <w:rPr>
          <w:rFonts w:ascii="Times New Roman" w:cs="Times New Roman" w:eastAsia="Times New Roman" w:hAnsi="Times New Roman"/>
          <w:sz w:val="18"/>
          <w:szCs w:val="18"/>
          <w:color w:val="auto"/>
        </w:rPr>
      </w:pPr>
    </w:p>
    <w:p>
      <w:pPr>
        <w:ind w:left="642" w:hanging="642"/>
        <w:spacing w:after="0"/>
        <w:tabs>
          <w:tab w:leader="none" w:pos="642"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  The accountant’s statement or other exhibit required by Rule 12b-25(c) has been attached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241935</wp:posOffset>
            </wp:positionH>
            <wp:positionV relativeFrom="paragraph">
              <wp:posOffset>-1002030</wp:posOffset>
            </wp:positionV>
            <wp:extent cx="8255" cy="1036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1036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2"/>
        <w:spacing w:after="0"/>
        <w:rPr>
          <w:sz w:val="20"/>
          <w:szCs w:val="20"/>
          <w:color w:val="auto"/>
        </w:rPr>
      </w:pPr>
      <w:r>
        <w:rPr>
          <w:rFonts w:ascii="Times New Roman" w:cs="Times New Roman" w:eastAsia="Times New Roman" w:hAnsi="Times New Roman"/>
          <w:sz w:val="18"/>
          <w:szCs w:val="18"/>
          <w:b w:val="1"/>
          <w:bCs w:val="1"/>
          <w:color w:val="auto"/>
        </w:rPr>
        <w:t>PART III -- NARRATIVE</w:t>
      </w:r>
    </w:p>
    <w:p>
      <w:pPr>
        <w:spacing w:after="0" w:line="229" w:lineRule="exact"/>
        <w:rPr>
          <w:sz w:val="20"/>
          <w:szCs w:val="20"/>
          <w:color w:val="auto"/>
        </w:rPr>
      </w:pPr>
    </w:p>
    <w:p>
      <w:pPr>
        <w:ind w:left="22" w:right="240"/>
        <w:spacing w:after="0" w:line="282" w:lineRule="auto"/>
        <w:rPr>
          <w:sz w:val="20"/>
          <w:szCs w:val="20"/>
          <w:color w:val="auto"/>
        </w:rPr>
      </w:pPr>
      <w:r>
        <w:rPr>
          <w:rFonts w:ascii="Times New Roman" w:cs="Times New Roman" w:eastAsia="Times New Roman" w:hAnsi="Times New Roman"/>
          <w:sz w:val="18"/>
          <w:szCs w:val="18"/>
          <w:color w:val="auto"/>
        </w:rPr>
        <w:t>State below in reasonable detail why Forms 10-K, 20-F, 11-K, 10-Q, 10-D, N-CEN, N-CSR, or the transition report or portion thereof, could not be filed within the prescribed time period.</w:t>
      </w:r>
    </w:p>
    <w:p>
      <w:pPr>
        <w:spacing w:after="0" w:line="162" w:lineRule="exact"/>
        <w:rPr>
          <w:sz w:val="20"/>
          <w:szCs w:val="20"/>
          <w:color w:val="auto"/>
        </w:rPr>
      </w:pPr>
    </w:p>
    <w:p>
      <w:pPr>
        <w:ind w:left="22" w:right="220"/>
        <w:spacing w:after="0" w:line="266" w:lineRule="auto"/>
        <w:rPr>
          <w:sz w:val="20"/>
          <w:szCs w:val="20"/>
          <w:color w:val="auto"/>
        </w:rPr>
      </w:pPr>
      <w:r>
        <w:rPr>
          <w:rFonts w:ascii="Times New Roman" w:cs="Times New Roman" w:eastAsia="Times New Roman" w:hAnsi="Times New Roman"/>
          <w:sz w:val="18"/>
          <w:szCs w:val="18"/>
          <w:color w:val="auto"/>
        </w:rPr>
        <w:t>The 401(k) Savings Plan for GHC Affiliates (the “Plan”) is unable to file its Form 11-K before the prescribed deadline for the year ended December 31, 2023, due to delays related to the Plan’s preparations for its first Form 11-K filing, including in completing the audited financial statements, management review and auditor opinion.</w:t>
      </w:r>
    </w:p>
    <w:p>
      <w:pPr>
        <w:spacing w:after="0" w:line="172" w:lineRule="exact"/>
        <w:rPr>
          <w:sz w:val="20"/>
          <w:szCs w:val="20"/>
          <w:color w:val="auto"/>
        </w:rPr>
      </w:pPr>
    </w:p>
    <w:p>
      <w:pPr>
        <w:ind w:left="22"/>
        <w:spacing w:after="0"/>
        <w:rPr>
          <w:sz w:val="20"/>
          <w:szCs w:val="20"/>
          <w:color w:val="auto"/>
        </w:rPr>
      </w:pPr>
      <w:r>
        <w:rPr>
          <w:rFonts w:ascii="Times New Roman" w:cs="Times New Roman" w:eastAsia="Times New Roman" w:hAnsi="Times New Roman"/>
          <w:sz w:val="18"/>
          <w:szCs w:val="18"/>
          <w:b w:val="1"/>
          <w:bCs w:val="1"/>
          <w:color w:val="auto"/>
        </w:rPr>
        <w:t>PART IV -- OTHER INFORMATION</w:t>
      </w:r>
    </w:p>
    <w:p>
      <w:pPr>
        <w:spacing w:after="0" w:line="229" w:lineRule="exact"/>
        <w:rPr>
          <w:sz w:val="20"/>
          <w:szCs w:val="20"/>
          <w:color w:val="auto"/>
        </w:rPr>
      </w:pPr>
    </w:p>
    <w:p>
      <w:pPr>
        <w:ind w:left="22"/>
        <w:spacing w:after="0"/>
        <w:rPr>
          <w:sz w:val="20"/>
          <w:szCs w:val="20"/>
          <w:color w:val="auto"/>
        </w:rPr>
      </w:pPr>
      <w:r>
        <w:rPr>
          <w:rFonts w:ascii="Times New Roman" w:cs="Times New Roman" w:eastAsia="Times New Roman" w:hAnsi="Times New Roman"/>
          <w:sz w:val="18"/>
          <w:szCs w:val="18"/>
          <w:color w:val="auto"/>
        </w:rPr>
        <w:t>(1) Names and telephone numbers of person to contact in regard to this notification:</w:t>
      </w:r>
    </w:p>
    <w:p>
      <w:pPr>
        <w:spacing w:after="0" w:line="266" w:lineRule="exact"/>
        <w:rPr>
          <w:sz w:val="20"/>
          <w:szCs w:val="20"/>
          <w:color w:val="auto"/>
        </w:rPr>
      </w:pPr>
    </w:p>
    <w:tbl>
      <w:tblPr>
        <w:tblLayout w:type="fixed"/>
        <w:tblInd w:w="22" w:type="dxa"/>
        <w:tblCellMar>
          <w:top w:w="0" w:type="dxa"/>
          <w:left w:w="0" w:type="dxa"/>
          <w:bottom w:w="0" w:type="dxa"/>
          <w:right w:w="0" w:type="dxa"/>
        </w:tblCellMar>
      </w:tblPr>
      <w:tr>
        <w:trPr>
          <w:trHeight w:val="234"/>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Nicole Maddrey</w:t>
            </w:r>
          </w:p>
        </w:tc>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(703) 345-6362</w:t>
            </w:r>
          </w:p>
        </w:tc>
      </w:tr>
      <w:tr>
        <w:trPr>
          <w:trHeight w:val="228"/>
        </w:trPr>
        <w:tc>
          <w:tcPr>
            <w:tcW w:w="3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160" w:type="dxa"/>
            <w:vAlign w:val="bottom"/>
          </w:tcPr>
          <w:p>
            <w:pPr>
              <w:spacing w:after="0"/>
              <w:rPr>
                <w:sz w:val="19"/>
                <w:szCs w:val="19"/>
                <w:color w:val="auto"/>
              </w:rPr>
            </w:pPr>
          </w:p>
        </w:tc>
        <w:tc>
          <w:tcPr>
            <w:tcW w:w="74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(Area Code)(Telephone Number)</w:t>
            </w:r>
          </w:p>
        </w:tc>
      </w:tr>
    </w:tbl>
    <w:p>
      <w:pPr>
        <w:spacing w:after="0" w:line="200" w:lineRule="exact"/>
        <w:rPr>
          <w:sz w:val="20"/>
          <w:szCs w:val="20"/>
          <w:color w:val="auto"/>
        </w:rPr>
      </w:pPr>
    </w:p>
    <w:p>
      <w:pPr>
        <w:spacing w:after="0" w:line="303" w:lineRule="exact"/>
        <w:rPr>
          <w:sz w:val="20"/>
          <w:szCs w:val="20"/>
          <w:color w:val="auto"/>
        </w:rPr>
      </w:pPr>
    </w:p>
    <w:p>
      <w:pPr>
        <w:ind w:left="22" w:firstLine="8"/>
        <w:spacing w:after="0" w:line="266" w:lineRule="auto"/>
        <w:tabs>
          <w:tab w:leader="none" w:pos="27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the answer is no, identify report(s).</w:t>
      </w:r>
    </w:p>
    <w:p>
      <w:pPr>
        <w:spacing w:after="0" w:line="135" w:lineRule="exact"/>
        <w:rPr>
          <w:rFonts w:ascii="Times New Roman" w:cs="Times New Roman" w:eastAsia="Times New Roman" w:hAnsi="Times New Roman"/>
          <w:sz w:val="18"/>
          <w:szCs w:val="18"/>
          <w:color w:val="auto"/>
        </w:rPr>
      </w:pPr>
    </w:p>
    <w:p>
      <w:pPr>
        <w:ind w:left="682"/>
        <w:spacing w:after="0" w:line="207" w:lineRule="exact"/>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8"/>
          <w:szCs w:val="18"/>
          <w:color w:val="auto"/>
        </w:rPr>
        <w:t>YES</w:t>
      </w:r>
      <w:r>
        <w:rPr>
          <w:rFonts w:ascii="Wingdings" w:cs="Wingdings" w:eastAsia="Wingdings" w:hAnsi="Wingdings"/>
          <w:sz w:val="18"/>
          <w:szCs w:val="18"/>
          <w:b w:val="1"/>
          <w:bCs w:val="1"/>
          <w:color w:val="auto"/>
        </w:rPr>
        <w:t xml:space="preserve"> </w:t>
      </w:r>
      <w:r>
        <w:rPr>
          <w:rFonts w:ascii="MS PGothic" w:cs="MS PGothic" w:eastAsia="MS PGothic" w:hAnsi="MS PGothic"/>
          <w:sz w:val="18"/>
          <w:szCs w:val="18"/>
          <w:color w:val="auto"/>
        </w:rPr>
        <w:t>☐</w:t>
      </w:r>
      <w:r>
        <w:rPr>
          <w:rFonts w:ascii="Wingdings" w:cs="Wingdings" w:eastAsia="Wingdings" w:hAnsi="Wingdings"/>
          <w:sz w:val="18"/>
          <w:szCs w:val="18"/>
          <w:b w:val="1"/>
          <w:bCs w:val="1"/>
          <w:color w:val="auto"/>
        </w:rPr>
        <w:t xml:space="preserve"> </w:t>
      </w:r>
      <w:r>
        <w:rPr>
          <w:rFonts w:ascii="Times New Roman" w:cs="Times New Roman" w:eastAsia="Times New Roman" w:hAnsi="Times New Roman"/>
          <w:sz w:val="18"/>
          <w:szCs w:val="18"/>
          <w:color w:val="auto"/>
        </w:rPr>
        <w:t>No</w:t>
      </w:r>
    </w:p>
    <w:p>
      <w:pPr>
        <w:spacing w:after="0" w:line="265" w:lineRule="exact"/>
        <w:rPr>
          <w:rFonts w:ascii="Times New Roman" w:cs="Times New Roman" w:eastAsia="Times New Roman" w:hAnsi="Times New Roman"/>
          <w:sz w:val="18"/>
          <w:szCs w:val="18"/>
          <w:color w:val="auto"/>
        </w:rPr>
      </w:pPr>
    </w:p>
    <w:p>
      <w:pPr>
        <w:ind w:left="22" w:firstLine="8"/>
        <w:spacing w:after="0" w:line="282" w:lineRule="auto"/>
        <w:tabs>
          <w:tab w:leader="none" w:pos="27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it anticipated that any significant change in results of operations from the corresponding period for the last fiscal year will be reflected by the earnings statements to be included in the subject report or portion thereof?</w:t>
      </w:r>
    </w:p>
    <w:p>
      <w:pPr>
        <w:spacing w:after="0" w:line="162" w:lineRule="exact"/>
        <w:rPr>
          <w:sz w:val="20"/>
          <w:szCs w:val="20"/>
          <w:color w:val="auto"/>
        </w:rPr>
      </w:pPr>
    </w:p>
    <w:p>
      <w:pPr>
        <w:ind w:left="882" w:hanging="204"/>
        <w:spacing w:after="0"/>
        <w:tabs>
          <w:tab w:leader="none" w:pos="882"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w:t>
      </w:r>
    </w:p>
    <w:p>
      <w:pPr>
        <w:spacing w:after="0" w:line="225" w:lineRule="exact"/>
        <w:rPr>
          <w:sz w:val="20"/>
          <w:szCs w:val="20"/>
          <w:color w:val="auto"/>
        </w:rPr>
      </w:pPr>
    </w:p>
    <w:p>
      <w:pPr>
        <w:ind w:left="22" w:right="60"/>
        <w:spacing w:after="0" w:line="282" w:lineRule="auto"/>
        <w:rPr>
          <w:sz w:val="20"/>
          <w:szCs w:val="20"/>
          <w:color w:val="auto"/>
        </w:rPr>
      </w:pPr>
      <w:r>
        <w:rPr>
          <w:rFonts w:ascii="Times New Roman" w:cs="Times New Roman" w:eastAsia="Times New Roman" w:hAnsi="Times New Roman"/>
          <w:sz w:val="18"/>
          <w:szCs w:val="18"/>
          <w:color w:val="auto"/>
        </w:rPr>
        <w:t>If so, attach an explanation of the anticipated change, both narratively and quantitatively, and, if appropriate, state the reasons why a reasonable estimate of the results cannot be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62"/>
          </w:cols>
          <w:pgMar w:left="298" w:top="1440" w:right="339"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8"/>
          <w:szCs w:val="18"/>
          <w:b w:val="1"/>
          <w:bCs w:val="1"/>
          <w:u w:val="single" w:color="auto"/>
          <w:color w:val="auto"/>
        </w:rPr>
        <w:t>401(k) Savings Plan for GHC Affiliates</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(Name of Registrant as Specified in Charter)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caused this notification to be signed on its behalf by the undersigned thereunto duly authorized.</w:t>
      </w:r>
    </w:p>
    <w:p>
      <w:pPr>
        <w:spacing w:after="0" w:line="262" w:lineRule="exact"/>
        <w:rPr>
          <w:sz w:val="20"/>
          <w:szCs w:val="20"/>
          <w:color w:val="auto"/>
        </w:rPr>
      </w:pPr>
    </w:p>
    <w:p>
      <w:pPr>
        <w:ind w:left="20"/>
        <w:spacing w:after="0"/>
        <w:tabs>
          <w:tab w:leader="none" w:pos="2700" w:val="left"/>
        </w:tabs>
        <w:rPr>
          <w:sz w:val="20"/>
          <w:szCs w:val="20"/>
          <w:color w:val="auto"/>
        </w:rPr>
      </w:pPr>
      <w:r>
        <w:rPr>
          <w:rFonts w:ascii="Times New Roman" w:cs="Times New Roman" w:eastAsia="Times New Roman" w:hAnsi="Times New Roman"/>
          <w:sz w:val="18"/>
          <w:szCs w:val="18"/>
          <w:color w:val="221F1F"/>
        </w:rPr>
        <w:t>Date: June 28, 2024</w:t>
      </w:r>
      <w:r>
        <w:rPr>
          <w:sz w:val="20"/>
          <w:szCs w:val="20"/>
          <w:color w:val="auto"/>
        </w:rPr>
        <w:tab/>
      </w:r>
      <w:r>
        <w:rPr>
          <w:rFonts w:ascii="Times New Roman" w:cs="Times New Roman" w:eastAsia="Times New Roman" w:hAnsi="Times New Roman"/>
          <w:sz w:val="17"/>
          <w:szCs w:val="17"/>
          <w:b w:val="1"/>
          <w:bCs w:val="1"/>
          <w:color w:val="auto"/>
        </w:rPr>
        <w:t>401(k) Savings Plan for GHC Affiliates</w:t>
      </w:r>
    </w:p>
    <w:p>
      <w:pPr>
        <w:spacing w:after="0" w:line="268"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i w:val="1"/>
          <w:iCs w:val="1"/>
          <w:color w:val="auto"/>
        </w:rPr>
        <w:t xml:space="preserve">/s/ </w:t>
      </w:r>
      <w:r>
        <w:rPr>
          <w:rFonts w:ascii="Times New Roman" w:cs="Times New Roman" w:eastAsia="Times New Roman" w:hAnsi="Times New Roman"/>
          <w:sz w:val="18"/>
          <w:szCs w:val="18"/>
          <w:color w:val="auto"/>
        </w:rPr>
        <w:t>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1710690</wp:posOffset>
            </wp:positionH>
            <wp:positionV relativeFrom="paragraph">
              <wp:posOffset>35560</wp:posOffset>
            </wp:positionV>
            <wp:extent cx="54260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26075" cy="8255"/>
                    </a:xfrm>
                    <a:prstGeom prst="rect">
                      <a:avLst/>
                    </a:prstGeom>
                    <a:noFill/>
                  </pic:spPr>
                </pic:pic>
              </a:graphicData>
            </a:graphic>
          </wp:anchor>
        </w:drawing>
      </w:r>
    </w:p>
    <w:p>
      <w:pPr>
        <w:spacing w:after="0" w:line="45"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By: Wallace R. Cooney</w:t>
      </w:r>
    </w:p>
    <w:p>
      <w:pPr>
        <w:spacing w:after="0" w:line="27" w:lineRule="exact"/>
        <w:rPr>
          <w:sz w:val="20"/>
          <w:szCs w:val="20"/>
          <w:color w:val="auto"/>
        </w:rPr>
      </w:pPr>
    </w:p>
    <w:p>
      <w:pPr>
        <w:jc w:val="right"/>
        <w:ind w:right="1939"/>
        <w:spacing w:after="0"/>
        <w:rPr>
          <w:sz w:val="20"/>
          <w:szCs w:val="20"/>
          <w:color w:val="auto"/>
        </w:rPr>
      </w:pPr>
      <w:r>
        <w:rPr>
          <w:rFonts w:ascii="Times New Roman" w:cs="Times New Roman" w:eastAsia="Times New Roman" w:hAnsi="Times New Roman"/>
          <w:sz w:val="18"/>
          <w:szCs w:val="18"/>
          <w:color w:val="auto"/>
        </w:rPr>
        <w:t>Title: Member, GHC Committee, Plan Administrator of the Retirement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sectPr>
      <w:pgSz w:w="11900" w:h="16838" w:orient="portrait"/>
      <w:cols w:equalWidth="0" w:num="1">
        <w:col w:w="10139"/>
      </w:cols>
      <w:pgMar w:left="320" w:top="141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lvl w:ilvl="1">
      <w:lvlJc w:val="left"/>
      <w:lvlText w:val="(%2)"/>
      <w:numFmt w:val="lowerLetter"/>
      <w:start w:val="1"/>
    </w:lvl>
  </w:abstractNum>
  <w:abstractNum w:abstractNumId="3">
    <w:nsid w:val="238E1F29"/>
    <w:multiLevelType w:val="hybridMultilevel"/>
    <w:lvl w:ilvl="0">
      <w:lvlJc w:val="left"/>
      <w:lvlText w:val="(%1)"/>
      <w:numFmt w:val="decimal"/>
      <w:start w:val="2"/>
    </w:lvl>
    <w:lvl w:ilvl="1">
      <w:lvlJc w:val="left"/>
      <w:lvlText w:val="%2"/>
      <w:numFmt w:val="lowerRoman"/>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2024-06-28T13:01:36Z</dcterms:created>
  <dcterms:modified xsi:type="dcterms:W3CDTF">2024-06-28T13:01:36Z</dcterms:modified>
</cp:coreProperties>
</file>