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Graham Holdings Company</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Delaware</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1-6714</w:t>
            </w:r>
          </w:p>
        </w:tc>
        <w:tc>
          <w:tcPr>
            <w:tcW w:w="352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rPr>
              <w:t>53-0182885</w:t>
            </w:r>
          </w:p>
        </w:tc>
      </w:tr>
      <w:tr>
        <w:trPr>
          <w:trHeight w:val="280"/>
        </w:trPr>
        <w:tc>
          <w:tcPr>
            <w:tcW w:w="4240" w:type="dxa"/>
            <w:vAlign w:val="bottom"/>
          </w:tcPr>
          <w:p>
            <w:pPr>
              <w:jc w:val="center"/>
              <w:spacing w:after="0"/>
              <w:rPr>
                <w:sz w:val="20"/>
                <w:szCs w:val="20"/>
                <w:color w:val="auto"/>
              </w:rPr>
            </w:pPr>
            <w:r>
              <w:rPr>
                <w:rFonts w:ascii="Arial" w:cs="Arial" w:eastAsia="Arial" w:hAnsi="Arial"/>
                <w:sz w:val="22"/>
                <w:szCs w:val="22"/>
                <w:color w:val="auto"/>
                <w:w w:val="90"/>
              </w:rPr>
              <w:t>(State or other jurisdiction</w:t>
            </w:r>
          </w:p>
        </w:tc>
        <w:tc>
          <w:tcPr>
            <w:tcW w:w="3660" w:type="dxa"/>
            <w:vAlign w:val="bottom"/>
          </w:tcPr>
          <w:p>
            <w:pPr>
              <w:jc w:val="center"/>
              <w:spacing w:after="0"/>
              <w:rPr>
                <w:sz w:val="20"/>
                <w:szCs w:val="20"/>
                <w:color w:val="auto"/>
              </w:rPr>
            </w:pPr>
            <w:r>
              <w:rPr>
                <w:rFonts w:ascii="Arial" w:cs="Arial" w:eastAsia="Arial" w:hAnsi="Arial"/>
                <w:sz w:val="22"/>
                <w:szCs w:val="22"/>
                <w:color w:val="auto"/>
                <w:w w:val="90"/>
              </w:rPr>
              <w:t>(Commission</w:t>
            </w:r>
          </w:p>
        </w:tc>
        <w:tc>
          <w:tcPr>
            <w:tcW w:w="3520" w:type="dxa"/>
            <w:vAlign w:val="bottom"/>
          </w:tcPr>
          <w:p>
            <w:pPr>
              <w:jc w:val="center"/>
              <w:spacing w:after="0"/>
              <w:rPr>
                <w:sz w:val="20"/>
                <w:szCs w:val="20"/>
                <w:color w:val="auto"/>
              </w:rPr>
            </w:pPr>
            <w:r>
              <w:rPr>
                <w:rFonts w:ascii="Arial" w:cs="Arial" w:eastAsia="Arial" w:hAnsi="Arial"/>
                <w:sz w:val="22"/>
                <w:szCs w:val="22"/>
                <w:color w:val="auto"/>
                <w:w w:val="90"/>
              </w:rPr>
              <w:t>(IRS Employer</w:t>
            </w:r>
          </w:p>
        </w:tc>
      </w:tr>
      <w:tr>
        <w:trPr>
          <w:trHeight w:val="297"/>
        </w:trPr>
        <w:tc>
          <w:tcPr>
            <w:tcW w:w="4240" w:type="dxa"/>
            <w:vAlign w:val="bottom"/>
          </w:tcPr>
          <w:p>
            <w:pPr>
              <w:jc w:val="center"/>
              <w:spacing w:after="0"/>
              <w:rPr>
                <w:sz w:val="20"/>
                <w:szCs w:val="20"/>
                <w:color w:val="auto"/>
              </w:rPr>
            </w:pPr>
            <w:r>
              <w:rPr>
                <w:rFonts w:ascii="Arial" w:cs="Arial" w:eastAsia="Arial" w:hAnsi="Arial"/>
                <w:sz w:val="22"/>
                <w:szCs w:val="22"/>
                <w:color w:val="auto"/>
                <w:w w:val="91"/>
              </w:rPr>
              <w:t>of incorporation or organization)</w:t>
            </w:r>
          </w:p>
        </w:tc>
        <w:tc>
          <w:tcPr>
            <w:tcW w:w="3660" w:type="dxa"/>
            <w:vAlign w:val="bottom"/>
          </w:tcPr>
          <w:p>
            <w:pPr>
              <w:jc w:val="center"/>
              <w:spacing w:after="0"/>
              <w:rPr>
                <w:sz w:val="20"/>
                <w:szCs w:val="20"/>
                <w:color w:val="auto"/>
              </w:rPr>
            </w:pPr>
            <w:r>
              <w:rPr>
                <w:rFonts w:ascii="Arial" w:cs="Arial" w:eastAsia="Arial" w:hAnsi="Arial"/>
                <w:sz w:val="22"/>
                <w:szCs w:val="22"/>
                <w:color w:val="auto"/>
                <w:w w:val="91"/>
              </w:rPr>
              <w:t>File Number)</w:t>
            </w:r>
          </w:p>
        </w:tc>
        <w:tc>
          <w:tcPr>
            <w:tcW w:w="3520" w:type="dxa"/>
            <w:vAlign w:val="bottom"/>
          </w:tcPr>
          <w:p>
            <w:pPr>
              <w:jc w:val="center"/>
              <w:spacing w:after="0"/>
              <w:rPr>
                <w:sz w:val="20"/>
                <w:szCs w:val="20"/>
                <w:color w:val="auto"/>
              </w:rPr>
            </w:pPr>
            <w:r>
              <w:rPr>
                <w:rFonts w:ascii="Arial" w:cs="Arial" w:eastAsia="Arial" w:hAnsi="Arial"/>
                <w:sz w:val="22"/>
                <w:szCs w:val="22"/>
                <w:color w:val="auto"/>
                <w:w w:val="94"/>
              </w:rPr>
              <w:t>Identification No.)</w:t>
            </w:r>
          </w:p>
        </w:tc>
      </w:tr>
      <w:tr>
        <w:trPr>
          <w:trHeight w:val="659"/>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1300 North 17th St., Arlington, VA</w:t>
            </w:r>
          </w:p>
        </w:tc>
        <w:tc>
          <w:tcPr>
            <w:tcW w:w="3660" w:type="dxa"/>
            <w:vAlign w:val="bottom"/>
          </w:tcPr>
          <w:p>
            <w:pPr>
              <w:spacing w:after="0"/>
              <w:rPr>
                <w:sz w:val="24"/>
                <w:szCs w:val="24"/>
                <w:color w:val="auto"/>
              </w:rPr>
            </w:pPr>
          </w:p>
        </w:tc>
        <w:tc>
          <w:tcPr>
            <w:tcW w:w="3520" w:type="dxa"/>
            <w:vAlign w:val="bottom"/>
            <w:tcBorders>
              <w:bottom w:val="single" w:sz="8" w:color="auto"/>
            </w:tcBorders>
          </w:tcPr>
          <w:p>
            <w:pPr>
              <w:jc w:val="right"/>
              <w:ind w:right="1352"/>
              <w:spacing w:after="0"/>
              <w:rPr>
                <w:sz w:val="20"/>
                <w:szCs w:val="20"/>
                <w:color w:val="auto"/>
              </w:rPr>
            </w:pPr>
            <w:r>
              <w:rPr>
                <w:rFonts w:ascii="Arial" w:cs="Arial" w:eastAsia="Arial" w:hAnsi="Arial"/>
                <w:sz w:val="22"/>
                <w:szCs w:val="22"/>
                <w:color w:val="auto"/>
              </w:rPr>
              <w:t>22209</w:t>
            </w:r>
          </w:p>
        </w:tc>
      </w:tr>
      <w:tr>
        <w:trPr>
          <w:trHeight w:val="280"/>
        </w:trPr>
        <w:tc>
          <w:tcPr>
            <w:tcW w:w="4240" w:type="dxa"/>
            <w:vAlign w:val="bottom"/>
          </w:tcPr>
          <w:p>
            <w:pPr>
              <w:jc w:val="center"/>
              <w:spacing w:after="0"/>
              <w:rPr>
                <w:sz w:val="20"/>
                <w:szCs w:val="20"/>
                <w:color w:val="auto"/>
              </w:rPr>
            </w:pPr>
            <w:r>
              <w:rPr>
                <w:rFonts w:ascii="Arial" w:cs="Arial" w:eastAsia="Arial" w:hAnsi="Arial"/>
                <w:sz w:val="22"/>
                <w:szCs w:val="22"/>
                <w:color w:val="auto"/>
                <w:w w:val="90"/>
              </w:rPr>
              <w:t>(Address of principal executive offices)</w:t>
            </w:r>
          </w:p>
        </w:tc>
        <w:tc>
          <w:tcPr>
            <w:tcW w:w="36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22"/>
                <w:szCs w:val="22"/>
                <w:color w:val="auto"/>
                <w:w w:val="90"/>
              </w:rPr>
              <w:t>(Zip code)</w:t>
            </w:r>
          </w:p>
        </w:tc>
      </w:tr>
    </w:tbl>
    <w:p>
      <w:pPr>
        <w:spacing w:after="0" w:line="374"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Nicole Maddrey (703) 345-6300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24765</wp:posOffset>
            </wp:positionV>
            <wp:extent cx="23241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4" w:lineRule="exact"/>
        <w:rPr>
          <w:sz w:val="24"/>
          <w:szCs w:val="24"/>
          <w:color w:val="auto"/>
        </w:rPr>
      </w:pPr>
    </w:p>
    <w:p>
      <w:pPr>
        <w:ind w:left="1140"/>
        <w:spacing w:after="0"/>
        <w:rPr>
          <w:sz w:val="20"/>
          <w:szCs w:val="20"/>
          <w:color w:val="auto"/>
        </w:rPr>
      </w:pPr>
      <w:r>
        <w:rPr>
          <w:rFonts w:ascii="Arial" w:cs="Arial" w:eastAsia="Arial" w:hAnsi="Arial"/>
          <w:sz w:val="21"/>
          <w:szCs w:val="2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right="660"/>
        <w:spacing w:after="0" w:line="263"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215" w:lineRule="exact"/>
        <w:rPr>
          <w:sz w:val="24"/>
          <w:szCs w:val="24"/>
          <w:color w:val="auto"/>
        </w:rPr>
      </w:pPr>
    </w:p>
    <w:p>
      <w:pPr>
        <w:ind w:right="300" w:firstLine="8"/>
        <w:spacing w:after="0" w:line="263" w:lineRule="auto"/>
        <w:tabs>
          <w:tab w:leader="none" w:pos="354"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13p-1 under the Securities Exchange Act (17 CFR 240.13p-1) for the reporting period from January 1 to December 31, 2017.</w:t>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266" w:lineRule="exact"/>
        <w:rPr>
          <w:sz w:val="20"/>
          <w:szCs w:val="20"/>
          <w:color w:val="auto"/>
        </w:rPr>
      </w:pPr>
    </w:p>
    <w:p>
      <w:pPr>
        <w:ind w:right="3580"/>
        <w:spacing w:after="0" w:line="263" w:lineRule="auto"/>
        <w:rPr>
          <w:sz w:val="20"/>
          <w:szCs w:val="20"/>
          <w:color w:val="auto"/>
        </w:rPr>
      </w:pPr>
      <w:r>
        <w:rPr>
          <w:rFonts w:ascii="Arial" w:cs="Arial" w:eastAsia="Arial" w:hAnsi="Arial"/>
          <w:sz w:val="22"/>
          <w:szCs w:val="22"/>
          <w:color w:val="auto"/>
        </w:rPr>
        <w:t>A copy of our Conflict Minerals Report is filed as Exhibit 1.01 and is publicly available at http://www.ghco.com/phoenix.zhtml?c=62487&amp;p=irol-sec</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Exhibits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700" w:type="dxa"/>
        <w:tblCellMar>
          <w:top w:w="0" w:type="dxa"/>
          <w:left w:w="0" w:type="dxa"/>
          <w:bottom w:w="0" w:type="dxa"/>
          <w:right w:w="0" w:type="dxa"/>
        </w:tblCellMar>
      </w:tblPr>
      <w:tr>
        <w:trPr>
          <w:trHeight w:val="285"/>
        </w:trPr>
        <w:tc>
          <w:tcPr>
            <w:tcW w:w="18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Designation</w:t>
            </w:r>
          </w:p>
        </w:tc>
        <w:tc>
          <w:tcPr>
            <w:tcW w:w="3620" w:type="dxa"/>
            <w:vAlign w:val="bottom"/>
            <w:tcBorders>
              <w:bottom w:val="single" w:sz="8" w:color="auto"/>
            </w:tcBorders>
          </w:tcPr>
          <w:p>
            <w:pPr>
              <w:ind w:left="660"/>
              <w:spacing w:after="0"/>
              <w:rPr>
                <w:sz w:val="20"/>
                <w:szCs w:val="20"/>
                <w:color w:val="auto"/>
              </w:rPr>
            </w:pPr>
            <w:r>
              <w:rPr>
                <w:rFonts w:ascii="Arial" w:cs="Arial" w:eastAsia="Arial" w:hAnsi="Arial"/>
                <w:sz w:val="22"/>
                <w:szCs w:val="22"/>
                <w:color w:val="auto"/>
              </w:rPr>
              <w:t>Description</w:t>
            </w:r>
          </w:p>
        </w:tc>
        <w:tc>
          <w:tcPr>
            <w:tcW w:w="4600" w:type="dxa"/>
            <w:vAlign w:val="bottom"/>
            <w:tcBorders>
              <w:bottom w:val="single" w:sz="8" w:color="auto"/>
            </w:tcBorders>
          </w:tcPr>
          <w:p>
            <w:pPr>
              <w:ind w:left="760"/>
              <w:spacing w:after="0"/>
              <w:rPr>
                <w:sz w:val="20"/>
                <w:szCs w:val="20"/>
                <w:color w:val="auto"/>
              </w:rPr>
            </w:pPr>
            <w:r>
              <w:rPr>
                <w:rFonts w:ascii="Arial" w:cs="Arial" w:eastAsia="Arial" w:hAnsi="Arial"/>
                <w:sz w:val="22"/>
                <w:szCs w:val="22"/>
                <w:color w:val="auto"/>
              </w:rPr>
              <w:t>Method of Filing</w:t>
            </w:r>
          </w:p>
        </w:tc>
      </w:tr>
      <w:tr>
        <w:trPr>
          <w:trHeight w:val="280"/>
        </w:trPr>
        <w:tc>
          <w:tcPr>
            <w:tcW w:w="1820" w:type="dxa"/>
            <w:vAlign w:val="bottom"/>
          </w:tcPr>
          <w:p>
            <w:pPr>
              <w:ind w:left="80"/>
              <w:spacing w:after="0"/>
              <w:rPr>
                <w:sz w:val="20"/>
                <w:szCs w:val="20"/>
                <w:color w:val="auto"/>
              </w:rPr>
            </w:pPr>
            <w:r>
              <w:rPr>
                <w:rFonts w:ascii="Arial" w:cs="Arial" w:eastAsia="Arial" w:hAnsi="Arial"/>
                <w:sz w:val="22"/>
                <w:szCs w:val="22"/>
                <w:color w:val="auto"/>
              </w:rPr>
              <w:t>Exhibit 1.01</w:t>
            </w:r>
          </w:p>
        </w:tc>
        <w:tc>
          <w:tcPr>
            <w:tcW w:w="3620" w:type="dxa"/>
            <w:vAlign w:val="bottom"/>
          </w:tcPr>
          <w:p>
            <w:pPr>
              <w:ind w:left="660"/>
              <w:spacing w:after="0"/>
              <w:rPr>
                <w:sz w:val="20"/>
                <w:szCs w:val="20"/>
                <w:color w:val="auto"/>
              </w:rPr>
            </w:pPr>
            <w:r>
              <w:rPr>
                <w:rFonts w:ascii="Arial" w:cs="Arial" w:eastAsia="Arial" w:hAnsi="Arial"/>
                <w:sz w:val="22"/>
                <w:szCs w:val="22"/>
                <w:color w:val="auto"/>
              </w:rPr>
              <w:t>Conflict Minerals Report</w:t>
            </w:r>
          </w:p>
        </w:tc>
        <w:tc>
          <w:tcPr>
            <w:tcW w:w="4600" w:type="dxa"/>
            <w:vAlign w:val="bottom"/>
          </w:tcPr>
          <w:p>
            <w:pPr>
              <w:ind w:left="760"/>
              <w:spacing w:after="0"/>
              <w:rPr>
                <w:sz w:val="20"/>
                <w:szCs w:val="20"/>
                <w:color w:val="auto"/>
              </w:rPr>
            </w:pPr>
            <w:r>
              <w:rPr>
                <w:rFonts w:ascii="Arial" w:cs="Arial" w:eastAsia="Arial" w:hAnsi="Arial"/>
                <w:sz w:val="22"/>
                <w:szCs w:val="22"/>
                <w:color w:val="auto"/>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Graham Holdings Company</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99"/>
        </w:trPr>
        <w:tc>
          <w:tcPr>
            <w:tcW w:w="81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Nicole Maddrey</w:t>
            </w:r>
          </w:p>
        </w:tc>
        <w:tc>
          <w:tcPr>
            <w:tcW w:w="326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5/31/2018</w:t>
            </w:r>
          </w:p>
        </w:tc>
      </w:tr>
      <w:tr>
        <w:trPr>
          <w:trHeight w:val="280"/>
        </w:trPr>
        <w:tc>
          <w:tcPr>
            <w:tcW w:w="8120" w:type="dxa"/>
            <w:vAlign w:val="bottom"/>
          </w:tcPr>
          <w:p>
            <w:pPr>
              <w:ind w:left="80"/>
              <w:spacing w:after="0"/>
              <w:rPr>
                <w:sz w:val="20"/>
                <w:szCs w:val="20"/>
                <w:color w:val="auto"/>
              </w:rPr>
            </w:pPr>
            <w:r>
              <w:rPr>
                <w:rFonts w:ascii="Arial" w:cs="Arial" w:eastAsia="Arial" w:hAnsi="Arial"/>
                <w:sz w:val="22"/>
                <w:szCs w:val="22"/>
                <w:color w:val="auto"/>
              </w:rPr>
              <w:t>By Nicole Maddrey, Senior Vice President, General Counsel and Secretary</w:t>
            </w:r>
          </w:p>
        </w:tc>
        <w:tc>
          <w:tcPr>
            <w:tcW w:w="3260" w:type="dxa"/>
            <w:vAlign w:val="bottom"/>
          </w:tcPr>
          <w:p>
            <w:pPr>
              <w:jc w:val="center"/>
              <w:ind w:left="632"/>
              <w:spacing w:after="0"/>
              <w:rPr>
                <w:sz w:val="20"/>
                <w:szCs w:val="20"/>
                <w:color w:val="auto"/>
              </w:rPr>
            </w:pPr>
            <w:r>
              <w:rPr>
                <w:rFonts w:ascii="Arial" w:cs="Arial" w:eastAsia="Arial" w:hAnsi="Arial"/>
                <w:sz w:val="22"/>
                <w:szCs w:val="22"/>
                <w:color w:val="auto"/>
                <w:w w:val="91"/>
              </w:rPr>
              <w:t>(Date)</w:t>
            </w:r>
          </w:p>
        </w:tc>
      </w:tr>
    </w:tbl>
    <w:p>
      <w:pPr>
        <w:sectPr>
          <w:pgSz w:w="11900" w:h="16838" w:orient="portrait"/>
          <w:cols w:equalWidth="0" w:num="1">
            <w:col w:w="11400"/>
          </w:cols>
          <w:pgMar w:left="240" w:top="625" w:right="2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Exhibit 1.01 - Graham Holdings Company Conflict Minerals Report</w:t>
      </w:r>
    </w:p>
    <w:p>
      <w:pPr>
        <w:spacing w:after="0" w:line="200" w:lineRule="exact"/>
        <w:rPr>
          <w:sz w:val="20"/>
          <w:szCs w:val="20"/>
          <w:color w:val="auto"/>
        </w:rPr>
      </w:pPr>
    </w:p>
    <w:p>
      <w:pPr>
        <w:spacing w:after="0" w:line="276" w:lineRule="exact"/>
        <w:rPr>
          <w:sz w:val="20"/>
          <w:szCs w:val="20"/>
          <w:color w:val="auto"/>
        </w:rPr>
      </w:pPr>
    </w:p>
    <w:p>
      <w:pPr>
        <w:ind w:left="440" w:hanging="405"/>
        <w:spacing w:after="0"/>
        <w:tabs>
          <w:tab w:leader="none" w:pos="4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347"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The Dodd-Frank Wall Street Reform and Consumer Protection Act of 2010 and rules promulgated thereunder by the Securities and Exchange Commission (“SEC”) impose certain reporting obligations on public companies that manufacture or contract to manufacture products containing columbite-tantalite (coltan), cassiterite, gold, wolframite, or their derivatives, tantalum, tin and tungsten (each a “Conflict Mineral” as that term is defined in paragraph (d)(3) of Item 1.01 of Form SD) that may have originated from the Democratic Republic of the Congo or an adjoining country, as defined by paragraph (d)(1) of Item 1.01 of Form SD (collectively, “Covered Countries”). We also refer to tin, tantalum, tungsten, and gold collectively as “3TG”. Under the SEC’s rules, if any Conflict Minerals are necessary to the functionality or production of a product manufactured by us or contracted by us to be manufactured and are required to be reported in the calendar year covered by this Form SD, we must conduct in good faith a reasonable country of origin inquiry regarding those Conflict Minerals that is reasonably designed to determine whether any Conflict Minerals (a) originated in the Covered Countries or (b) are from recycled or scrap sources, as defined by paragraph (d)(6) of Item 1.01 of Form SD.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Company and Products Overview</w:t>
      </w:r>
    </w:p>
    <w:p>
      <w:pPr>
        <w:spacing w:after="0" w:line="226" w:lineRule="exact"/>
        <w:rPr>
          <w:sz w:val="20"/>
          <w:szCs w:val="20"/>
          <w:color w:val="auto"/>
        </w:rPr>
      </w:pPr>
    </w:p>
    <w:p>
      <w:pPr>
        <w:ind w:right="60"/>
        <w:spacing w:after="0" w:line="285" w:lineRule="auto"/>
        <w:rPr>
          <w:sz w:val="20"/>
          <w:szCs w:val="20"/>
          <w:color w:val="auto"/>
        </w:rPr>
      </w:pPr>
      <w:r>
        <w:rPr>
          <w:rFonts w:ascii="Arial" w:cs="Arial" w:eastAsia="Arial" w:hAnsi="Arial"/>
          <w:sz w:val="19"/>
          <w:szCs w:val="19"/>
          <w:color w:val="auto"/>
        </w:rPr>
        <w:t>This Conflict Minerals Report (the “Report”) for the year ended December 31, 2017, is presented by Graham Holdings Company (the “Company”) to comply with Rule 13p-1 under the Securities Exchange Act of 1934 (the “Conflict Minerals Rule”). The Company is a diversified education and media company, whose principal operations include educational services, television broadcasting, and online, print and local TV news. The Company also owns a social marketing solutions company, health care providers and manufacturing companies, including Group Dekko Corporation (“Dekko”), Forney Corporation (“Forney”) and Joyce/Dayton Corp (“Joyce”). The Company has reviewed its operations to determine which parts of its business may be subject to the disclosure requirements of the Conflicts Minerals Rule. The Company did not include products that were not entered into the stream of commerce in the calendar year ended December 31, 2017, or products manufactured or contracted to be manufactured by entities acquired by the Company after April 2016. The Company acquired Forney from Kiddie Fire Protection, Inc., part of the UTC Climate Controls &amp; Security Unit of United Technologies Corporation, on August 1, 2013. The Company acquired Joyce from a private equity firm on June 1, 2014. The Company acquired Dekko on November 13, 2015. Forney is a global supplier of products and systems that control and monitor combustion processes in electric utility and industrial applications. Joyce is a global supplier of screw jacks, linear actuators and lifting systems used in commercial and industrial applications.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As used in this Report, the words “we” and “our” refer to the Company.</w:t>
      </w:r>
    </w:p>
    <w:p>
      <w:pPr>
        <w:spacing w:after="0" w:line="170"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color w:val="auto"/>
        </w:rPr>
        <w:t>Dekko, Forney and Joyce manufacture products that contain small amounts of Conflict Minerals. Dekko’s products that contain gold and tin are Printed Circuit Boards (“PCBs”), wiring harnesses, solder and electronic connectors; Dekko’s products that contain tungsten are electrical components and lighting assemblies / lamps; Dekko’s products that contain tantalum are electrical assemblies with certain capacitors. Forney’s products that contain gold and tin are Printed Circuit Boards (“PCBs”) and connectors; Forney’s products that contain tantalum are capacitors; Forney’s products that contain tungsten are electrical materials such as resistors. Joyce’s products that contain gold and tin are electrical</w:t>
      </w:r>
    </w:p>
    <w:p>
      <w:pPr>
        <w:sectPr>
          <w:pgSz w:w="11900" w:h="16838" w:orient="portrait"/>
          <w:cols w:equalWidth="0" w:num="1">
            <w:col w:w="11420"/>
          </w:cols>
          <w:pgMar w:left="240" w:top="612" w:right="239" w:bottom="1440" w:gutter="0" w:footer="0" w:header="0"/>
        </w:sectPr>
      </w:pPr>
    </w:p>
    <w:bookmarkStart w:id="3" w:name="page4"/>
    <w:bookmarkEnd w:id="3"/>
    <w:p>
      <w:pPr>
        <w:ind w:right="200"/>
        <w:spacing w:after="0" w:line="248" w:lineRule="auto"/>
        <w:rPr>
          <w:sz w:val="20"/>
          <w:szCs w:val="20"/>
          <w:color w:val="auto"/>
        </w:rPr>
      </w:pPr>
      <w:r>
        <w:rPr>
          <w:rFonts w:ascii="Arial" w:cs="Arial" w:eastAsia="Arial" w:hAnsi="Arial"/>
          <w:sz w:val="22"/>
          <w:szCs w:val="22"/>
          <w:color w:val="auto"/>
        </w:rPr>
        <w:t>wiring, name plates, castings and covers; products that contain tantalum are screws and nuts. These products incorporate generic components obtained from other companies that contain tin, tantalum and gold. The Conflict Minerals in the generic components are necessary to the functionality of Dekko’s, Forney’s and Joyce’s products. These generic components are purchased from manufacturers and distributors. Dekko, Forney and Joyce do not purchase any Conflict Minerals directly from mines, smelters or refiners.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Supply Chain Overview</w:t>
      </w:r>
    </w:p>
    <w:p>
      <w:pPr>
        <w:spacing w:after="0" w:line="226" w:lineRule="exact"/>
        <w:rPr>
          <w:sz w:val="20"/>
          <w:szCs w:val="20"/>
          <w:color w:val="auto"/>
        </w:rPr>
      </w:pPr>
    </w:p>
    <w:p>
      <w:pPr>
        <w:ind w:right="140"/>
        <w:spacing w:after="0" w:line="302" w:lineRule="auto"/>
        <w:rPr>
          <w:sz w:val="20"/>
          <w:szCs w:val="20"/>
          <w:color w:val="auto"/>
        </w:rPr>
      </w:pPr>
      <w:r>
        <w:rPr>
          <w:rFonts w:ascii="Arial" w:cs="Arial" w:eastAsia="Arial" w:hAnsi="Arial"/>
          <w:sz w:val="19"/>
          <w:szCs w:val="19"/>
          <w:color w:val="auto"/>
        </w:rPr>
        <w:t>Because Dekko, Forney and Joyce do not purchase 3TG directly from any mine, refiner or smelter, they are in a “downstream” position in the supply chain, that is, downstream in the supply chain from smelters to refiners to retailers. As such, Dekko, Forney and Joyce rely on their direct suppliers and distributors to provide information on the origin of the 3TG contained in components supplied to them, including sources of 3TG that are supplied to them from lower tier suppliers.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3.1 Conflict Minerals Policy</w:t>
      </w:r>
    </w:p>
    <w:p>
      <w:pPr>
        <w:spacing w:after="0" w:line="226" w:lineRule="exact"/>
        <w:rPr>
          <w:sz w:val="20"/>
          <w:szCs w:val="20"/>
          <w:color w:val="auto"/>
        </w:rPr>
      </w:pPr>
    </w:p>
    <w:p>
      <w:pPr>
        <w:jc w:val="both"/>
        <w:ind w:right="340"/>
        <w:spacing w:after="0" w:line="312" w:lineRule="auto"/>
        <w:rPr>
          <w:sz w:val="20"/>
          <w:szCs w:val="20"/>
          <w:color w:val="auto"/>
        </w:rPr>
      </w:pPr>
      <w:r>
        <w:rPr>
          <w:rFonts w:ascii="Arial" w:cs="Arial" w:eastAsia="Arial" w:hAnsi="Arial"/>
          <w:sz w:val="19"/>
          <w:szCs w:val="19"/>
          <w:color w:val="auto"/>
        </w:rPr>
        <w:t>Dekko, Forney and Joyce adopted the following Conflict Minerals Policy (the “Policy”) that is available on Forney’s website at http://forneycorp.com/conflict-minerals-policy and on Joyce’s website at http://joycedayton.com/about-us/certifications and on Dekko’s website at http://www.dekko.com/wp-content/uploads/2017/03/Dekko-Conflict-Minerals-Policy-Version-3.1.pdf.</w:t>
      </w:r>
    </w:p>
    <w:p>
      <w:pPr>
        <w:spacing w:after="0" w:line="134" w:lineRule="exact"/>
        <w:rPr>
          <w:sz w:val="20"/>
          <w:szCs w:val="20"/>
          <w:color w:val="auto"/>
        </w:rPr>
      </w:pPr>
    </w:p>
    <w:p>
      <w:pPr>
        <w:ind w:right="240"/>
        <w:spacing w:after="0" w:line="263" w:lineRule="auto"/>
        <w:rPr>
          <w:sz w:val="20"/>
          <w:szCs w:val="20"/>
          <w:color w:val="auto"/>
        </w:rPr>
      </w:pPr>
      <w:r>
        <w:rPr>
          <w:rFonts w:ascii="Arial" w:cs="Arial" w:eastAsia="Arial" w:hAnsi="Arial"/>
          <w:sz w:val="21"/>
          <w:szCs w:val="21"/>
          <w:color w:val="auto"/>
        </w:rPr>
        <w:t>Under the Dodd-Frank Act of 2010, public companies are required to disclose measures they have taken to identify the source of “conflict minerals” in the products they manufacture or contract to manufacture (the “Conflicts Minerals Rule”). These “conflict minerals” are the source of financing for armed conflicts in the Democratic Republic of the Congo (the “DRC”) and adjoining countries. The Conflict Minerals Rule is intended to reduce a significant source of funding for armed groups that are committing human rights abuses in the DRC and adjoining countries.</w:t>
      </w:r>
    </w:p>
    <w:p>
      <w:pPr>
        <w:spacing w:after="0" w:line="176"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“Conflict minerals” are four specific minerals and their derivatives: columbite-tantalite (the metal ore from which tantalum is extracted), cassiterite (the metal ore from which tin is extracted), wolframite (the metal ore from which tungsten is extracted), and gold.</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We are committed to the responsible sourcing of “conflict minerals” throughout our supply chain for products that we manufacture that contain these minerals. To that end, we are putting policies and systems in place to reduce the risk that the minerals used in any of our products originate from conflict mines in the DRC. We are committed to strengthening our efforts to ensure that we refrain from, directly or indirectly, taking or supporting any action that contributes to the financing of armed groups that are committing human rights abuses in the DRC and other covered countries.</w:t>
      </w:r>
    </w:p>
    <w:p>
      <w:pPr>
        <w:spacing w:after="0" w:line="176"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We do not typically source conflict minerals directly from mines, smelters or refiners and therefore, in most cases, we are several levels removed from them. As a result, we rely on the cooperation of our suppliers in the implementation of this policy and in enabling us to meet our compliance obligations.</w:t>
      </w:r>
    </w:p>
    <w:p>
      <w:pPr>
        <w:spacing w:after="0" w:line="180" w:lineRule="exact"/>
        <w:rPr>
          <w:sz w:val="20"/>
          <w:szCs w:val="20"/>
          <w:color w:val="auto"/>
        </w:rPr>
      </w:pPr>
    </w:p>
    <w:p>
      <w:pPr>
        <w:ind w:left="220" w:hanging="212"/>
        <w:spacing w:after="0"/>
        <w:tabs>
          <w:tab w:leader="none" w:pos="2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Reasonable Country of Origin Inquiry (“RCOI”)</w:t>
      </w:r>
    </w:p>
    <w:p>
      <w:pPr>
        <w:spacing w:after="0" w:line="219"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4.1 Requests for Information and Survey Responses</w:t>
      </w:r>
    </w:p>
    <w:p>
      <w:pPr>
        <w:spacing w:after="0" w:line="22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Dekko, Forney and Joyce conducted reasonable country of origin inquiries that were reasonably designed to determine whether any 3TG necessary to the functionality or production of any of their products originated in the Covered Countries or are from recycled or scrap sources. Dekko, Forney and Joyce</w:t>
      </w:r>
    </w:p>
    <w:p>
      <w:pPr>
        <w:sectPr>
          <w:pgSz w:w="11900" w:h="16838" w:orient="portrait"/>
          <w:cols w:equalWidth="0" w:num="1">
            <w:col w:w="11380"/>
          </w:cols>
          <w:pgMar w:left="240" w:top="591" w:right="279" w:bottom="1440" w:gutter="0" w:footer="0" w:header="0"/>
        </w:sectPr>
      </w:pPr>
    </w:p>
    <w:bookmarkStart w:id="4" w:name="page5"/>
    <w:bookmarkEnd w:id="4"/>
    <w:p>
      <w:pPr>
        <w:spacing w:after="0" w:line="284" w:lineRule="auto"/>
        <w:rPr>
          <w:sz w:val="20"/>
          <w:szCs w:val="20"/>
          <w:color w:val="auto"/>
        </w:rPr>
      </w:pPr>
      <w:r>
        <w:rPr>
          <w:rFonts w:ascii="Arial" w:cs="Arial" w:eastAsia="Arial" w:hAnsi="Arial"/>
          <w:sz w:val="19"/>
          <w:szCs w:val="19"/>
          <w:color w:val="auto"/>
        </w:rPr>
        <w:t>undertook an investigation of their suppliers of the generic components to determine the sources of the minerals incorporated into those components. Dekko identified one hundred and twenty-one suppliers of the generic components contained in its products, Forney identified ten suppliers of the generic components contained in its products and Joyce identified four suppliers of generic components contained in its products. All of these suppliers were sent a survey designed to identify the source of the minerals. The survey sent was the Electronic Industry Citizen Coalition “Conflict Mineral Reporting Template” developed by the Electronic Industry Citizen Coalition and the Global e-Sustainability Initiative the “Template”). The Template is designed to collect sourcing information on the Conflict Minerals used in Dekko's, Forney’s and Joyce’s products. The Template includes questions related to, among other items, the use of 3TG in the supplier’s products, the supplier’s due diligence efforts, the source and chain of custody of any 3TG in the supplier’s products, whether the 3TG included in the supplier’s products came from recycled or scrap sources, and whether the supplier has a policy on conflict-free sourcing. Dekko, Forney and Joyce also sought country of origin information directly by reviewing the policies and statements on the manufacturers’ websites addressing Conflict Minerals. Most of Dekko’s, Forney’s and Joyce’s suppliers are distributors rather than manufacturers of components supplied to them, and most of such suppliers were unable to provide smelter information because they were still engaged in their own efforts to obtain information from their suppliers. Dekko received responses from seventy-eight suppliers that stated they do not knowingly purchase raw materials from conflict sources. Dekko made a secondary attempt to conduct more due diligence by re-engaging with manufactures for components supplied by the distributors, an additional nineteen manufacturers, for information and clarification on their respective findings. From this secondary due diligence Dekko received responses from all nineteen manufacturers that stated they do not knowingly purchase raw materials from conflict sources. From these due diligence efforts Dekko’s suppliers provided information that included the names of three hundred and fifteen validated smelters and refiners. Forney received responses from six suppliers. Of the six, three suppliers stated they do not knowingly purchase raw materials from conflict sources. Forney will make further attempts to conduct more due diligence by re-engaging with all distributors that were sent surveys. Joyce received a response from one supplier that included the names of eleven smelters that have been identified as certified Conflict-Free. Nevertheless, while Dekko, Forney and Joyce have not determined that any of the Conflict Minerals in their generic components originated in the Covered Countries, they are unable to conclude that none of the Conflict Minerals contained in such generic components originated in the Covered Countries.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4.2 RCOI Conclusion</w:t>
      </w:r>
    </w:p>
    <w:p>
      <w:pPr>
        <w:spacing w:after="0" w:line="226"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Based on our reasonable country of origin inquiry, we are unable to conclude that we have no reason to believe that none of the Conflict Minerals that are necessary to the functionality or production of our products originated in the Covered Countries and unable to conclude that they have not come from recycled or scrap sources because of the incomplete information received from our supply chain in response to our reasonable country of origin inquiry. As a result, we conducted due diligence on the source and chain of custody of those minerals.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Due Diligence Program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5.1 Design of Due Diligence; Conformity to a Recognized Due Diligence Framework</w:t>
      </w:r>
    </w:p>
    <w:p>
      <w:pPr>
        <w:spacing w:after="0" w:line="226"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Our due diligence measures have been designed to conform to the framework in the Organization for Economic Co-operation and Development (OECD) Due Diligence Guidance for Responsible Supply Chains of Minerals from Conflict-Affected and High-Risk Areas, third edition, April 2016 (OECD Guidance) and the related Supplements for gold, tin, tantalum and tungsten. This OECD framework (the</w:t>
      </w:r>
    </w:p>
    <w:p>
      <w:pPr>
        <w:sectPr>
          <w:pgSz w:w="11900" w:h="16838" w:orient="portrait"/>
          <w:cols w:equalWidth="0" w:num="1">
            <w:col w:w="11360"/>
          </w:cols>
          <w:pgMar w:left="240" w:top="591" w:right="299" w:bottom="1440" w:gutter="0" w:footer="0" w:header="0"/>
        </w:sectPr>
      </w:pPr>
    </w:p>
    <w:bookmarkStart w:id="5" w:name="page6"/>
    <w:bookmarkEnd w:id="5"/>
    <w:p>
      <w:pPr>
        <w:ind w:right="120"/>
        <w:spacing w:after="0" w:line="263" w:lineRule="auto"/>
        <w:rPr>
          <w:sz w:val="20"/>
          <w:szCs w:val="20"/>
          <w:color w:val="auto"/>
        </w:rPr>
      </w:pPr>
      <w:r>
        <w:rPr>
          <w:rFonts w:ascii="Arial" w:cs="Arial" w:eastAsia="Arial" w:hAnsi="Arial"/>
          <w:sz w:val="22"/>
          <w:szCs w:val="22"/>
          <w:color w:val="auto"/>
        </w:rPr>
        <w:t>“Framework”) is the only due diligence framework recognized by the SEC to date. The Framework stresses five main areas of due diligence design detailed below in Sections 5.2 to 5.6.</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5.2 Establish Strong Company Management Systems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Internal Team</w:t>
      </w:r>
    </w:p>
    <w:p>
      <w:pPr>
        <w:spacing w:after="0" w:line="22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Each of Dekko, Forney and Joyce established a management system for Conflict Minerals consisting of a cross-functional group to examine the potential use and source, if any, of Conflict Minerals in their products and to put measures in place to ensure compliance with the Conflict Minerals Rule. Each of these groups includes representatives from management, operations, supply chain management, finance and legal counsel.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 Minerals Policy</w:t>
      </w:r>
    </w:p>
    <w:p>
      <w:pPr>
        <w:spacing w:after="0" w:line="226" w:lineRule="exact"/>
        <w:rPr>
          <w:sz w:val="20"/>
          <w:szCs w:val="20"/>
          <w:color w:val="auto"/>
        </w:rPr>
      </w:pPr>
    </w:p>
    <w:p>
      <w:pPr>
        <w:ind w:right="140"/>
        <w:spacing w:after="0" w:line="294" w:lineRule="auto"/>
        <w:rPr>
          <w:sz w:val="20"/>
          <w:szCs w:val="20"/>
          <w:color w:val="auto"/>
        </w:rPr>
      </w:pPr>
      <w:r>
        <w:rPr>
          <w:rFonts w:ascii="Arial" w:cs="Arial" w:eastAsia="Arial" w:hAnsi="Arial"/>
          <w:sz w:val="19"/>
          <w:szCs w:val="19"/>
          <w:color w:val="auto"/>
        </w:rPr>
        <w:t>As noted above, Dekko, Forney and Joyce adopted the Policy which is designed to communicate their commitment to responsible sourcing of Conflict Minerals throughout their supply chain for products that they manufacture. The Policy discusses the fact that they are putting policies and systems into place to reduce the risk that Conflict Minerals used in their products originate in the Covered Countries. The Policy informs suppliers that because they do not typically source Conflict Minerals directly from miners, smelters or refiners, they will rely on the cooperation of their suppliers in the implementation of their Policy and in enabling them to meet their compliance obligations. The Policy is published on each of their respective websites.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5.3 Identify and Assess Risk in the Supply Chain</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As described above, Dekko, Forney and Joyce conduct a survey of all of their suppliers using the Template to obtain chain of custody declarations from their suppliers. The Template includes questions on the use and origin of Conflict Minerals in their components, supplier engagement with sub-tier suppliers and smelters and points of origin of the Conflict Minerals. To strengthen engagement with suppliers, they added a Conflict Minerals clause to their purchase orders in order to communicate the expectations and requirements regarding the sourcing and disclosure of Conflict Minerals.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5.4 Design and Implement a Strategy to Respond to Identified Risks</w:t>
      </w:r>
    </w:p>
    <w:p>
      <w:pPr>
        <w:spacing w:after="0" w:line="226" w:lineRule="exact"/>
        <w:rPr>
          <w:sz w:val="20"/>
          <w:szCs w:val="20"/>
          <w:color w:val="auto"/>
        </w:rPr>
      </w:pPr>
    </w:p>
    <w:p>
      <w:pPr>
        <w:ind w:right="280"/>
        <w:spacing w:after="0" w:line="260" w:lineRule="auto"/>
        <w:rPr>
          <w:sz w:val="20"/>
          <w:szCs w:val="20"/>
          <w:color w:val="auto"/>
        </w:rPr>
      </w:pPr>
      <w:r>
        <w:rPr>
          <w:rFonts w:ascii="Arial" w:cs="Arial" w:eastAsia="Arial" w:hAnsi="Arial"/>
          <w:sz w:val="21"/>
          <w:szCs w:val="21"/>
          <w:color w:val="auto"/>
        </w:rPr>
        <w:t>As discussed above, in most cases, suppliers were unable to specify smelters or refiners used for components supplied to Dekko, Forney and Joyce because most are distributors that are still working to obtain information from their own suppliers. For those suppliers that provided names of smelters/refiners, the supplier’s reported validation status was confirmed by comparing it to the information contained on the Conflict Free Sourcing Initiative (the “CFSI”) website. Dekko took further action to educate forty suppliers on proper use of the reporting template, clarification of information received and the intent of the Conflict Minerals Policy. Some smelters of high concern were identified, a majority of which originating from customer directed sources, and appropriate follow-up actions are under review and pending.</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5.5 Carry out Independent Third Party Audit of Supply Chain Due Diligence at Identified Points in the Supply Chain</w:t>
      </w:r>
    </w:p>
    <w:p>
      <w:pPr>
        <w:spacing w:after="0" w:line="237" w:lineRule="exact"/>
        <w:rPr>
          <w:sz w:val="20"/>
          <w:szCs w:val="20"/>
          <w:color w:val="auto"/>
        </w:rPr>
      </w:pPr>
    </w:p>
    <w:p>
      <w:pPr>
        <w:ind w:right="560"/>
        <w:spacing w:after="0" w:line="263" w:lineRule="auto"/>
        <w:rPr>
          <w:sz w:val="20"/>
          <w:szCs w:val="20"/>
          <w:color w:val="auto"/>
        </w:rPr>
      </w:pPr>
      <w:r>
        <w:rPr>
          <w:rFonts w:ascii="Arial" w:cs="Arial" w:eastAsia="Arial" w:hAnsi="Arial"/>
          <w:sz w:val="22"/>
          <w:szCs w:val="22"/>
          <w:color w:val="auto"/>
        </w:rPr>
        <w:t>Dekko, Forney and Joyce do not have a direct relationship with smelters or refiners, nor do they perform direct audits of such entities in their supply chain.</w:t>
      </w:r>
    </w:p>
    <w:p>
      <w:pPr>
        <w:sectPr>
          <w:pgSz w:w="11900" w:h="16838" w:orient="portrait"/>
          <w:cols w:equalWidth="0" w:num="1">
            <w:col w:w="11420"/>
          </w:cols>
          <w:pgMar w:left="240" w:top="59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5.6 Report on Supply Chain Due Diligence</w:t>
      </w:r>
    </w:p>
    <w:p>
      <w:pPr>
        <w:spacing w:after="0" w:line="226"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Our Form SD and this Conflict Minerals Report are both available on our website at www.ghco.com. GHCO will file a Form SD with the Securities and Exchange Commission on an annual basis, pursuant to Rule 13p-1 of the Act.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Results of Due Diligence Review-Facilities Used to Process the Necessary Conflict Minerals</w:t>
      </w:r>
    </w:p>
    <w:p>
      <w:pPr>
        <w:spacing w:after="0" w:line="226"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As discussed above, Dekko, Forney and Joyce solicited all of their suppliers to gather information by means of the Template regarding the sourcing of 3TG in the products supplied to them. A significant portion of the suppliers responded that they are still in the process of evaluating the source of 3TG in their own products. Based on the information provided by suppliers in the Templates, the smelters used to process necessary conflict minerals include those listed on the attached Schedule 1. With respect to those smelters that were identified by suppliers in their Template, the supplier’s reported validation status was confirmed by comparing it to the information contained on the CFSI website. Based on the information provided by suppliers and Dekko’s, Forney’s and Joyce’s own due diligence efforts, we do not have sufficient information to conclusively determine the identity of all of the smelters from which their suppliers source 3TG or the countries of origin of 3TG in the products supplied to us. As permitted by guidance from the SEC staff, we did not conduct an independent private sector audit of our supply chain due diligence but will do so in the future if, and to the extent, required by the SEC’s rules.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Steps to Mitigate Risk and Improve Due Diligence</w:t>
      </w:r>
    </w:p>
    <w:p>
      <w:pPr>
        <w:spacing w:after="0" w:line="226"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The Company is working to strengthen its commitment to the responsible sourcing of conflict minerals. Dekko, Forney and Joyce will continue to include in new purchase orders or contracts, specific language that requires suppliers to cooperate with them by providing information about the supplier’s source of Conflict Minerals and smelters. In addition, they will continue working with suppliers to obtain 3TG sourcing information and will strengthen their procedures to engage with manufacturers and distributors to obtain accurate and complete information about their supply chains. Cooperation with respect to sourcing by suppliers will be a factor in allocating future purchases. Dekko, Forney and Joyce will work with suppliers as needed to better communicate the requirements of the Conflicts Mineral Rule.</w:t>
      </w:r>
    </w:p>
    <w:p>
      <w:pPr>
        <w:sectPr>
          <w:pgSz w:w="11900" w:h="16838" w:orient="portrait"/>
          <w:cols w:equalWidth="0" w:num="1">
            <w:col w:w="11400"/>
          </w:cols>
          <w:pgMar w:left="240" w:top="585" w:right="2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Schedule 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 Used to Process Conflict Minerals</w:t>
      </w:r>
    </w:p>
    <w:p>
      <w:pPr>
        <w:spacing w:after="0" w:line="151" w:lineRule="exact"/>
        <w:rPr>
          <w:sz w:val="20"/>
          <w:szCs w:val="20"/>
          <w:color w:val="auto"/>
        </w:rPr>
      </w:pPr>
    </w:p>
    <w:tbl>
      <w:tblPr>
        <w:tblLayout w:type="fixed"/>
        <w:tblInd w:w="30" w:type="dxa"/>
        <w:tblCellMar>
          <w:top w:w="0" w:type="dxa"/>
          <w:left w:w="0" w:type="dxa"/>
          <w:bottom w:w="0" w:type="dxa"/>
          <w:right w:w="0" w:type="dxa"/>
        </w:tblCellMar>
      </w:tblPr>
      <w:tr>
        <w:trPr>
          <w:trHeight w:val="166"/>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Whether</w:t>
            </w:r>
          </w:p>
        </w:tc>
        <w:tc>
          <w:tcPr>
            <w:tcW w:w="114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RMAP</w:t>
            </w:r>
          </w:p>
        </w:tc>
        <w:tc>
          <w:tcPr>
            <w:tcW w:w="1580" w:type="dxa"/>
            <w:vAlign w:val="bottom"/>
            <w:tcBorders>
              <w:top w:val="single" w:sz="8" w:color="auto"/>
              <w:right w:val="single" w:sz="8" w:color="auto"/>
            </w:tcBorders>
          </w:tcPr>
          <w:p>
            <w:pPr>
              <w:spacing w:after="0"/>
              <w:rPr>
                <w:sz w:val="14"/>
                <w:szCs w:val="14"/>
                <w:color w:val="auto"/>
              </w:rPr>
            </w:pPr>
          </w:p>
        </w:tc>
        <w:tc>
          <w:tcPr>
            <w:tcW w:w="386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Whether 3TG Mined in</w:t>
            </w: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Smelter in</w:t>
            </w:r>
          </w:p>
        </w:tc>
        <w:tc>
          <w:tcPr>
            <w:tcW w:w="114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Smelter ID</w:t>
            </w: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Smelter Facility</w:t>
            </w:r>
          </w:p>
        </w:tc>
        <w:tc>
          <w:tcPr>
            <w:tcW w:w="17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Covered Country,</w:t>
            </w: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Metal</w:t>
            </w:r>
          </w:p>
        </w:tc>
        <w:tc>
          <w:tcPr>
            <w:tcW w:w="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Covered</w:t>
            </w:r>
          </w:p>
        </w:tc>
        <w:tc>
          <w:tcPr>
            <w:tcW w:w="11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Validation</w:t>
            </w:r>
          </w:p>
        </w:tc>
        <w:tc>
          <w:tcPr>
            <w:tcW w:w="1580" w:type="dxa"/>
            <w:vAlign w:val="bottom"/>
            <w:tcBorders>
              <w:right w:val="single" w:sz="8" w:color="auto"/>
            </w:tcBorders>
            <w:vMerge w:val="continue"/>
          </w:tcPr>
          <w:p>
            <w:pPr>
              <w:spacing w:after="0"/>
              <w:rPr>
                <w:sz w:val="12"/>
                <w:szCs w:val="12"/>
                <w:color w:val="auto"/>
              </w:rPr>
            </w:pPr>
          </w:p>
        </w:tc>
        <w:tc>
          <w:tcPr>
            <w:tcW w:w="3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Smelter Name</w:t>
            </w:r>
          </w:p>
        </w:tc>
        <w:tc>
          <w:tcPr>
            <w:tcW w:w="13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with Mine Location if</w:t>
            </w:r>
          </w:p>
        </w:tc>
        <w:tc>
          <w:tcPr>
            <w:tcW w:w="0" w:type="dxa"/>
            <w:vAlign w:val="bottom"/>
          </w:tcPr>
          <w:p>
            <w:pPr>
              <w:spacing w:after="0"/>
              <w:rPr>
                <w:sz w:val="1"/>
                <w:szCs w:val="1"/>
                <w:color w:val="auto"/>
              </w:rPr>
            </w:pPr>
          </w:p>
        </w:tc>
      </w:tr>
      <w:tr>
        <w:trPr>
          <w:trHeight w:val="186"/>
        </w:trPr>
        <w:tc>
          <w:tcPr>
            <w:tcW w:w="820" w:type="dxa"/>
            <w:vAlign w:val="bottom"/>
            <w:tcBorders>
              <w:left w:val="single" w:sz="8" w:color="auto"/>
              <w:right w:val="single" w:sz="8" w:color="auto"/>
            </w:tcBorders>
            <w:vMerge w:val="continue"/>
          </w:tcPr>
          <w:p>
            <w:pPr>
              <w:spacing w:after="0"/>
              <w:rPr>
                <w:sz w:val="16"/>
                <w:szCs w:val="16"/>
                <w:color w:val="auto"/>
              </w:rPr>
            </w:pP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Countries</w:t>
            </w: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Status</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(EICC/GeSI codes)</w:t>
            </w:r>
          </w:p>
        </w:tc>
        <w:tc>
          <w:tcPr>
            <w:tcW w:w="386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known</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CID002180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Yunnan Tin Company Limited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CID001898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Thaisarco</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CID001337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Operaciones Metalurgical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Bolivia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CID001182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Minsur</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Peru</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CID001173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Mineração Taboca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CID001105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 Smelting Corporation (MSC)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CID000315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United Smelting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CID001477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Timah (Persero) Tbk Kundur</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CID001482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Timah (Persero) Tbk Mentok</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CID000438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 Vinto</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Bolivia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CID000228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Chenzhou Yunxiang Mining and Metallurgy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Conformant</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also appears in</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5"/>
              </w:rPr>
              <w:t>submitted Smelter</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Lists as alias</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9"/>
              </w:rPr>
              <w:t>China Rare Metal</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Material Co., Ltd.</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CID000244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Ketai Advanced Material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CID000278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CNMC (Guangxi) PGMA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CID000292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Alpha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CID000306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Gita Pesona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CID000309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Aries Kencana Sejahtera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CID000313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Serumpun Sebalai</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CID000315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United Smelting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CID000402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Dowa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Conformant</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also appears in</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5"/>
              </w:rPr>
              <w:t>submitted Smelter</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Lists as alias</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BOLIVIA</w:t>
            </w: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Empresa</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(PLURINATIONAL</w:t>
            </w: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Metalurgica Vinto</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CID000438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 Vinto</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STATE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CID000448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Estanho de Rondonia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CID000468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Fenix Metals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POLAND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CID000538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Non-Ferrous Metal Processing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also appears in</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5"/>
              </w:rPr>
              <w:t>submitted Smelter</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Lists as alias</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Yunnan Geiju Zili</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Metallurgy Co.</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CID000555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Zili Mining And Metallurgy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bl>
    <w:p>
      <w:pPr>
        <w:sectPr>
          <w:pgSz w:w="11900" w:h="16838" w:orient="portrait"/>
          <w:cols w:equalWidth="0" w:num="1">
            <w:col w:w="11400"/>
          </w:cols>
          <w:pgMar w:left="240" w:top="589" w:right="25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w:t>
            </w:r>
          </w:p>
        </w:tc>
        <w:tc>
          <w:tcPr>
            <w:tcW w:w="1580" w:type="dxa"/>
            <w:vAlign w:val="bottom"/>
            <w:tcBorders>
              <w:top w:val="single" w:sz="8" w:color="auto"/>
              <w:right w:val="single" w:sz="8" w:color="auto"/>
            </w:tcBorders>
          </w:tcPr>
          <w:p>
            <w:pPr>
              <w:spacing w:after="0"/>
              <w:rPr>
                <w:sz w:val="14"/>
                <w:szCs w:val="14"/>
                <w:color w:val="auto"/>
              </w:rPr>
            </w:pPr>
          </w:p>
        </w:tc>
        <w:tc>
          <w:tcPr>
            <w:tcW w:w="386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spacing w:after="0"/>
              <w:rPr>
                <w:sz w:val="14"/>
                <w:szCs w:val="14"/>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CID000760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Huichang Jinshunda Tin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CID000942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Kai Meng Industry and Trade LLC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Conformant</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also appears in</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5"/>
              </w:rPr>
              <w:t>submitted Smelter</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Lists as alias</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Liuzhhou China</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Tin</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CID001070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 Tin Group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CID001105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 Smelting Corporation (MSC)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CID001142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Metallic Resources, Inc.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CID001173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Mineracao Taboca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CID001182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Minsur</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PERU</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CID001191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Mitsubishi Materials Corporation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Conformant</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alias CID000864</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Nanshan</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CID001231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Nankang Nanshan Tin Manufactory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CID001314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O.M. Manufacturing (Thailand)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w:t>
            </w:r>
          </w:p>
        </w:tc>
        <w:tc>
          <w:tcPr>
            <w:tcW w:w="1700" w:type="dxa"/>
            <w:vAlign w:val="bottom"/>
            <w:tcBorders>
              <w:right w:val="single" w:sz="8" w:color="auto"/>
            </w:tcBorders>
          </w:tcPr>
          <w:p>
            <w:pPr>
              <w:spacing w:after="0"/>
              <w:rPr>
                <w:sz w:val="13"/>
                <w:szCs w:val="13"/>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(PLURINATIONAL</w:t>
            </w:r>
          </w:p>
        </w:tc>
        <w:tc>
          <w:tcPr>
            <w:tcW w:w="1700" w:type="dxa"/>
            <w:vAlign w:val="bottom"/>
            <w:tcBorders>
              <w:right w:val="single" w:sz="8" w:color="auto"/>
            </w:tcBorders>
          </w:tcPr>
          <w:p>
            <w:pPr>
              <w:spacing w:after="0"/>
              <w:rPr>
                <w:sz w:val="12"/>
                <w:szCs w:val="12"/>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CID001337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Operaciones Metalurgical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STATE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CID001399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Artha Cipta Langgeng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CID001402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Babel Inti Perkasa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CID001419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Bangka Tin Industry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CID001421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Belitung Industri Sejahtera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CID001428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Bukit Timah</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CID001434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DS Jaya Abadi</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CID001438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Eunindo Usaha Mandiri</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CID001448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Karimun Mining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CID001453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Mitra Stania Prima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CID001457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Panca Mega Persada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CID001458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Prima Timah Utama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CID001460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Refined Bangka Tin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CID001463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Sariwiguna Binasentosa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CID001468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Stanindo Inti Perkasa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CID001471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Sumber Jaya Indah</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CID001477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Timah (Persero) Tbk Kundur</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380"/>
          </w:cols>
          <w:pgMar w:left="260" w:top="714" w:right="25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w:t>
            </w:r>
          </w:p>
        </w:tc>
        <w:tc>
          <w:tcPr>
            <w:tcW w:w="1580" w:type="dxa"/>
            <w:vAlign w:val="bottom"/>
            <w:tcBorders>
              <w:top w:val="single" w:sz="8" w:color="auto"/>
              <w:right w:val="single" w:sz="8" w:color="auto"/>
            </w:tcBorders>
          </w:tcPr>
          <w:p>
            <w:pPr>
              <w:spacing w:after="0"/>
              <w:rPr>
                <w:sz w:val="14"/>
                <w:szCs w:val="14"/>
                <w:color w:val="auto"/>
              </w:rPr>
            </w:pPr>
          </w:p>
        </w:tc>
        <w:tc>
          <w:tcPr>
            <w:tcW w:w="386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spacing w:after="0"/>
              <w:rPr>
                <w:sz w:val="14"/>
                <w:szCs w:val="14"/>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CID001482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Timah (Persero) Tbk Mentok</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CID001490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Tinindo Inter Nusa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CID001493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Tommy Utama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TAIWAN,</w:t>
            </w:r>
          </w:p>
        </w:tc>
        <w:tc>
          <w:tcPr>
            <w:tcW w:w="1700" w:type="dxa"/>
            <w:vAlign w:val="bottom"/>
            <w:tcBorders>
              <w:right w:val="single" w:sz="8" w:color="auto"/>
            </w:tcBorders>
          </w:tcPr>
          <w:p>
            <w:pPr>
              <w:spacing w:after="0"/>
              <w:rPr>
                <w:sz w:val="13"/>
                <w:szCs w:val="13"/>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PROVINCE OF</w:t>
            </w:r>
          </w:p>
        </w:tc>
        <w:tc>
          <w:tcPr>
            <w:tcW w:w="1700" w:type="dxa"/>
            <w:vAlign w:val="bottom"/>
            <w:tcBorders>
              <w:right w:val="single" w:sz="8" w:color="auto"/>
            </w:tcBorders>
          </w:tcPr>
          <w:p>
            <w:pPr>
              <w:spacing w:after="0"/>
              <w:rPr>
                <w:sz w:val="12"/>
                <w:szCs w:val="12"/>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CID001539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Rui Da Hung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CID001758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Soft Metais Ltda.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CID001898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Thaisarco</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CID001908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Yunxin Nonferrous Electrolysis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CID002036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White Solder Metalurgia e Mineracao Ltda.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CID002158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Yunnan Chengfeng Non-ferrous Metals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Conformant</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alias Yuntinic</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Resources</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CID002180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Yunnan Tin Company Limited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CID002455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Venus Inti Perkasa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CID002468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Magnu's Minerais Metais e Ligas Ltda.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Melt Metais e Ligas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ATD Makmur Mandiri Jaya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O.M. Manufacturing Philippines, Inc.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PHILIPPINES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CID002530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Inti Stania Prima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Ayi Jaya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Electro-Mechanical Facility of the Cao Bang Minerals &amp;</w:t>
            </w: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 Active</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Metallurgy Joint Stock Company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Nghe Tinh Non-Ferrous Metals Joint Stock Company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Tuyen Quang Non-Ferrous Metals Joint Stock Company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CID002592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Dua Sekawan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CID002593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Tiga Sekawan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CID002703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 Vinh Joint Stock Mineral Processing Company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CID002706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Resind Industria e Comercio Ltda.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CID002756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Super Ligas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CID002757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O.M. Indonesia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Conformant</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9"/>
              </w:rPr>
              <w:t>Metallo-Chimique</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N.V. removed,</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replaced with</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facility level</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reporting,</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CID002773 &amp;</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CID002774</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Metallo Belgium N.V.</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BELGIUM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Conformant</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7"/>
              </w:rPr>
              <w:t>alias Elmet S.L.U.</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Metallo Spain S.L.U.</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SPAIN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380"/>
          </w:cols>
          <w:pgMar w:left="260" w:top="714" w:right="25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w:t>
            </w:r>
          </w:p>
        </w:tc>
        <w:tc>
          <w:tcPr>
            <w:tcW w:w="1580" w:type="dxa"/>
            <w:vAlign w:val="bottom"/>
            <w:tcBorders>
              <w:top w:val="single" w:sz="8" w:color="auto"/>
              <w:right w:val="single" w:sz="8" w:color="auto"/>
            </w:tcBorders>
          </w:tcPr>
          <w:p>
            <w:pPr>
              <w:spacing w:after="0"/>
              <w:rPr>
                <w:sz w:val="14"/>
                <w:szCs w:val="14"/>
                <w:color w:val="auto"/>
              </w:rPr>
            </w:pPr>
          </w:p>
        </w:tc>
        <w:tc>
          <w:tcPr>
            <w:tcW w:w="386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spacing w:after="0"/>
              <w:rPr>
                <w:sz w:val="14"/>
                <w:szCs w:val="14"/>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Bangka Prima Tin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CID002816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Sukses Inti Makmur</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CID002829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Kijang Jaya Mandiri</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CID002835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Menara Cipta Mulia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HuiChang Hill Tin Industry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Fengming Metallurgy Chemical Plant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Guanyang Guida Nonferrous Metal Smelting Plant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 Active</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Modeltech Sdn Bhd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Jinye Mineral Company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CID002870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Lautan Harmonis Sejahtera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CID003116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Guangdong Hanhe Non-Ferrous Metal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CID003205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Bangka Serumpun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CID000092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Asaka Riken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CID000211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Changsha South Tantalum Niobium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CID000291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Guangdong Rising Rare Metals-EO Materials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CID000410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Duoluoshan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CID000456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Exotech Inc.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CID000460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F&amp;X Electro-Materials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CID000616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Guangdong Zhiyuan New Material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CID000914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JiuJiang JinXin Nonferrous Metals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CID000917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Jiujiang Nonferrous Metals Smelting Company Limited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CID000973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King-Tan Tantalum Industry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CID001076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LSM Brasil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CID001163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Metallurgical Products India Pvt.,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CID001175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Mineracao Taboca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CID001192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Mitsui Mining and Smelting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CID001200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NPM Silmet AS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ESTONIA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CID001277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Ningxia Orient Tantalum Industry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CID001508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QuantumClean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6"/>
              </w:rPr>
              <w:t>RFH Tantalum Smeltery Co., Ltd./Yanling Jincheng Tantalum &amp;</w:t>
            </w: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CID001522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Niobium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CID001769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Solikamsk Magnesium Works OAO</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CID001869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Taki Chemical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380"/>
          </w:cols>
          <w:pgMar w:left="260" w:top="714" w:right="25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spacing w:after="0"/>
              <w:rPr>
                <w:sz w:val="14"/>
                <w:szCs w:val="14"/>
                <w:color w:val="auto"/>
              </w:rPr>
            </w:pPr>
          </w:p>
        </w:tc>
        <w:tc>
          <w:tcPr>
            <w:tcW w:w="1580" w:type="dxa"/>
            <w:vAlign w:val="bottom"/>
            <w:tcBorders>
              <w:top w:val="single" w:sz="8" w:color="auto"/>
              <w:right w:val="single" w:sz="8" w:color="auto"/>
            </w:tcBorders>
          </w:tcPr>
          <w:p>
            <w:pPr>
              <w:spacing w:after="0"/>
              <w:rPr>
                <w:sz w:val="14"/>
                <w:szCs w:val="14"/>
                <w:color w:val="auto"/>
              </w:rPr>
            </w:pPr>
          </w:p>
        </w:tc>
        <w:tc>
          <w:tcPr>
            <w:tcW w:w="386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UNITED STATES OF</w:t>
            </w:r>
          </w:p>
        </w:tc>
        <w:tc>
          <w:tcPr>
            <w:tcW w:w="1700" w:type="dxa"/>
            <w:vAlign w:val="bottom"/>
            <w:tcBorders>
              <w:top w:val="single" w:sz="8" w:color="auto"/>
              <w:right w:val="single" w:sz="8" w:color="auto"/>
            </w:tcBorders>
          </w:tcPr>
          <w:p>
            <w:pPr>
              <w:spacing w:after="0"/>
              <w:rPr>
                <w:sz w:val="14"/>
                <w:szCs w:val="14"/>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CID001891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Telex Metals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CID001969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Ulba Metallurgical Plant JSC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KAZAKHSTAN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CID002307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Yichun Jin Yang Rare Metal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CID002492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Hengyang King Xing Lifeng New Materials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 Block Metals, LLC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FIR Metals &amp; Resource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Jiujiang Zhongao Tantalum &amp; Niobium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XinXing HaoRong Electronic Material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Dinghai Tantalum &amp; Niobium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CID002539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KEMET Blue Metals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MEXICO</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Tantalum and Niobium GmbH</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Hermsdorf GmbH</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Inc.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CID002550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Smelting GmbH &amp; Co. KG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CID002557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Global Advanced Metals Boyertown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CID002558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Global Advanced Metals Aizu</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KEMET Blue Powder</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CID002707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Resind Industria e Comercio Ltda.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Tuohong New Raw Material</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MACEDONIA, THE</w:t>
            </w:r>
          </w:p>
        </w:tc>
        <w:tc>
          <w:tcPr>
            <w:tcW w:w="1700" w:type="dxa"/>
            <w:vAlign w:val="bottom"/>
            <w:tcBorders>
              <w:right w:val="single" w:sz="8" w:color="auto"/>
            </w:tcBorders>
          </w:tcPr>
          <w:p>
            <w:pPr>
              <w:spacing w:after="0"/>
              <w:rPr>
                <w:sz w:val="13"/>
                <w:szCs w:val="13"/>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FORMER</w:t>
            </w: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YUGOSLAV</w:t>
            </w:r>
          </w:p>
        </w:tc>
        <w:tc>
          <w:tcPr>
            <w:tcW w:w="1700" w:type="dxa"/>
            <w:vAlign w:val="bottom"/>
            <w:tcBorders>
              <w:right w:val="single" w:sz="8" w:color="auto"/>
            </w:tcBorders>
          </w:tcPr>
          <w:p>
            <w:pPr>
              <w:spacing w:after="0"/>
              <w:rPr>
                <w:sz w:val="12"/>
                <w:szCs w:val="12"/>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Power Resources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CID000004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A.L.M.T. TUNGSTEN Corp.</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CID000105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Kennametal Huntsville</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CID000218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Guangdong Xianglu 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CID000258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Chongyi Zhangyuan 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CID000499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Fujian Jinxin 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CID000568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Global Tungsten &amp; Powders Corp.</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CID000766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Hunan Chenzhou Mining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380"/>
          </w:cols>
          <w:pgMar w:left="260" w:top="714" w:right="25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w:t>
            </w:r>
          </w:p>
        </w:tc>
        <w:tc>
          <w:tcPr>
            <w:tcW w:w="1580" w:type="dxa"/>
            <w:vAlign w:val="bottom"/>
            <w:tcBorders>
              <w:top w:val="single" w:sz="8" w:color="auto"/>
              <w:right w:val="single" w:sz="8" w:color="auto"/>
            </w:tcBorders>
          </w:tcPr>
          <w:p>
            <w:pPr>
              <w:spacing w:after="0"/>
              <w:rPr>
                <w:sz w:val="14"/>
                <w:szCs w:val="14"/>
                <w:color w:val="auto"/>
              </w:rPr>
            </w:pPr>
          </w:p>
        </w:tc>
        <w:tc>
          <w:tcPr>
            <w:tcW w:w="386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spacing w:after="0"/>
              <w:rPr>
                <w:sz w:val="14"/>
                <w:szCs w:val="14"/>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CID000769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Hunan Chunchang Nonferrous Metals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CID000825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 New Metals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CID000875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Ganzhou Huaxing Tungsten Products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CID000966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Kennametal Fallon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CID001889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Tejing (Vietnam) 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CID002011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Vietnam Youngsun Tungsten Industry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CID002044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Wolfram Bergbau und Hutten AG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AUSTRIA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CID002082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Xiamen 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CID002095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Xinhai Rendan Shaoguan 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Minmetals Gao'an Non-ferrous Metals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Ganzhou Jiangwu Ferrotungsten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Yaosheng 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Xinsheng Tungsten Industry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Jiangxi Tonggu Non-ferrous Metallurgical &amp; Chemical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Malipo Haiyu 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CID002320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Xiamen Tungsten (H.C.)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CID002321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Gan Bei 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CID002494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Ganzhou Seadragon W &amp; Mo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Asia Tungsten Products Vietnam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Chenzhou Diamond Tungsten Products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CID002535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Xiushui Xianggan Nonferrous Metals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CID002536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Ganzhou Yatai 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Tungsten GmbH</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Smelting GmbH &amp; Co. KG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Nui Phao H.C. Starck Tungsten Chemicals Manufacturing LLC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CID002551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Jiangwu H.C. Starck Tungsten Products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Hunan Chuangda Vanadium Tungsten Co., Ltd. Wuji</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Niagara Refining LLC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CID002645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Ganzhou Haichuang 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CID002647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Dayu Longxintai Tungsten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CID002649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Hydrometallurg, JSC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CID002724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Unecha Refractory metals plant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380"/>
          </w:cols>
          <w:pgMar w:left="260" w:top="714" w:right="25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w:t>
            </w:r>
          </w:p>
        </w:tc>
        <w:tc>
          <w:tcPr>
            <w:tcW w:w="1580" w:type="dxa"/>
            <w:vAlign w:val="bottom"/>
            <w:tcBorders>
              <w:top w:val="single" w:sz="8" w:color="auto"/>
              <w:right w:val="single" w:sz="8" w:color="auto"/>
            </w:tcBorders>
          </w:tcPr>
          <w:p>
            <w:pPr>
              <w:spacing w:after="0"/>
              <w:rPr>
                <w:sz w:val="14"/>
                <w:szCs w:val="14"/>
                <w:color w:val="auto"/>
              </w:rPr>
            </w:pPr>
          </w:p>
        </w:tc>
        <w:tc>
          <w:tcPr>
            <w:tcW w:w="3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South-East Nonferrous Metal Company Limited of Hengyang</w:t>
            </w:r>
          </w:p>
        </w:tc>
        <w:tc>
          <w:tcPr>
            <w:tcW w:w="138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spacing w:after="0"/>
              <w:rPr>
                <w:sz w:val="14"/>
                <w:szCs w:val="14"/>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CID002815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City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CID002827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Philippine Chuangxin Industrial Co., Inc.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PHILIPPINES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Xinfeng Huarui Tungsten &amp; Molybdenum New Material Co.,</w:t>
            </w: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CID002830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CID002833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ACL Metais Eireli</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Woltech Korea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KOREA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Moliren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CID003182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Hunan Litian Tungsten Industry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CID000015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Advanced Chemical Company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CID000019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Aida Chemical Industries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CID000035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Allgemeine Gold-und Silberscheideanstalt A.G.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CID000041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Almalyk Mining and Metallurgical Complex (AMMC)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UZBEKISTAN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CID000058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AngloGold Ashanti Corrego do Sitio Mineracao</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CID000077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Argor-Heraeus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CID000082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Asahi Pretec Corp.</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CID000090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Asaka Riken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CID000103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Atasay Kuyumculuk Sanayi Ve Ticaret A.S.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TURKEY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CID000113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Aurubis AG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CID000128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Bangko Sentral ng Pilipinas (Central Bank of the Philippines)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PHILIPPINES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CID000157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Boliden AB</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SWEDEN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CID000176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 Hafner GmbH + Co. KG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CID000180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Caridad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MEXICO</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CID000185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CCR Refinery - Glencore Canada Corporation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CANADA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CID000189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Cendres + Metaux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CID000197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Yunnan Copper Industry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CID000233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Chimet S.p.A.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CID000264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Chugai Mining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CID000328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Daejin Indus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KOREA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CID000343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Daye Non-Ferrous Metals Mining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CID000359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DSC (Do Sung Corporation)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KOREA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CID000362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DODUCO Contacts and Refining GmbH</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CID000401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Dowa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CID000425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Eco-System Recycling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CID000493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OJSC Novosibirsk Refinery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CID000522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Refinery of Seemine Gold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380"/>
          </w:cols>
          <w:pgMar w:left="260" w:top="714" w:right="25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CID000651</w:t>
            </w:r>
          </w:p>
        </w:tc>
        <w:tc>
          <w:tcPr>
            <w:tcW w:w="38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Guoda Safina High-Tech Environmental Refinery Co., Ltd.</w:t>
            </w:r>
          </w:p>
        </w:tc>
        <w:tc>
          <w:tcPr>
            <w:tcW w:w="13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CID000671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Hangzhou Fuchunjiang Smelting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CID000689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HeeSung Metal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KOREA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CID000694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Heimerle + Meule GmbH</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CID000707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Heraeus Metals Hong Kong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CID000711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Heraeus Precious Metals GmbH &amp; Co. KG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CID000767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Hunan Chenzhou Mining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CID000778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HwaSeong CJ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KOREA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Inner Mongolia Qiankun Gold and Silver Refinery Share Co.,</w:t>
            </w: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CID000801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CID000807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Ishifuku Metal Industry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CID000814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Istanbul Gold Refinery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TURKEY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CID000823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 Mint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CID000855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Copper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Conformant</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also appears in</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submitted smelter</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lists as alias</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Johnson Matthey</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2"/>
                <w:szCs w:val="12"/>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CID000920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Asahi Refining USA Inc.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CID000924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Asahi Refining Canada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CANADA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CID000927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JSC Ekaterinburg Non-Ferrous Metal Processing Plant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CID000929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JSC Uralelectromed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CID000937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JX Nippon Mining &amp; Metals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CID000956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Kazakhmys Smelting LLC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KAZAKHSTAN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CID000957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Kazzinc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KAZAKHSTAN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CID000969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Kennecott Utah Copper LLC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CID000981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Kojima Chemicals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CID001029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Kyrgyzaltyn JSC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KYRGYZSTAN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CID001032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L'azurde Company For Jewelry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SAUDI ARABIA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CID001056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Lingbao Gold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CID001058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Lingbao Jinyuan Tonghui Refinery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CID001093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Luoyang Zijin Yinhui Gold Refinery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CID001113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Materion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CID001119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Matsuda Sangyo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CID001147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Technologies (Suzhou)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CID001149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Technologies (Hong Kong)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CID001152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Technologies (Singapore) Pte.,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SINGAPORE</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380"/>
          </w:cols>
          <w:pgMar w:left="260" w:top="714" w:right="25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w:t>
            </w:r>
          </w:p>
        </w:tc>
        <w:tc>
          <w:tcPr>
            <w:tcW w:w="1580" w:type="dxa"/>
            <w:vAlign w:val="bottom"/>
            <w:tcBorders>
              <w:top w:val="single" w:sz="8" w:color="auto"/>
              <w:right w:val="single" w:sz="8" w:color="auto"/>
            </w:tcBorders>
          </w:tcPr>
          <w:p>
            <w:pPr>
              <w:spacing w:after="0"/>
              <w:rPr>
                <w:sz w:val="14"/>
                <w:szCs w:val="14"/>
                <w:color w:val="auto"/>
              </w:rPr>
            </w:pPr>
          </w:p>
        </w:tc>
        <w:tc>
          <w:tcPr>
            <w:tcW w:w="386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spacing w:after="0"/>
              <w:rPr>
                <w:sz w:val="14"/>
                <w:szCs w:val="14"/>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CID001153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Technologies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CID001157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USA Refining Corporation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CID001161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Metalurgica Met-Mex Penoles S.A. De C.V.</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MEXICO</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CID001188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Mitsubishi Materials Corporation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CID001193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Mitsui Mining and Smelting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CID001204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Moscow Special Alloys Processing Plant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CID001220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Nadir Metal Rafineri San. Ve Tic. A.S.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TURKEY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CID001236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Navoi Mining and Metallurgical Combinat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UZBEKISTAN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CID001259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Nihon Material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Conformant</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also appears in</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submitted smelter</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9"/>
              </w:rPr>
              <w:t>lists as alias Ohio</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Precious Metals</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2"/>
                <w:szCs w:val="12"/>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CID001322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Elemetal Refining, LLC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CID001325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Ohura Precious Metal Industry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OJSC "The Gulidov Krasnoyarsk Non-Ferrous Metals Plant"</w:t>
            </w: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CID001326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(OJSC Krastsvetmet)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CID001352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PAMP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CID001362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Penglai Penggang Gold Industry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CID001386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Prioksky Plant of Non-Ferrous Metals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CID001397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Aneka Tambang (Persero) Tbk</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CID001498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PX Precinox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CID001512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Rand Refinery (Pty)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SOUTH AFRICA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CID001534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Royal Canadian Mint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CANADA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CID001546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Sabin Metal Corp.</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CID001555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Samduck Precious Metals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KOREA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CID001562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Samwon Metals Corp.</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KOREA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CID001573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Schone Edelmetaal B.V.</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NETHERLANDS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CID001585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SEMPSA Joyeria Plateria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SPAIN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CID001619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Shandong Tiancheng Biological Gold Industrial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CID001622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Shandong Zhaojin Gold &amp; Silver Refinery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CID001736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Sichuan Tianze Precious Metals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CID001754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 Accurate Group, Inc.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CID001756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SOE Shyolkovsky Factory of Secondary Precious Metals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TAIWAN,</w:t>
            </w:r>
          </w:p>
        </w:tc>
        <w:tc>
          <w:tcPr>
            <w:tcW w:w="1700" w:type="dxa"/>
            <w:vAlign w:val="bottom"/>
            <w:tcBorders>
              <w:right w:val="single" w:sz="8" w:color="auto"/>
            </w:tcBorders>
          </w:tcPr>
          <w:p>
            <w:pPr>
              <w:spacing w:after="0"/>
              <w:rPr>
                <w:sz w:val="13"/>
                <w:szCs w:val="13"/>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PROVINCE OF</w:t>
            </w:r>
          </w:p>
        </w:tc>
        <w:tc>
          <w:tcPr>
            <w:tcW w:w="1700" w:type="dxa"/>
            <w:vAlign w:val="bottom"/>
            <w:tcBorders>
              <w:right w:val="single" w:sz="8" w:color="auto"/>
            </w:tcBorders>
          </w:tcPr>
          <w:p>
            <w:pPr>
              <w:spacing w:after="0"/>
              <w:rPr>
                <w:sz w:val="12"/>
                <w:szCs w:val="12"/>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CID001761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Solar Applied Materials Technology Corp.</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380"/>
          </w:cols>
          <w:pgMar w:left="260" w:top="714" w:right="25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w:t>
            </w:r>
          </w:p>
        </w:tc>
        <w:tc>
          <w:tcPr>
            <w:tcW w:w="1580" w:type="dxa"/>
            <w:vAlign w:val="bottom"/>
            <w:tcBorders>
              <w:top w:val="single" w:sz="8" w:color="auto"/>
              <w:right w:val="single" w:sz="8" w:color="auto"/>
            </w:tcBorders>
          </w:tcPr>
          <w:p>
            <w:pPr>
              <w:spacing w:after="0"/>
              <w:rPr>
                <w:sz w:val="14"/>
                <w:szCs w:val="14"/>
                <w:color w:val="auto"/>
              </w:rPr>
            </w:pPr>
          </w:p>
        </w:tc>
        <w:tc>
          <w:tcPr>
            <w:tcW w:w="386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spacing w:after="0"/>
              <w:rPr>
                <w:sz w:val="14"/>
                <w:szCs w:val="14"/>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CID001798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Sumitomo Metal Mining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CID001875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Tanaka Kikinzoku Kogyo K.K.</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CID001909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Great Wall Precious Metals Co., Ltd. of CBPM</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CID001916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The Refinery of Shandong Gold Mining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CID001938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Tokuriki Honten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CID001947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Tongling Nonferrous Metals Group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CID001955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Torecom</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KOREA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CID001977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Umicore Brasil Ltda.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CID001980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Umicore S.A. Business Unit Precious Metals Refining</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BELGIUM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CID001993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Precious Metal Refining, Inc.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CID002003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Valcambi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CID002030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Western Australian Mint (T/a The Perth Mint)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AUSTRALIA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CID002100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Yamakin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CID002129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Yokohama Metal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CID002224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Zhongyuan Gold Smelter of Zhongjin Gold Corporation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CID002243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Gold Refinery of Zijin Mining Group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CID002282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Morris and Watson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NEW ZEALAND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 Active</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CID002290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SAFINA A.S.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CZECH REPUBLIC</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Guangdong Jinding Gold Limited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Umicore Precious Metals Thailand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CID002459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Geib Refining Corporation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MMTC-PAMP India Pvt.,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Republic Metals Corporation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 Active</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KGHM Polska Miedz Spolka Akcyjna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POLAND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Fidelity Printers and Refiners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ZIMBABWE</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TAIWAN,</w:t>
            </w:r>
          </w:p>
        </w:tc>
        <w:tc>
          <w:tcPr>
            <w:tcW w:w="1700" w:type="dxa"/>
            <w:vAlign w:val="bottom"/>
            <w:tcBorders>
              <w:right w:val="single" w:sz="8" w:color="auto"/>
            </w:tcBorders>
          </w:tcPr>
          <w:p>
            <w:pPr>
              <w:spacing w:after="0"/>
              <w:rPr>
                <w:sz w:val="13"/>
                <w:szCs w:val="13"/>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PROVINCE OF</w:t>
            </w:r>
          </w:p>
        </w:tc>
        <w:tc>
          <w:tcPr>
            <w:tcW w:w="1700" w:type="dxa"/>
            <w:vAlign w:val="bottom"/>
            <w:tcBorders>
              <w:right w:val="single" w:sz="8" w:color="auto"/>
            </w:tcBorders>
          </w:tcPr>
          <w:p>
            <w:pPr>
              <w:spacing w:after="0"/>
              <w:rPr>
                <w:sz w:val="12"/>
                <w:szCs w:val="12"/>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Singway Technology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ARAB</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 Etihad Gold LLC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EMIRATES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ARAB</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Emirates Gold DMCC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EMIRATES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ARAB</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Kaloti Precious Metals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EMIRATES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Sudan Gold Refinery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SUDAN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T.C.A S.p.A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380"/>
          </w:cols>
          <w:pgMar w:left="260" w:top="714" w:right="25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 Active</w:t>
            </w:r>
          </w:p>
        </w:tc>
        <w:tc>
          <w:tcPr>
            <w:tcW w:w="15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CID002582</w:t>
            </w:r>
          </w:p>
        </w:tc>
        <w:tc>
          <w:tcPr>
            <w:tcW w:w="38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Remondis Argentia B.V.</w:t>
            </w:r>
          </w:p>
        </w:tc>
        <w:tc>
          <w:tcPr>
            <w:tcW w:w="13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NETHERLANDS</w:t>
            </w:r>
          </w:p>
        </w:tc>
        <w:tc>
          <w:tcPr>
            <w:tcW w:w="17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Tony Goetz NV</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BELGIUM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CID002605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Zinc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KOREA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CID002606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Marsam Metals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CID002615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TOO Tau-Ken-Altyn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KAZAKHSTAN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CID002708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Abington Reldan Metals, LLC</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CID002761</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SAAMP</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FRANCE</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 Active</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CID002762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L'Orfebre S.A.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ANDORRA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CID002765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Italpreziosi</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SAXONIA Edelmetalle GmbH</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WIELAND Edelmetalle GmbH</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6"/>
              </w:rPr>
              <w:t>Ogussa Osterreichische Gold- und Silber-Scheideanstalt GmbH</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AUSTRIA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 Traders and Refiners</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SOUTH AFRICA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GCC Gujrat Gold Centre Pvt.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Sai Refinery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CID002854</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Universal Precious Metals Refining Zambia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ZAMBIA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 Active</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Modeltech Sdn Bhd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 Active</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CID002863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Bangalore Refinery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CID002865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Kyshtym Copper-Electrolytic Plant ZAO</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CID002866</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Morris and Watson Gold Coast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AUSTRALIA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CID002867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Degussa Sonne / Mond Goldhandel GmbH</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UNITED STATES OF</w:t>
            </w: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CID002872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Pease &amp; Curren</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AMERICA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CID002918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SungEel HiMetal Co., Ltd.</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KOREA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CID002919</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Planta Recuperadora de Metales SpA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CHILE</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RMAP</w:t>
            </w: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CID002973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Safimet S.p.A</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State Research Institute Center for Physical Sciences and</w:t>
            </w: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 RMAP</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CID003153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Technology</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LITHUANIA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pacing w:after="0" w:line="1" w:lineRule="exact"/>
        <w:rPr>
          <w:sz w:val="20"/>
          <w:szCs w:val="20"/>
          <w:color w:val="auto"/>
        </w:rPr>
      </w:pPr>
    </w:p>
    <w:sectPr>
      <w:pgSz w:w="11900" w:h="16838" w:orient="portrait"/>
      <w:cols w:equalWidth="0" w:num="1">
        <w:col w:w="11380"/>
      </w:cols>
      <w:pgMar w:left="260" w:top="71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2019-12-05T10:20:04Z</dcterms:created>
  <dcterms:modified xsi:type="dcterms:W3CDTF">2019-12-05T10:20:04Z</dcterms:modified>
</cp:coreProperties>
</file>