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3"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14" w:lineRule="exact"/>
        <w:rPr>
          <w:sz w:val="24"/>
          <w:szCs w:val="24"/>
          <w:color w:val="auto"/>
        </w:rPr>
      </w:pPr>
    </w:p>
    <w:p>
      <w:pPr>
        <w:ind w:right="420"/>
        <w:spacing w:after="0" w:line="213"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6"/>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28, 2023:</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3,778,767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28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of services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of goods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services sold (exclusive of items shown below)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Cost of goods sold (exclusive of items shown below)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Selling, general and administrative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of property, plant and equipment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Impairment of long-lived assets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 in earnings of affiliates,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Non-operating pension and postretirement benefit income,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on marketable equity securities, net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income, net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Before Income Taxes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Provision for Income Taxes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net income per common share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average number of common shares outstanding</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 net income per common share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
        <w:spacing w:after="0"/>
        <w:tabs>
          <w:tab w:leader="none" w:pos="540" w:val="left"/>
          <w:tab w:leader="none" w:pos="1320" w:val="left"/>
          <w:tab w:leader="none" w:pos="18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586,863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557,569</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444,683</w:t>
      </w:r>
      <w:r>
        <w:rPr>
          <w:sz w:val="20"/>
          <w:szCs w:val="20"/>
          <w:color w:val="auto"/>
        </w:rPr>
        <w:tab/>
      </w:r>
      <w:r>
        <w:rPr>
          <w:rFonts w:ascii="Arial" w:cs="Arial" w:eastAsia="Arial" w:hAnsi="Arial"/>
          <w:sz w:val="16"/>
          <w:szCs w:val="16"/>
          <w:color w:val="auto"/>
        </w:rPr>
        <w:t>357,152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860" w:val="left"/>
        </w:tabs>
        <w:rPr>
          <w:sz w:val="20"/>
          <w:szCs w:val="20"/>
          <w:color w:val="auto"/>
        </w:rPr>
      </w:pPr>
      <w:r>
        <w:rPr>
          <w:rFonts w:ascii="Arial" w:cs="Arial" w:eastAsia="Arial" w:hAnsi="Arial"/>
          <w:sz w:val="16"/>
          <w:szCs w:val="16"/>
          <w:b w:val="1"/>
          <w:bCs w:val="1"/>
          <w:color w:val="auto"/>
        </w:rPr>
        <w:t>1,031,546</w:t>
      </w:r>
      <w:r>
        <w:rPr>
          <w:sz w:val="20"/>
          <w:szCs w:val="20"/>
          <w:color w:val="auto"/>
        </w:rPr>
        <w:tab/>
      </w:r>
      <w:r>
        <w:rPr>
          <w:rFonts w:ascii="Arial" w:cs="Arial" w:eastAsia="Arial" w:hAnsi="Arial"/>
          <w:sz w:val="16"/>
          <w:szCs w:val="16"/>
          <w:color w:val="auto"/>
        </w:rPr>
        <w:t>914,721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11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9"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356,942</w:t>
      </w:r>
      <w:r>
        <w:rPr>
          <w:sz w:val="20"/>
          <w:szCs w:val="20"/>
          <w:color w:val="auto"/>
        </w:rPr>
        <w:tab/>
      </w:r>
      <w:r>
        <w:rPr>
          <w:rFonts w:ascii="Arial" w:cs="Arial" w:eastAsia="Arial" w:hAnsi="Arial"/>
          <w:sz w:val="16"/>
          <w:szCs w:val="16"/>
          <w:color w:val="auto"/>
        </w:rPr>
        <w:t>324,981</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370,272</w:t>
      </w:r>
      <w:r>
        <w:rPr>
          <w:sz w:val="20"/>
          <w:szCs w:val="20"/>
          <w:color w:val="auto"/>
        </w:rPr>
        <w:tab/>
      </w:r>
      <w:r>
        <w:rPr>
          <w:rFonts w:ascii="Arial" w:cs="Arial" w:eastAsia="Arial" w:hAnsi="Arial"/>
          <w:sz w:val="16"/>
          <w:szCs w:val="16"/>
          <w:color w:val="auto"/>
        </w:rPr>
        <w:t>290,520</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241,962</w:t>
      </w:r>
      <w:r>
        <w:rPr>
          <w:sz w:val="20"/>
          <w:szCs w:val="20"/>
          <w:color w:val="auto"/>
        </w:rPr>
        <w:tab/>
      </w:r>
      <w:r>
        <w:rPr>
          <w:rFonts w:ascii="Arial" w:cs="Arial" w:eastAsia="Arial" w:hAnsi="Arial"/>
          <w:sz w:val="16"/>
          <w:szCs w:val="16"/>
          <w:color w:val="auto"/>
        </w:rPr>
        <w:t>224,862</w:t>
      </w:r>
    </w:p>
    <w:p>
      <w:pPr>
        <w:spacing w:after="0" w:line="4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6"/>
          <w:szCs w:val="16"/>
          <w:b w:val="1"/>
          <w:bCs w:val="1"/>
          <w:color w:val="auto"/>
        </w:rPr>
        <w:t>20,025</w:t>
      </w:r>
      <w:r>
        <w:rPr>
          <w:sz w:val="20"/>
          <w:szCs w:val="20"/>
          <w:color w:val="auto"/>
        </w:rPr>
        <w:tab/>
      </w:r>
      <w:r>
        <w:rPr>
          <w:rFonts w:ascii="Arial" w:cs="Arial" w:eastAsia="Arial" w:hAnsi="Arial"/>
          <w:sz w:val="16"/>
          <w:szCs w:val="16"/>
          <w:color w:val="auto"/>
        </w:rPr>
        <w:t>19,475</w:t>
      </w:r>
    </w:p>
    <w:p>
      <w:pPr>
        <w:spacing w:after="0" w:line="4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6"/>
          <w:szCs w:val="16"/>
          <w:b w:val="1"/>
          <w:bCs w:val="1"/>
          <w:color w:val="auto"/>
        </w:rPr>
        <w:t>13,944</w:t>
      </w:r>
      <w:r>
        <w:rPr>
          <w:sz w:val="20"/>
          <w:szCs w:val="20"/>
          <w:color w:val="auto"/>
        </w:rPr>
        <w:tab/>
      </w:r>
      <w:r>
        <w:rPr>
          <w:rFonts w:ascii="Arial" w:cs="Arial" w:eastAsia="Arial" w:hAnsi="Arial"/>
          <w:sz w:val="16"/>
          <w:szCs w:val="16"/>
          <w:color w:val="auto"/>
        </w:rPr>
        <w:t>14,912</w:t>
      </w:r>
    </w:p>
    <w:p>
      <w:pPr>
        <w:spacing w:after="0" w:line="46" w:lineRule="exact"/>
        <w:rPr>
          <w:sz w:val="20"/>
          <w:szCs w:val="20"/>
          <w:color w:val="auto"/>
        </w:rPr>
      </w:pPr>
    </w:p>
    <w:p>
      <w:pPr>
        <w:ind w:left="2320" w:hanging="1439"/>
        <w:spacing w:after="0"/>
        <w:tabs>
          <w:tab w:leader="none" w:pos="23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1,003,890</w:t>
      </w:r>
      <w:r>
        <w:rPr>
          <w:rFonts w:ascii="Arial" w:cs="Arial" w:eastAsia="Arial" w:hAnsi="Arial"/>
          <w:sz w:val="16"/>
          <w:szCs w:val="16"/>
          <w:color w:val="auto"/>
        </w:rPr>
        <w:t>874,750</w:t>
      </w:r>
    </w:p>
    <w:p>
      <w:pPr>
        <w:spacing w:after="0" w:line="59"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27,656</w:t>
      </w:r>
      <w:r>
        <w:rPr>
          <w:rFonts w:ascii="Arial" w:cs="Arial" w:eastAsia="Arial" w:hAnsi="Arial"/>
          <w:sz w:val="16"/>
          <w:szCs w:val="16"/>
          <w:color w:val="auto"/>
        </w:rPr>
        <w:t>39,971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611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1611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4,661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2,604</w:t>
            </w:r>
          </w:p>
        </w:tc>
      </w:tr>
      <w:tr>
        <w:trPr>
          <w:trHeight w:val="229"/>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1,204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30"/>
        </w:trPr>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(14,294)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(11,417)</w:t>
            </w:r>
          </w:p>
        </w:tc>
      </w:tr>
      <w:tr>
        <w:trPr>
          <w:trHeight w:val="229"/>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31,845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50,505</w:t>
            </w:r>
          </w:p>
        </w:tc>
      </w:tr>
      <w:tr>
        <w:trPr>
          <w:trHeight w:val="230"/>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18,022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46,912</w:t>
            </w:r>
          </w:p>
        </w:tc>
      </w:tr>
      <w:tr>
        <w:trPr>
          <w:trHeight w:val="233"/>
        </w:trPr>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3,083</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w:t>
            </w:r>
          </w:p>
        </w:tc>
      </w:tr>
      <w:tr>
        <w:trPr>
          <w:trHeight w:val="220"/>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72,177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132,166</w:t>
            </w:r>
          </w:p>
        </w:tc>
      </w:tr>
      <w:tr>
        <w:trPr>
          <w:trHeight w:val="233"/>
        </w:trPr>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19,200</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35,600</w:t>
            </w:r>
          </w:p>
        </w:tc>
      </w:tr>
      <w:tr>
        <w:trPr>
          <w:trHeight w:val="220"/>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52,977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96,566</w:t>
            </w:r>
          </w:p>
        </w:tc>
      </w:tr>
      <w:tr>
        <w:trPr>
          <w:trHeight w:val="233"/>
        </w:trPr>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r>
      <w:tr>
        <w:trPr>
          <w:trHeight w:val="223"/>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52,272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95,624</w:t>
            </w:r>
          </w:p>
        </w:tc>
      </w:tr>
      <w:tr>
        <w:trPr>
          <w:trHeight w:val="24"/>
        </w:trPr>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72"/>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10.91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30"/>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4,759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4,871</w:t>
            </w:r>
          </w:p>
        </w:tc>
      </w:tr>
      <w:tr>
        <w:trPr>
          <w:trHeight w:val="229"/>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10.88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19.45</w:t>
            </w:r>
          </w:p>
        </w:tc>
      </w:tr>
      <w:tr>
        <w:trPr>
          <w:trHeight w:val="230"/>
        </w:trPr>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4,776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4,885</w:t>
            </w:r>
          </w:p>
        </w:tc>
      </w:tr>
    </w:tbl>
    <w:p>
      <w:pPr>
        <w:spacing w:after="0" w:line="200" w:lineRule="exact"/>
        <w:rPr>
          <w:sz w:val="20"/>
          <w:szCs w:val="20"/>
          <w:color w:val="auto"/>
        </w:rPr>
      </w:pPr>
    </w:p>
    <w:p>
      <w:pPr>
        <w:sectPr>
          <w:pgSz w:w="11900" w:h="16838" w:orient="portrait"/>
          <w:cols w:equalWidth="0" w:num="2">
            <w:col w:w="7960" w:space="720"/>
            <w:col w:w="2540"/>
          </w:cols>
          <w:pgMar w:left="320" w:top="931" w:right="3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6"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9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898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flow hedges (loss) gain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Income tax benefit related to items of other comprehensive income (loss)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440" w:val="left"/>
          <w:tab w:leader="none" w:pos="1140" w:val="left"/>
          <w:tab w:leader="none" w:pos="16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52,977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96,566</w:t>
      </w:r>
    </w:p>
    <w:p>
      <w:pPr>
        <w:spacing w:after="0" w:line="200" w:lineRule="exact"/>
        <w:rPr>
          <w:sz w:val="20"/>
          <w:szCs w:val="20"/>
          <w:color w:val="auto"/>
        </w:rPr>
      </w:pPr>
    </w:p>
    <w:p>
      <w:pPr>
        <w:spacing w:after="0" w:line="305" w:lineRule="exact"/>
        <w:rPr>
          <w:sz w:val="20"/>
          <w:szCs w:val="20"/>
          <w:color w:val="auto"/>
        </w:rPr>
      </w:pPr>
    </w:p>
    <w:p>
      <w:pPr>
        <w:jc w:val="both"/>
        <w:ind w:left="540"/>
        <w:spacing w:after="0"/>
        <w:tabs>
          <w:tab w:leader="none" w:pos="1620" w:val="left"/>
        </w:tabs>
        <w:rPr>
          <w:sz w:val="20"/>
          <w:szCs w:val="20"/>
          <w:color w:val="auto"/>
        </w:rPr>
      </w:pPr>
      <w:r>
        <w:rPr>
          <w:rFonts w:ascii="Arial" w:cs="Arial" w:eastAsia="Arial" w:hAnsi="Arial"/>
          <w:sz w:val="16"/>
          <w:szCs w:val="16"/>
          <w:b w:val="1"/>
          <w:bCs w:val="1"/>
          <w:color w:val="auto"/>
        </w:rPr>
        <w:t>8,994</w:t>
      </w:r>
      <w:r>
        <w:rPr>
          <w:sz w:val="20"/>
          <w:szCs w:val="20"/>
          <w:color w:val="auto"/>
        </w:rPr>
        <w:tab/>
      </w:r>
      <w:r>
        <w:rPr>
          <w:rFonts w:ascii="Arial" w:cs="Arial" w:eastAsia="Arial" w:hAnsi="Arial"/>
          <w:sz w:val="16"/>
          <w:szCs w:val="16"/>
          <w:color w:val="auto"/>
        </w:rPr>
        <w:t>(1,738)</w:t>
      </w:r>
    </w:p>
    <w:p>
      <w:pPr>
        <w:spacing w:after="0" w:line="275" w:lineRule="exact"/>
        <w:rPr>
          <w:sz w:val="20"/>
          <w:szCs w:val="20"/>
          <w:color w:val="auto"/>
        </w:rPr>
      </w:pPr>
    </w:p>
    <w:p>
      <w:pPr>
        <w:ind w:left="1840" w:hanging="1157"/>
        <w:spacing w:after="0"/>
        <w:tabs>
          <w:tab w:leader="none" w:pos="18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716</w:t>
      </w:r>
    </w:p>
    <w:p>
      <w:pPr>
        <w:spacing w:after="0" w:line="45"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(10,766)</w:t>
      </w:r>
      <w:r>
        <w:rPr>
          <w:rFonts w:ascii="Arial" w:cs="Arial" w:eastAsia="Arial" w:hAnsi="Arial"/>
          <w:sz w:val="16"/>
          <w:szCs w:val="16"/>
          <w:color w:val="auto"/>
        </w:rPr>
        <w:t>(17,774)</w:t>
      </w:r>
    </w:p>
    <w:p>
      <w:pPr>
        <w:spacing w:after="0" w:line="59"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(10,357)</w:t>
      </w:r>
      <w:r>
        <w:rPr>
          <w:rFonts w:ascii="Arial" w:cs="Arial" w:eastAsia="Arial" w:hAnsi="Arial"/>
          <w:sz w:val="16"/>
          <w:szCs w:val="16"/>
          <w:color w:val="auto"/>
        </w:rPr>
        <w:t>(17,058)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-124460</wp:posOffset>
            </wp:positionV>
            <wp:extent cx="1405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 w:lineRule="exact"/>
        <w:rPr>
          <w:sz w:val="20"/>
          <w:szCs w:val="20"/>
          <w:color w:val="auto"/>
        </w:rPr>
      </w:pPr>
    </w:p>
    <w:p>
      <w:pPr>
        <w:ind w:left="1700" w:hanging="1080"/>
        <w:spacing w:after="0"/>
        <w:tabs>
          <w:tab w:leader="none" w:pos="17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1,642</w:t>
      </w:r>
    </w:p>
    <w:p>
      <w:pPr>
        <w:spacing w:after="0" w:line="59"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(2,293)</w:t>
      </w:r>
      <w:r>
        <w:rPr>
          <w:rFonts w:ascii="Arial" w:cs="Arial" w:eastAsia="Arial" w:hAnsi="Arial"/>
          <w:sz w:val="16"/>
          <w:szCs w:val="16"/>
          <w:color w:val="auto"/>
        </w:rPr>
        <w:t>(17,154)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-124460</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6"/>
          <w:szCs w:val="16"/>
          <w:b w:val="1"/>
          <w:bCs w:val="1"/>
          <w:color w:val="auto"/>
        </w:rPr>
        <w:t>2,878</w:t>
      </w:r>
      <w:r>
        <w:rPr>
          <w:sz w:val="20"/>
          <w:szCs w:val="20"/>
          <w:color w:val="auto"/>
        </w:rPr>
        <w:tab/>
      </w:r>
      <w:r>
        <w:rPr>
          <w:rFonts w:ascii="Arial" w:cs="Arial" w:eastAsia="Arial" w:hAnsi="Arial"/>
          <w:sz w:val="16"/>
          <w:szCs w:val="16"/>
          <w:color w:val="auto"/>
        </w:rPr>
        <w:t>4,019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 w:lineRule="exact"/>
        <w:rPr>
          <w:sz w:val="20"/>
          <w:szCs w:val="20"/>
          <w:color w:val="auto"/>
        </w:rPr>
      </w:pPr>
    </w:p>
    <w:p>
      <w:pPr>
        <w:ind w:left="1560" w:hanging="877"/>
        <w:spacing w:after="0"/>
        <w:tabs>
          <w:tab w:leader="none" w:pos="15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(13,135)</w:t>
      </w:r>
    </w:p>
    <w:p>
      <w:pPr>
        <w:spacing w:after="0" w:line="59"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53,562</w:t>
      </w:r>
      <w:r>
        <w:rPr>
          <w:rFonts w:ascii="Arial" w:cs="Arial" w:eastAsia="Arial" w:hAnsi="Arial"/>
          <w:sz w:val="16"/>
          <w:szCs w:val="16"/>
          <w:color w:val="auto"/>
        </w:rPr>
        <w:t>83,431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-124460</wp:posOffset>
            </wp:positionV>
            <wp:extent cx="1405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 w:lineRule="exact"/>
        <w:rPr>
          <w:sz w:val="20"/>
          <w:szCs w:val="20"/>
          <w:color w:val="auto"/>
        </w:rPr>
      </w:pPr>
    </w:p>
    <w:p>
      <w:pPr>
        <w:ind w:left="1780" w:hanging="1160"/>
        <w:spacing w:after="0"/>
        <w:tabs>
          <w:tab w:leader="none" w:pos="17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(942)</w:t>
      </w:r>
    </w:p>
    <w:p>
      <w:pPr>
        <w:spacing w:after="0" w:line="5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$52,857  </w:t>
      </w:r>
      <w:r>
        <w:rPr>
          <w:rFonts w:ascii="Arial" w:cs="Arial" w:eastAsia="Arial" w:hAnsi="Arial"/>
          <w:sz w:val="16"/>
          <w:szCs w:val="16"/>
          <w:color w:val="auto"/>
        </w:rPr>
        <w:t>$82,489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55245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-124460</wp:posOffset>
            </wp:positionV>
            <wp:extent cx="1405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320" w:space="720"/>
            <w:col w:w="2180"/>
          </w:cols>
          <w:pgMar w:left="320" w:top="944" w:right="35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123,469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169,319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30,777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616,379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622,408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507,514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560,779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246,220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226,811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112,982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97,450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3,335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9,313</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1,914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1,642,590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1,708,094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506,995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503,000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424,938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429,403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194,960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186,419</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1,567,594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1,560,953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180,038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178,934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147,553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161,422</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1,671,477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1,658,046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6,870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$476 and $646 of restricted cash)</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199,184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189,132</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6,542,199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6,582,215</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536,959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563,005</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373,173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381,416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15,026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72,210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70,007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123,018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155,813</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7,902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1,128,288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1,174,007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134,541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134,921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37,373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37,506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462,109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466,275</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32,309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387,866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393,626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568,101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570,547</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2,750,587</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2,807,727</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21,882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21,827</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388,173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390,438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7,199,588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7,163,128</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(45,644)</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(54,638)</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380,898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388,591</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1,482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(4,197,279)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(4,178,334)</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3,747,218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3,731,383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22,512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21,278</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3,769,730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3,752,661</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6,542,199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6,582,215</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52,977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96,566</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34,714</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34,387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16,492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17,569</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(23,162)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(44,782)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(19,853)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(46,912)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(1,053)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 and provision for other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1,802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1,504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(4,655)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(Benefit from) provision for deferred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(1,781)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16,182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Contingent consideration accretion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54,245</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89,228</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(19,318)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(15,298)</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(48,264)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(78,819)</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(2,387)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(9,037)</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17,274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18,392</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(16,182)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(20,247)</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(18,800)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(18,549)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22,811</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44,892</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29,028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55,731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(22,554)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(14,207)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(6,162)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(4,735)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(23,698)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2,706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(1,954)</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19,523</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(33,000)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(37,000)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(23,439)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(9,527)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(7,910)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(repayments of)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7,196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(3,999)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(repayments of)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3,153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(57,802)</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(64,362)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1,235</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(35,710)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190,432</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158,843</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154,722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158,688</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2040" w:type="dxa"/>
            <w:vAlign w:val="bottom"/>
            <w:vMerge w:val="restart"/>
          </w:tcPr>
          <w:p>
            <w:pPr>
              <w:ind w:left="1440"/>
              <w:spacing w:after="0"/>
              <w:rPr>
                <w:sz w:val="20"/>
                <w:szCs w:val="20"/>
                <w:color w:val="auto"/>
              </w:rPr>
            </w:pPr>
            <w:r>
              <w:rPr>
                <w:rFonts w:ascii="Arial" w:cs="Arial" w:eastAsia="Arial" w:hAnsi="Arial"/>
                <w:sz w:val="11"/>
                <w:szCs w:val="11"/>
                <w:color w:val="auto"/>
              </w:rPr>
              <w:t>Common</w:t>
            </w:r>
          </w:p>
        </w:tc>
        <w:tc>
          <w:tcPr>
            <w:tcW w:w="880" w:type="dxa"/>
            <w:vAlign w:val="bottom"/>
          </w:tcPr>
          <w:p>
            <w:pPr>
              <w:ind w:left="180"/>
              <w:spacing w:after="0"/>
              <w:rPr>
                <w:sz w:val="20"/>
                <w:szCs w:val="20"/>
                <w:color w:val="auto"/>
              </w:rPr>
            </w:pPr>
            <w:r>
              <w:rPr>
                <w:rFonts w:ascii="Arial" w:cs="Arial" w:eastAsia="Arial" w:hAnsi="Arial"/>
                <w:sz w:val="11"/>
                <w:szCs w:val="11"/>
                <w:color w:val="auto"/>
              </w:rPr>
              <w:t>Capital in</w:t>
            </w:r>
          </w:p>
        </w:tc>
        <w:tc>
          <w:tcPr>
            <w:tcW w:w="820" w:type="dxa"/>
            <w:vAlign w:val="bottom"/>
            <w:vMerge w:val="restart"/>
          </w:tcPr>
          <w:p>
            <w:pPr>
              <w:ind w:left="220"/>
              <w:spacing w:after="0"/>
              <w:rPr>
                <w:sz w:val="20"/>
                <w:szCs w:val="20"/>
                <w:color w:val="auto"/>
              </w:rPr>
            </w:pPr>
            <w:r>
              <w:rPr>
                <w:rFonts w:ascii="Arial" w:cs="Arial" w:eastAsia="Arial" w:hAnsi="Arial"/>
                <w:sz w:val="11"/>
                <w:szCs w:val="11"/>
                <w:color w:val="auto"/>
              </w:rPr>
              <w:t>Retained</w:t>
            </w:r>
          </w:p>
        </w:tc>
        <w:tc>
          <w:tcPr>
            <w:tcW w:w="1260" w:type="dxa"/>
            <w:vAlign w:val="bottom"/>
          </w:tcPr>
          <w:p>
            <w:pPr>
              <w:jc w:val="center"/>
              <w:spacing w:after="0"/>
              <w:rPr>
                <w:sz w:val="20"/>
                <w:szCs w:val="20"/>
                <w:color w:val="auto"/>
              </w:rPr>
            </w:pPr>
            <w:r>
              <w:rPr>
                <w:rFonts w:ascii="Arial" w:cs="Arial" w:eastAsia="Arial" w:hAnsi="Arial"/>
                <w:sz w:val="11"/>
                <w:szCs w:val="11"/>
                <w:color w:val="auto"/>
                <w:w w:val="99"/>
              </w:rPr>
              <w:t>Accumulated Other</w:t>
            </w:r>
          </w:p>
        </w:tc>
        <w:tc>
          <w:tcPr>
            <w:tcW w:w="840" w:type="dxa"/>
            <w:vAlign w:val="bottom"/>
            <w:vMerge w:val="restart"/>
          </w:tcPr>
          <w:p>
            <w:pPr>
              <w:ind w:left="180"/>
              <w:spacing w:after="0"/>
              <w:rPr>
                <w:sz w:val="20"/>
                <w:szCs w:val="20"/>
                <w:color w:val="auto"/>
              </w:rPr>
            </w:pPr>
            <w:r>
              <w:rPr>
                <w:rFonts w:ascii="Arial" w:cs="Arial" w:eastAsia="Arial" w:hAnsi="Arial"/>
                <w:sz w:val="11"/>
                <w:szCs w:val="11"/>
                <w:color w:val="auto"/>
              </w:rPr>
              <w:t>Treasury</w:t>
            </w:r>
          </w:p>
        </w:tc>
        <w:tc>
          <w:tcPr>
            <w:tcW w:w="1100" w:type="dxa"/>
            <w:vAlign w:val="bottom"/>
            <w:vMerge w:val="restart"/>
          </w:tcPr>
          <w:p>
            <w:pPr>
              <w:ind w:left="220"/>
              <w:spacing w:after="0"/>
              <w:rPr>
                <w:sz w:val="20"/>
                <w:szCs w:val="20"/>
                <w:color w:val="auto"/>
              </w:rPr>
            </w:pPr>
            <w:r>
              <w:rPr>
                <w:rFonts w:ascii="Arial" w:cs="Arial" w:eastAsia="Arial" w:hAnsi="Arial"/>
                <w:sz w:val="11"/>
                <w:szCs w:val="11"/>
                <w:color w:val="auto"/>
              </w:rPr>
              <w:t>Noncontrolling</w:t>
            </w:r>
          </w:p>
        </w:tc>
        <w:tc>
          <w:tcPr>
            <w:tcW w:w="1000" w:type="dxa"/>
            <w:vAlign w:val="bottom"/>
          </w:tcPr>
          <w:p>
            <w:pPr>
              <w:spacing w:after="0"/>
              <w:rPr>
                <w:sz w:val="10"/>
                <w:szCs w:val="10"/>
                <w:color w:val="auto"/>
              </w:rPr>
            </w:pPr>
          </w:p>
        </w:tc>
        <w:tc>
          <w:tcPr>
            <w:tcW w:w="920" w:type="dxa"/>
            <w:vAlign w:val="bottom"/>
          </w:tcPr>
          <w:p>
            <w:pPr>
              <w:jc w:val="center"/>
              <w:ind w:left="18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880" w:type="dxa"/>
            <w:vAlign w:val="bottom"/>
          </w:tcPr>
          <w:p>
            <w:pPr>
              <w:ind w:left="180"/>
              <w:spacing w:after="0" w:line="108" w:lineRule="exact"/>
              <w:rPr>
                <w:sz w:val="20"/>
                <w:szCs w:val="20"/>
                <w:color w:val="auto"/>
              </w:rPr>
            </w:pPr>
            <w:r>
              <w:rPr>
                <w:rFonts w:ascii="Arial" w:cs="Arial" w:eastAsia="Arial" w:hAnsi="Arial"/>
                <w:sz w:val="11"/>
                <w:szCs w:val="11"/>
                <w:color w:val="auto"/>
              </w:rPr>
              <w:t>Excess of</w:t>
            </w:r>
          </w:p>
        </w:tc>
        <w:tc>
          <w:tcPr>
            <w:tcW w:w="820" w:type="dxa"/>
            <w:vAlign w:val="bottom"/>
            <w:vMerge w:val="continue"/>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8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92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20"/>
                <w:szCs w:val="20"/>
                <w:color w:val="auto"/>
              </w:rPr>
            </w:pPr>
            <w:r>
              <w:rPr>
                <w:rFonts w:ascii="Arial" w:cs="Arial" w:eastAsia="Arial" w:hAnsi="Arial"/>
                <w:sz w:val="11"/>
                <w:szCs w:val="11"/>
                <w:color w:val="auto"/>
              </w:rPr>
              <w:t>(in thousands)</w:t>
            </w:r>
          </w:p>
        </w:tc>
        <w:tc>
          <w:tcPr>
            <w:tcW w:w="2040" w:type="dxa"/>
            <w:vAlign w:val="bottom"/>
          </w:tcPr>
          <w:p>
            <w:pPr>
              <w:ind w:left="1540"/>
              <w:spacing w:after="0"/>
              <w:rPr>
                <w:sz w:val="20"/>
                <w:szCs w:val="20"/>
                <w:color w:val="auto"/>
              </w:rPr>
            </w:pPr>
            <w:r>
              <w:rPr>
                <w:rFonts w:ascii="Arial" w:cs="Arial" w:eastAsia="Arial" w:hAnsi="Arial"/>
                <w:sz w:val="11"/>
                <w:szCs w:val="11"/>
                <w:color w:val="auto"/>
              </w:rPr>
              <w:t>Stock</w:t>
            </w:r>
          </w:p>
        </w:tc>
        <w:tc>
          <w:tcPr>
            <w:tcW w:w="880" w:type="dxa"/>
            <w:vAlign w:val="bottom"/>
          </w:tcPr>
          <w:p>
            <w:pPr>
              <w:ind w:left="200"/>
              <w:spacing w:after="0"/>
              <w:rPr>
                <w:sz w:val="20"/>
                <w:szCs w:val="20"/>
                <w:color w:val="auto"/>
              </w:rPr>
            </w:pPr>
            <w:r>
              <w:rPr>
                <w:rFonts w:ascii="Arial" w:cs="Arial" w:eastAsia="Arial" w:hAnsi="Arial"/>
                <w:sz w:val="11"/>
                <w:szCs w:val="11"/>
                <w:color w:val="auto"/>
              </w:rPr>
              <w:t>Par Value</w:t>
            </w:r>
          </w:p>
        </w:tc>
        <w:tc>
          <w:tcPr>
            <w:tcW w:w="820" w:type="dxa"/>
            <w:vAlign w:val="bottom"/>
          </w:tcPr>
          <w:p>
            <w:pPr>
              <w:ind w:left="240"/>
              <w:spacing w:after="0"/>
              <w:rPr>
                <w:sz w:val="20"/>
                <w:szCs w:val="20"/>
                <w:color w:val="auto"/>
              </w:rPr>
            </w:pPr>
            <w:r>
              <w:rPr>
                <w:rFonts w:ascii="Arial" w:cs="Arial" w:eastAsia="Arial" w:hAnsi="Arial"/>
                <w:sz w:val="11"/>
                <w:szCs w:val="11"/>
                <w:color w:val="auto"/>
              </w:rPr>
              <w:t>Earnings</w:t>
            </w:r>
          </w:p>
        </w:tc>
        <w:tc>
          <w:tcPr>
            <w:tcW w:w="1260" w:type="dxa"/>
            <w:vAlign w:val="bottom"/>
          </w:tcPr>
          <w:p>
            <w:pPr>
              <w:jc w:val="center"/>
              <w:spacing w:after="0"/>
              <w:rPr>
                <w:sz w:val="20"/>
                <w:szCs w:val="20"/>
                <w:color w:val="auto"/>
              </w:rPr>
            </w:pPr>
            <w:r>
              <w:rPr>
                <w:rFonts w:ascii="Arial" w:cs="Arial" w:eastAsia="Arial" w:hAnsi="Arial"/>
                <w:sz w:val="11"/>
                <w:szCs w:val="11"/>
                <w:color w:val="auto"/>
                <w:w w:val="94"/>
              </w:rPr>
              <w:t>Income</w:t>
            </w:r>
          </w:p>
        </w:tc>
        <w:tc>
          <w:tcPr>
            <w:tcW w:w="840" w:type="dxa"/>
            <w:vAlign w:val="bottom"/>
          </w:tcPr>
          <w:p>
            <w:pPr>
              <w:ind w:left="280"/>
              <w:spacing w:after="0"/>
              <w:rPr>
                <w:sz w:val="20"/>
                <w:szCs w:val="20"/>
                <w:color w:val="auto"/>
              </w:rPr>
            </w:pPr>
            <w:r>
              <w:rPr>
                <w:rFonts w:ascii="Arial" w:cs="Arial" w:eastAsia="Arial" w:hAnsi="Arial"/>
                <w:sz w:val="11"/>
                <w:szCs w:val="11"/>
                <w:color w:val="auto"/>
              </w:rPr>
              <w:t>Stock</w:t>
            </w:r>
          </w:p>
        </w:tc>
        <w:tc>
          <w:tcPr>
            <w:tcW w:w="1100" w:type="dxa"/>
            <w:vAlign w:val="bottom"/>
          </w:tcPr>
          <w:p>
            <w:pPr>
              <w:ind w:left="400"/>
              <w:spacing w:after="0"/>
              <w:rPr>
                <w:sz w:val="20"/>
                <w:szCs w:val="20"/>
                <w:color w:val="auto"/>
              </w:rPr>
            </w:pPr>
            <w:r>
              <w:rPr>
                <w:rFonts w:ascii="Arial" w:cs="Arial" w:eastAsia="Arial" w:hAnsi="Arial"/>
                <w:sz w:val="11"/>
                <w:szCs w:val="11"/>
                <w:color w:val="auto"/>
              </w:rPr>
              <w:t>Interest</w:t>
            </w:r>
          </w:p>
        </w:tc>
        <w:tc>
          <w:tcPr>
            <w:tcW w:w="1000" w:type="dxa"/>
            <w:vAlign w:val="bottom"/>
          </w:tcPr>
          <w:p>
            <w:pPr>
              <w:ind w:left="180"/>
              <w:spacing w:after="0"/>
              <w:rPr>
                <w:sz w:val="20"/>
                <w:szCs w:val="20"/>
                <w:color w:val="auto"/>
              </w:rPr>
            </w:pPr>
            <w:r>
              <w:rPr>
                <w:rFonts w:ascii="Arial" w:cs="Arial" w:eastAsia="Arial" w:hAnsi="Arial"/>
                <w:sz w:val="11"/>
                <w:szCs w:val="11"/>
                <w:color w:val="auto"/>
              </w:rPr>
              <w:t>Total Equity</w:t>
            </w:r>
          </w:p>
        </w:tc>
        <w:tc>
          <w:tcPr>
            <w:tcW w:w="920" w:type="dxa"/>
            <w:vAlign w:val="bottom"/>
          </w:tcPr>
          <w:p>
            <w:pPr>
              <w:jc w:val="center"/>
              <w:ind w:left="18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106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As of December 31, 2022</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for the period</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attributable to noncontrolling interests</w:t>
      </w:r>
    </w:p>
    <w:p>
      <w:pPr>
        <w:spacing w:after="0" w:line="53" w:lineRule="exact"/>
        <w:rPr>
          <w:sz w:val="20"/>
          <w:szCs w:val="20"/>
          <w:color w:val="auto"/>
        </w:rPr>
      </w:pPr>
    </w:p>
    <w:p>
      <w:pPr>
        <w:ind w:left="200" w:right="800" w:hanging="161"/>
        <w:spacing w:after="0" w:line="281" w:lineRule="auto"/>
        <w:rPr>
          <w:sz w:val="20"/>
          <w:szCs w:val="20"/>
          <w:color w:val="auto"/>
        </w:rPr>
      </w:pPr>
      <w:r>
        <w:rPr>
          <w:rFonts w:ascii="Arial" w:cs="Arial" w:eastAsia="Arial" w:hAnsi="Arial"/>
          <w:sz w:val="13"/>
          <w:szCs w:val="13"/>
          <w:b w:val="1"/>
          <w:bCs w:val="1"/>
          <w:color w:val="auto"/>
        </w:rPr>
        <w:t>Net income attributable to redeemable noncontrolling interests</w:t>
      </w:r>
    </w:p>
    <w:p>
      <w:pPr>
        <w:spacing w:after="0" w:line="1" w:lineRule="exact"/>
        <w:rPr>
          <w:sz w:val="20"/>
          <w:szCs w:val="20"/>
          <w:color w:val="auto"/>
        </w:rPr>
      </w:pPr>
    </w:p>
    <w:p>
      <w:pPr>
        <w:ind w:left="200" w:right="500" w:hanging="161"/>
        <w:spacing w:after="0" w:line="281" w:lineRule="auto"/>
        <w:rPr>
          <w:sz w:val="20"/>
          <w:szCs w:val="20"/>
          <w:color w:val="auto"/>
        </w:rPr>
      </w:pPr>
      <w:r>
        <w:rPr>
          <w:rFonts w:ascii="Arial" w:cs="Arial" w:eastAsia="Arial" w:hAnsi="Arial"/>
          <w:sz w:val="13"/>
          <w:szCs w:val="13"/>
          <w:b w:val="1"/>
          <w:bCs w:val="1"/>
          <w:color w:val="auto"/>
        </w:rPr>
        <w:t>Change in redemption value of redeemable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Noncontrolling interest capital contribution</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Distribution to redeemable noncontrolling interest</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Dividends on common stock</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Repurchase of Class B common stock</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Issuance of Class B common stock</w:t>
      </w:r>
    </w:p>
    <w:p>
      <w:pPr>
        <w:spacing w:after="0" w:line="53" w:lineRule="exact"/>
        <w:rPr>
          <w:sz w:val="20"/>
          <w:szCs w:val="20"/>
          <w:color w:val="auto"/>
        </w:rPr>
      </w:pPr>
    </w:p>
    <w:p>
      <w:pPr>
        <w:ind w:left="200" w:hanging="161"/>
        <w:spacing w:after="0" w:line="281" w:lineRule="auto"/>
        <w:rPr>
          <w:sz w:val="20"/>
          <w:szCs w:val="20"/>
          <w:color w:val="auto"/>
        </w:rPr>
      </w:pPr>
      <w:r>
        <w:rPr>
          <w:rFonts w:ascii="Arial" w:cs="Arial" w:eastAsia="Arial" w:hAnsi="Arial"/>
          <w:sz w:val="13"/>
          <w:szCs w:val="13"/>
          <w:b w:val="1"/>
          <w:bCs w:val="1"/>
          <w:color w:val="auto"/>
        </w:rPr>
        <w:t>Amortization of unearned stock compensation and stock option expense</w:t>
      </w:r>
    </w:p>
    <w:p>
      <w:pPr>
        <w:spacing w:after="0" w:line="1" w:lineRule="exact"/>
        <w:rPr>
          <w:sz w:val="20"/>
          <w:szCs w:val="20"/>
          <w:color w:val="auto"/>
        </w:rPr>
      </w:pPr>
    </w:p>
    <w:p>
      <w:pPr>
        <w:ind w:left="40" w:right="20"/>
        <w:spacing w:after="0" w:line="449" w:lineRule="auto"/>
        <w:rPr>
          <w:sz w:val="20"/>
          <w:szCs w:val="20"/>
          <w:color w:val="auto"/>
        </w:rPr>
      </w:pPr>
      <w:r>
        <w:rPr>
          <w:rFonts w:ascii="Arial" w:cs="Arial" w:eastAsia="Arial" w:hAnsi="Arial"/>
          <w:sz w:val="13"/>
          <w:szCs w:val="13"/>
          <w:b w:val="1"/>
          <w:bCs w:val="1"/>
          <w:color w:val="auto"/>
        </w:rPr>
        <w:t>Other comprehensive income, net of income taxes As of March 31, 2023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20,000</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390,438</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7,163,128</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336,151</w:t>
            </w:r>
          </w:p>
        </w:tc>
        <w:tc>
          <w:tcPr>
            <w:tcW w:w="200" w:type="dxa"/>
            <w:vAlign w:val="bottom"/>
          </w:tcPr>
          <w:p>
            <w:pPr>
              <w:jc w:val="right"/>
              <w:ind w:right="53"/>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(4,178,334)</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21,278</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3,752,661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21,827</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52,977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52,977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(650)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650</w:t>
            </w:r>
          </w:p>
        </w:tc>
        <w:tc>
          <w:tcPr>
            <w:tcW w:w="1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(55)</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64</w:t>
            </w:r>
          </w:p>
        </w:tc>
        <w:tc>
          <w:tcPr>
            <w:tcW w:w="18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64</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70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520</w:t>
            </w:r>
          </w:p>
        </w:tc>
        <w:tc>
          <w:tcPr>
            <w:tcW w:w="1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520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(70)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(15,812)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(15,812)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(23,439)</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(23,439)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(4,067)</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4,494</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1,802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1,802</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585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20,000</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388,173</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7,199,588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336,736</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(4,197,279)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3,769,730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21,882</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60" w:type="dxa"/>
            <w:vAlign w:val="bottom"/>
            <w:vMerge w:val="restart"/>
          </w:tcPr>
          <w:p>
            <w:pPr>
              <w:jc w:val="right"/>
              <w:ind w:right="19"/>
              <w:spacing w:after="0"/>
              <w:rPr>
                <w:sz w:val="20"/>
                <w:szCs w:val="20"/>
                <w:color w:val="auto"/>
              </w:rPr>
            </w:pPr>
            <w:r>
              <w:rPr>
                <w:rFonts w:ascii="Arial" w:cs="Arial" w:eastAsia="Arial" w:hAnsi="Arial"/>
                <w:sz w:val="11"/>
                <w:szCs w:val="11"/>
                <w:color w:val="auto"/>
              </w:rPr>
              <w:t>Common</w:t>
            </w:r>
          </w:p>
        </w:tc>
        <w:tc>
          <w:tcPr>
            <w:tcW w:w="180" w:type="dxa"/>
            <w:vAlign w:val="bottom"/>
          </w:tcPr>
          <w:p>
            <w:pPr>
              <w:spacing w:after="0"/>
              <w:rPr>
                <w:sz w:val="17"/>
                <w:szCs w:val="17"/>
                <w:color w:val="auto"/>
              </w:rPr>
            </w:pPr>
          </w:p>
        </w:tc>
        <w:tc>
          <w:tcPr>
            <w:tcW w:w="700" w:type="dxa"/>
            <w:vAlign w:val="bottom"/>
          </w:tcPr>
          <w:p>
            <w:pPr>
              <w:ind w:left="8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7"/>
                <w:szCs w:val="17"/>
                <w:color w:val="auto"/>
              </w:rPr>
            </w:pPr>
          </w:p>
        </w:tc>
        <w:tc>
          <w:tcPr>
            <w:tcW w:w="760" w:type="dxa"/>
            <w:vAlign w:val="bottom"/>
            <w:vMerge w:val="restart"/>
          </w:tcPr>
          <w:p>
            <w:pPr>
              <w:jc w:val="right"/>
              <w:ind w:right="176"/>
              <w:spacing w:after="0"/>
              <w:rPr>
                <w:sz w:val="20"/>
                <w:szCs w:val="20"/>
                <w:color w:val="auto"/>
              </w:rPr>
            </w:pPr>
            <w:r>
              <w:rPr>
                <w:rFonts w:ascii="Arial" w:cs="Arial" w:eastAsia="Arial" w:hAnsi="Arial"/>
                <w:sz w:val="11"/>
                <w:szCs w:val="11"/>
                <w:color w:val="auto"/>
              </w:rPr>
              <w:t>Retained</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9"/>
              </w:rPr>
              <w:t>Accumulated Other</w:t>
            </w:r>
          </w:p>
        </w:tc>
        <w:tc>
          <w:tcPr>
            <w:tcW w:w="200" w:type="dxa"/>
            <w:vAlign w:val="bottom"/>
          </w:tcPr>
          <w:p>
            <w:pPr>
              <w:spacing w:after="0"/>
              <w:rPr>
                <w:sz w:val="17"/>
                <w:szCs w:val="17"/>
                <w:color w:val="auto"/>
              </w:rPr>
            </w:pPr>
          </w:p>
        </w:tc>
        <w:tc>
          <w:tcPr>
            <w:tcW w:w="840" w:type="dxa"/>
            <w:vAlign w:val="bottom"/>
            <w:vMerge w:val="restart"/>
          </w:tcPr>
          <w:p>
            <w:pPr>
              <w:jc w:val="right"/>
              <w:ind w:right="237"/>
              <w:spacing w:after="0"/>
              <w:rPr>
                <w:sz w:val="20"/>
                <w:szCs w:val="20"/>
                <w:color w:val="auto"/>
              </w:rPr>
            </w:pPr>
            <w:r>
              <w:rPr>
                <w:rFonts w:ascii="Arial" w:cs="Arial" w:eastAsia="Arial" w:hAnsi="Arial"/>
                <w:sz w:val="11"/>
                <w:szCs w:val="11"/>
                <w:color w:val="auto"/>
              </w:rPr>
              <w:t>Treasury</w:t>
            </w:r>
          </w:p>
        </w:tc>
        <w:tc>
          <w:tcPr>
            <w:tcW w:w="120" w:type="dxa"/>
            <w:vAlign w:val="bottom"/>
          </w:tcPr>
          <w:p>
            <w:pPr>
              <w:spacing w:after="0"/>
              <w:rPr>
                <w:sz w:val="17"/>
                <w:szCs w:val="17"/>
                <w:color w:val="auto"/>
              </w:rPr>
            </w:pPr>
          </w:p>
        </w:tc>
        <w:tc>
          <w:tcPr>
            <w:tcW w:w="840" w:type="dxa"/>
            <w:vAlign w:val="bottom"/>
            <w:vMerge w:val="restart"/>
          </w:tcPr>
          <w:p>
            <w:pPr>
              <w:jc w:val="right"/>
              <w:ind w:right="56"/>
              <w:spacing w:after="0"/>
              <w:rPr>
                <w:sz w:val="20"/>
                <w:szCs w:val="20"/>
                <w:color w:val="auto"/>
              </w:rPr>
            </w:pPr>
            <w:r>
              <w:rPr>
                <w:rFonts w:ascii="Arial" w:cs="Arial" w:eastAsia="Arial" w:hAnsi="Arial"/>
                <w:sz w:val="11"/>
                <w:szCs w:val="11"/>
                <w:color w:val="auto"/>
                <w:w w:val="99"/>
              </w:rPr>
              <w:t>Noncontrolling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38"/>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ind w:left="6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2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38"/>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560" w:type="dxa"/>
            <w:vAlign w:val="bottom"/>
          </w:tcPr>
          <w:p>
            <w:pPr>
              <w:jc w:val="right"/>
              <w:ind w:right="79"/>
              <w:spacing w:after="0"/>
              <w:rPr>
                <w:sz w:val="20"/>
                <w:szCs w:val="20"/>
                <w:color w:val="auto"/>
              </w:rPr>
            </w:pPr>
            <w:r>
              <w:rPr>
                <w:rFonts w:ascii="Arial" w:cs="Arial" w:eastAsia="Arial" w:hAnsi="Arial"/>
                <w:sz w:val="11"/>
                <w:szCs w:val="11"/>
                <w:color w:val="auto"/>
              </w:rPr>
              <w:t>Stock</w:t>
            </w:r>
          </w:p>
        </w:tc>
        <w:tc>
          <w:tcPr>
            <w:tcW w:w="1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Arial" w:cs="Arial" w:eastAsia="Arial" w:hAnsi="Arial"/>
                <w:sz w:val="11"/>
                <w:szCs w:val="11"/>
                <w:color w:val="auto"/>
              </w:rPr>
              <w:t>Earnings</w:t>
            </w: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4"/>
              </w:rPr>
              <w:t>Income</w:t>
            </w:r>
          </w:p>
        </w:tc>
        <w:tc>
          <w:tcPr>
            <w:tcW w:w="200" w:type="dxa"/>
            <w:vAlign w:val="bottom"/>
          </w:tcPr>
          <w:p>
            <w:pPr>
              <w:spacing w:after="0"/>
              <w:rPr>
                <w:sz w:val="13"/>
                <w:szCs w:val="13"/>
                <w:color w:val="auto"/>
              </w:rPr>
            </w:pPr>
          </w:p>
        </w:tc>
        <w:tc>
          <w:tcPr>
            <w:tcW w:w="840" w:type="dxa"/>
            <w:vAlign w:val="bottom"/>
          </w:tcPr>
          <w:p>
            <w:pPr>
              <w:jc w:val="right"/>
              <w:ind w:right="297"/>
              <w:spacing w:after="0"/>
              <w:rPr>
                <w:sz w:val="20"/>
                <w:szCs w:val="20"/>
                <w:color w:val="auto"/>
              </w:rPr>
            </w:pPr>
            <w:r>
              <w:rPr>
                <w:rFonts w:ascii="Arial" w:cs="Arial" w:eastAsia="Arial" w:hAnsi="Arial"/>
                <w:sz w:val="11"/>
                <w:szCs w:val="11"/>
                <w:color w:val="auto"/>
              </w:rPr>
              <w:t>Stock</w:t>
            </w:r>
          </w:p>
        </w:tc>
        <w:tc>
          <w:tcPr>
            <w:tcW w:w="120" w:type="dxa"/>
            <w:vAlign w:val="bottom"/>
          </w:tcPr>
          <w:p>
            <w:pPr>
              <w:spacing w:after="0"/>
              <w:rPr>
                <w:sz w:val="13"/>
                <w:szCs w:val="13"/>
                <w:color w:val="auto"/>
              </w:rPr>
            </w:pPr>
          </w:p>
        </w:tc>
        <w:tc>
          <w:tcPr>
            <w:tcW w:w="840" w:type="dxa"/>
            <w:vAlign w:val="bottom"/>
          </w:tcPr>
          <w:p>
            <w:pPr>
              <w:jc w:val="right"/>
              <w:ind w:right="216"/>
              <w:spacing w:after="0"/>
              <w:rPr>
                <w:sz w:val="20"/>
                <w:szCs w:val="20"/>
                <w:color w:val="auto"/>
              </w:rPr>
            </w:pPr>
            <w:r>
              <w:rPr>
                <w:rFonts w:ascii="Arial" w:cs="Arial" w:eastAsia="Arial" w:hAnsi="Arial"/>
                <w:sz w:val="11"/>
                <w:szCs w:val="11"/>
                <w:color w:val="auto"/>
              </w:rPr>
              <w:t>Interest</w:t>
            </w:r>
          </w:p>
        </w:tc>
        <w:tc>
          <w:tcPr>
            <w:tcW w:w="180" w:type="dxa"/>
            <w:vAlign w:val="bottom"/>
          </w:tcPr>
          <w:p>
            <w:pPr>
              <w:spacing w:after="0"/>
              <w:rPr>
                <w:sz w:val="13"/>
                <w:szCs w:val="13"/>
                <w:color w:val="auto"/>
              </w:rPr>
            </w:pPr>
          </w:p>
        </w:tc>
        <w:tc>
          <w:tcPr>
            <w:tcW w:w="860" w:type="dxa"/>
            <w:vAlign w:val="bottom"/>
          </w:tcPr>
          <w:p>
            <w:pPr>
              <w:jc w:val="right"/>
              <w:ind w:right="173"/>
              <w:spacing w:after="0"/>
              <w:rPr>
                <w:sz w:val="20"/>
                <w:szCs w:val="20"/>
                <w:color w:val="auto"/>
              </w:rPr>
            </w:pPr>
            <w:r>
              <w:rPr>
                <w:rFonts w:ascii="Arial" w:cs="Arial" w:eastAsia="Arial" w:hAnsi="Arial"/>
                <w:sz w:val="11"/>
                <w:szCs w:val="11"/>
                <w:color w:val="auto"/>
              </w:rPr>
              <w:t>Total Equity</w:t>
            </w:r>
          </w:p>
        </w:tc>
        <w:tc>
          <w:tcPr>
            <w:tcW w:w="200" w:type="dxa"/>
            <w:vAlign w:val="bottom"/>
          </w:tcPr>
          <w:p>
            <w:pPr>
              <w:spacing w:after="0"/>
              <w:rPr>
                <w:sz w:val="13"/>
                <w:szCs w:val="13"/>
                <w:color w:val="auto"/>
              </w:rPr>
            </w:pPr>
          </w:p>
        </w:tc>
        <w:tc>
          <w:tcPr>
            <w:tcW w:w="900" w:type="dxa"/>
            <w:vAlign w:val="bottom"/>
          </w:tcPr>
          <w:p>
            <w:pPr>
              <w:jc w:val="center"/>
              <w:ind w:right="38"/>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12700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3300" w:space="200"/>
            <w:col w:w="7740"/>
          </w:cols>
          <w:pgMar w:left="320" w:top="944" w:right="339" w:bottom="1440" w:gutter="0" w:footer="0" w:header="0"/>
          <w:type w:val="continuous"/>
        </w:sectPr>
      </w:pPr>
    </w:p>
    <w:tbl>
      <w:tblPr>
        <w:tblLayout w:type="fixed"/>
        <w:tblInd w:w="20" w:type="dxa"/>
        <w:tblCellMar>
          <w:top w:w="0" w:type="dxa"/>
          <w:left w:w="0" w:type="dxa"/>
          <w:bottom w:w="0" w:type="dxa"/>
          <w:right w:w="0" w:type="dxa"/>
        </w:tblCellMar>
      </w:tblPr>
      <w:tr>
        <w:trPr>
          <w:trHeight w:val="176"/>
        </w:trPr>
        <w:tc>
          <w:tcPr>
            <w:tcW w:w="3540" w:type="dxa"/>
            <w:vAlign w:val="bottom"/>
          </w:tcPr>
          <w:p>
            <w:pPr>
              <w:spacing w:after="0"/>
              <w:rPr>
                <w:sz w:val="20"/>
                <w:szCs w:val="20"/>
                <w:color w:val="auto"/>
              </w:rPr>
            </w:pPr>
            <w:r>
              <w:rPr>
                <w:rFonts w:ascii="Arial" w:cs="Arial" w:eastAsia="Arial" w:hAnsi="Arial"/>
                <w:sz w:val="13"/>
                <w:szCs w:val="13"/>
                <w:color w:val="auto"/>
              </w:rPr>
              <w:t>As of December 31, 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389,456</w:t>
            </w:r>
          </w:p>
        </w:tc>
        <w:tc>
          <w:tcPr>
            <w:tcW w:w="2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7,126,761</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971,388</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(4,108,022)</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12,086</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4,411,669</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14,311</w:t>
            </w: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96,566</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96,566</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(986)</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986</w:t>
            </w: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54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44</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Change in redemption value of redeemable noncontrolling</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54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w:t>
            </w: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(357)</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(15,497)</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(15,497)</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(9,527)</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(9,527)</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Issuance of Class B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1,437</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1,437</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54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1,677</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1,677</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(13,135)</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02"/>
        </w:trPr>
        <w:tc>
          <w:tcPr>
            <w:tcW w:w="3540" w:type="dxa"/>
            <w:vAlign w:val="bottom"/>
          </w:tcPr>
          <w:p>
            <w:pPr>
              <w:spacing w:after="0"/>
              <w:rPr>
                <w:sz w:val="20"/>
                <w:szCs w:val="20"/>
                <w:color w:val="auto"/>
              </w:rPr>
            </w:pPr>
            <w:r>
              <w:rPr>
                <w:rFonts w:ascii="Arial" w:cs="Arial" w:eastAsia="Arial" w:hAnsi="Arial"/>
                <w:sz w:val="13"/>
                <w:szCs w:val="13"/>
                <w:color w:val="auto"/>
              </w:rPr>
              <w:t>As of March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391,133</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7,206,888</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958,253</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(4,116,112)</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12,779</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4,472,941</w:t>
            </w:r>
          </w:p>
        </w:tc>
        <w:tc>
          <w:tcPr>
            <w:tcW w:w="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14,331</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7" w:name="page8"/>
    <w:bookmarkEnd w:id="7"/>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 television broadcasting– online, podcast, print and local TV news; manufacturing; home health and hospice care; automotive dealerships; and other businesses. The Company’s Kaplan subsidiary provides a wide variety of educational services, both domestically and outside the United States (U.S.). The Company’s television broadcast segment owns and operates seven television broadcasting stations. The Company’s manufacturing</w:t>
      </w:r>
    </w:p>
    <w:p>
      <w:pPr>
        <w:spacing w:after="0" w:line="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companies comprise the ownership of a supplier of pressure treated wood, a manufacturer of electrical solutions, a manufacturer of lifting solutions, and a supplier of parts used in electric utilities and industrial systems. The Company’s healthcare segment provides home health, hospice and palliative services, in-home specialty pharmacy infusion therapies, applied behavior analysis (ABA) therapy, physician services for allergy, asthma and immunology patients, in-home aesthetics, and healthcare software-as-a-service technology. The Company’s</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automotive business comprises six dealerships and valet repair services. The Company’s other businesses include a consumer internet company; restaurants; a custom framing company; a marketing solutions provider; a customer data and analytics software company; website and print magazines; an ad-free audio streaming service for children; and a daily local news podcast and newsletter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right="40" w:firstLine="8"/>
        <w:spacing w:after="0" w:line="232"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2023 and 2022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2022.</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0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color w:val="auto"/>
        </w:rPr>
        <w:t xml:space="preserve">Use of Estimates in the Preparation of the Condensed Consolidated Financial Statements </w:t>
      </w:r>
      <w:r>
        <w:rPr>
          <w:rFonts w:ascii="Arial" w:cs="Arial" w:eastAsia="Arial" w:hAnsi="Arial"/>
          <w:sz w:val="17"/>
          <w:szCs w:val="17"/>
          <w:color w:val="auto"/>
        </w:rPr>
        <w:t>– The preparation of the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in conformity with GAAP requires management to make estimates and judgments that affect the amounts</w:t>
      </w:r>
    </w:p>
    <w:p>
      <w:pPr>
        <w:spacing w:after="0" w:line="235" w:lineRule="auto"/>
        <w:rPr>
          <w:sz w:val="20"/>
          <w:szCs w:val="20"/>
          <w:color w:val="auto"/>
        </w:rPr>
      </w:pPr>
      <w:r>
        <w:rPr>
          <w:rFonts w:ascii="Arial" w:cs="Arial" w:eastAsia="Arial" w:hAnsi="Arial"/>
          <w:sz w:val="18"/>
          <w:szCs w:val="18"/>
          <w:color w:val="auto"/>
        </w:rPr>
        <w:t>reported herein. Management bases its estimates and assumptions on historical experience and on various other factors that are believed to</w:t>
      </w:r>
    </w:p>
    <w:p>
      <w:pPr>
        <w:ind w:right="600"/>
        <w:spacing w:after="0" w:line="237"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September 2022, the Financial Accounting Standards Board issued new</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guidance that requires a buyer in a supplier finance program to disclose certain qualitative and quantitative information about the program’s nature, activity during the period, changes from period to period, and potential magnitude. The standard was adopted by the Company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2023 and did not have a significant impact on its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January 2023, Graham Healthcare Group (GHG) acquired two small businesses which are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2022, the Company acquired seven businesses: five in healthcare and two in automotive, for $143.2 million in cash and contingent</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consideration and the assumption of floor plan payables.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May 2022, GHG acquired two small businesses which are included in healthcare.</w:t>
      </w:r>
    </w:p>
    <w:p>
      <w:pPr>
        <w:spacing w:after="0" w:line="15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 operations. In addition to a cash payment and the assumption of $10.9 million in floor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plan payables, the automotive subsidiary borrowed $77.4 million to finance the acquisition. The dealerships are operated and managed by</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an entity affiliated with Christopher J. Ourisman, a member of the Ourisman Automotive Group family of dealerships. These acquisitions expand the Company’s automotive business operations and are included in automotive.</w:t>
      </w:r>
    </w:p>
    <w:p>
      <w:pPr>
        <w:spacing w:after="0" w:line="127"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In July 2022, GHG acquired a 100% interest in a multi-state provider of ABA clinics. The acquisition is expected to expand the product offerings of the healthcare division and is included in healthcare.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GHG acquired two small businesses which are included in healthcare.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Acquisition-related costs for acquisitions were expensed as incurred. The aggregate purchase price of the 2022 acquisitions was allocated as follows, based on acquisition date fair values to the following assets and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jc w:val="center"/>
              <w:ind w:right="12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December 31, 2022</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3,172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21,278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36,255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4,773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56,163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41,800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1,200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481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2180" w:type="dxa"/>
            <w:vAlign w:val="bottom"/>
          </w:tcPr>
          <w:p>
            <w:pPr>
              <w:jc w:val="right"/>
              <w:ind w:right="1"/>
              <w:spacing w:after="0"/>
              <w:rPr>
                <w:sz w:val="20"/>
                <w:szCs w:val="20"/>
                <w:color w:val="auto"/>
              </w:rPr>
            </w:pPr>
            <w:r>
              <w:rPr>
                <w:rFonts w:ascii="Arial" w:cs="Arial" w:eastAsia="Arial" w:hAnsi="Arial"/>
                <w:sz w:val="16"/>
                <w:szCs w:val="16"/>
                <w:color w:val="auto"/>
              </w:rPr>
              <w:t>241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(10,908)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(3,798)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(5,865)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(2,164)</w:t>
            </w:r>
          </w:p>
        </w:tc>
      </w:tr>
      <w:tr>
        <w:trPr>
          <w:trHeight w:val="239"/>
        </w:trPr>
        <w:tc>
          <w:tcPr>
            <w:tcW w:w="886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142,116</w:t>
            </w:r>
          </w:p>
        </w:tc>
      </w:tr>
      <w:tr>
        <w:trPr>
          <w:trHeight w:val="21"/>
        </w:trPr>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2022 fair values recorded were based upon valuations and the estimates and assumptions used in such valuations are subject to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change within the measurement period (up to one year from the acquisition date). The recording of deferred tax assets or liabilities and the final amount of residual goodwill is not yet finalized. Goodwill is calculated as the excess of the consideration transferred over the net assets</w:t>
      </w:r>
    </w:p>
    <w:p>
      <w:pPr>
        <w:spacing w:after="0" w:line="236" w:lineRule="auto"/>
        <w:rPr>
          <w:sz w:val="20"/>
          <w:szCs w:val="20"/>
          <w:color w:val="auto"/>
        </w:rPr>
      </w:pPr>
      <w:r>
        <w:rPr>
          <w:rFonts w:ascii="Arial" w:cs="Arial" w:eastAsia="Arial" w:hAnsi="Arial"/>
          <w:sz w:val="18"/>
          <w:szCs w:val="18"/>
          <w:color w:val="auto"/>
        </w:rPr>
        <w:t>recognized and represents the estimated future economic benefits arising from other assets acquired that could not be individually identified</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and separately recognized. The goodwill recorded due to these acquisitions is attributable to the assembled workforces of the acquired companies and expected synergies. The Company expects to deduct $38.5 million of goodwill for income tax purposes for the acquisitions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completed in 2022.</w:t>
      </w:r>
    </w:p>
    <w:p>
      <w:pPr>
        <w:spacing w:after="0" w:line="14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information includes the 2022 acquisitions as if they occurred at the beginning of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jc w:val="right"/>
              <w:ind w:right="264"/>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9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March 31</w:t>
            </w:r>
          </w:p>
        </w:tc>
      </w:tr>
      <w:tr>
        <w:trPr>
          <w:trHeight w:val="190"/>
        </w:trPr>
        <w:tc>
          <w:tcPr>
            <w:tcW w:w="9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860" w:type="dxa"/>
            <w:vAlign w:val="bottom"/>
          </w:tcPr>
          <w:p>
            <w:pPr>
              <w:jc w:val="right"/>
              <w:ind w:right="804"/>
              <w:spacing w:after="0"/>
              <w:rPr>
                <w:sz w:val="20"/>
                <w:szCs w:val="20"/>
                <w:color w:val="auto"/>
              </w:rPr>
            </w:pPr>
            <w:r>
              <w:rPr>
                <w:rFonts w:ascii="Arial" w:cs="Arial" w:eastAsia="Arial" w:hAnsi="Arial"/>
                <w:sz w:val="14"/>
                <w:szCs w:val="14"/>
                <w:color w:val="auto"/>
              </w:rPr>
              <w:t>2022</w:t>
            </w:r>
          </w:p>
        </w:tc>
      </w:tr>
      <w:tr>
        <w:trPr>
          <w:trHeight w:val="22"/>
        </w:trPr>
        <w:tc>
          <w:tcPr>
            <w:tcW w:w="9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08"/>
        </w:trPr>
        <w:tc>
          <w:tcPr>
            <w:tcW w:w="9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
              <w:spacing w:after="0"/>
              <w:rPr>
                <w:sz w:val="20"/>
                <w:szCs w:val="20"/>
                <w:color w:val="auto"/>
              </w:rPr>
            </w:pPr>
            <w:r>
              <w:rPr>
                <w:rFonts w:ascii="Arial" w:cs="Arial" w:eastAsia="Arial" w:hAnsi="Arial"/>
                <w:sz w:val="16"/>
                <w:szCs w:val="16"/>
                <w:color w:val="auto"/>
              </w:rPr>
              <w:t>998,193</w:t>
            </w:r>
          </w:p>
        </w:tc>
      </w:tr>
      <w:tr>
        <w:trPr>
          <w:trHeight w:val="229"/>
        </w:trPr>
        <w:tc>
          <w:tcPr>
            <w:tcW w:w="9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9"/>
                <w:szCs w:val="19"/>
                <w:color w:val="auto"/>
              </w:rPr>
            </w:pPr>
          </w:p>
        </w:tc>
        <w:tc>
          <w:tcPr>
            <w:tcW w:w="1860" w:type="dxa"/>
            <w:vAlign w:val="bottom"/>
          </w:tcPr>
          <w:p>
            <w:pPr>
              <w:jc w:val="right"/>
              <w:ind w:right="4"/>
              <w:spacing w:after="0"/>
              <w:rPr>
                <w:sz w:val="20"/>
                <w:szCs w:val="20"/>
                <w:color w:val="auto"/>
              </w:rPr>
            </w:pPr>
            <w:r>
              <w:rPr>
                <w:rFonts w:ascii="Arial" w:cs="Arial" w:eastAsia="Arial" w:hAnsi="Arial"/>
                <w:sz w:val="16"/>
                <w:szCs w:val="16"/>
                <w:color w:val="auto"/>
              </w:rPr>
              <w:t>100,676</w:t>
            </w:r>
          </w:p>
        </w:tc>
      </w:tr>
    </w:tbl>
    <w:p>
      <w:pPr>
        <w:spacing w:after="0" w:line="22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 efficiencies, cost reductions and synergies expected to result from the acquisitions. They are not the results that would have been realized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October 2022, the Company entered into an agreement to merge the CyberVista business with CyberWire,</w:t>
      </w:r>
      <w:r>
        <w:rPr>
          <w:rFonts w:ascii="Arial" w:cs="Arial" w:eastAsia="Arial" w:hAnsi="Arial"/>
          <w:sz w:val="18"/>
          <w:szCs w:val="18"/>
          <w:b w:val="1"/>
          <w:bCs w:val="1"/>
          <w:color w:val="auto"/>
        </w:rPr>
        <w:t xml:space="preserve"> </w:t>
      </w:r>
      <w:r>
        <w:rPr>
          <w:rFonts w:ascii="Arial" w:cs="Arial" w:eastAsia="Arial" w:hAnsi="Arial"/>
          <w:sz w:val="18"/>
          <w:szCs w:val="18"/>
          <w:color w:val="auto"/>
        </w:rPr>
        <w:t>Inc. in return for a noncontrolling financial interest in the merged entity, N2K Networks, Inc. (the CyberVista transaction). The Company deconsolidated the CyberVista subsidiary, which was included in</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other businesses, and accounts for its continuing interest in N2K Networks under the equity method of accounting (see Note 3).</w:t>
      </w:r>
    </w:p>
    <w:p>
      <w:pPr>
        <w:spacing w:after="0" w:line="158"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November 2022, a CSI Pharmacy Holdings Company, LLC (CSI) minority shareholder put some shares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which had a redemption value of $1.2 million. Following the redemption, the Company owns 76.5% of CSI.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March 31, 2023 and December 31, 2022, the Company had money market investments of $2.2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$7.7 million, respectively, that are classified as cash and cash equivalents in the Company’s Condensed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20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00" w:type="dxa"/>
            <w:vAlign w:val="bottom"/>
          </w:tcPr>
          <w:p>
            <w:pPr>
              <w:jc w:val="right"/>
              <w:ind w:right="16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234,157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270,764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373,842</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363,147</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(4,456)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(23,990)</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603,543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At March 31, 2023 and December 31, 2022, the Company owned 55,430 shares in Markel Corporation (Markel) valued at $70.8 million and $73.0 million, respectively. The Chief Executive Officer of Markel, Mr. Thomas S. Gayner, is a member of the Company’s Board of Directors.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of March 31, 2023, the Company owned 422 Class A and 482,945 Class B shares in Berkshire Hathaway valued at $345.6 million, which exceeded 5% of the Company’s total assets.</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Company purchased $4.6 million of marketable equity securities during the first three months of 2023. There were no purchases of marketable equity securities during the first three months of 2022.</w:t>
      </w:r>
    </w:p>
    <w:p>
      <w:pPr>
        <w:spacing w:after="0" w:line="86"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During the first three months of 2023, the gross cumulative realized net losses from the sales of marketable equity securities were $12.2 million. The total proceeds from such sales were $29.0 million. During the first three months of 2022, the gross cumulative realized gains from the sales of marketable equity securities were $41.6 million. The total proceeds from such sales were $55.7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21"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0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r>
      <w:tr>
        <w:trPr>
          <w:trHeight w:val="223"/>
        </w:trPr>
        <w:tc>
          <w:tcPr>
            <w:tcW w:w="890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18,022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46,912</w:t>
            </w:r>
          </w:p>
        </w:tc>
      </w:tr>
      <w:tr>
        <w:trPr>
          <w:trHeight w:val="233"/>
        </w:trPr>
        <w:tc>
          <w:tcPr>
            <w:tcW w:w="8900" w:type="dxa"/>
            <w:vAlign w:val="bottom"/>
          </w:tcPr>
          <w:p>
            <w:pPr>
              <w:ind w:left="20"/>
              <w:spacing w:after="0"/>
              <w:rPr>
                <w:sz w:val="20"/>
                <w:szCs w:val="20"/>
                <w:color w:val="auto"/>
              </w:rPr>
            </w:pPr>
            <w:r>
              <w:rPr>
                <w:rFonts w:ascii="Arial" w:cs="Arial" w:eastAsia="Arial" w:hAnsi="Arial"/>
                <w:sz w:val="16"/>
                <w:szCs w:val="16"/>
                <w:color w:val="auto"/>
              </w:rPr>
              <w:t>Less: Net losses in earnings from marketable equity securities sold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3,657</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5,767</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b w:val="1"/>
                <w:bCs w:val="1"/>
                <w:color w:val="auto"/>
              </w:rPr>
              <w:t>Net unrealized gains in earnings from marketable equity securities still held at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21,679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52,679</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2023, the Company held a 49.9% interest in N2K Networks on a fully diluted basis, and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its investment under the equity method. The Company holds two of the five seats of N2K Networks’ governing board with the other</w:t>
      </w:r>
    </w:p>
    <w:p>
      <w:pPr>
        <w:ind w:right="1180"/>
        <w:spacing w:after="0" w:line="237" w:lineRule="auto"/>
        <w:rPr>
          <w:sz w:val="20"/>
          <w:szCs w:val="20"/>
          <w:color w:val="auto"/>
        </w:rPr>
      </w:pPr>
      <w:r>
        <w:rPr>
          <w:rFonts w:ascii="Arial" w:cs="Arial" w:eastAsia="Arial" w:hAnsi="Arial"/>
          <w:sz w:val="18"/>
          <w:szCs w:val="18"/>
          <w:color w:val="auto"/>
        </w:rPr>
        <w:t>shareholders retaining substantive participation rights to control the financial and operating decisions of N2K Networks through representation on the board.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held an approximate 18% interest in Intersection Holdings, LLC (Intersection), and accounts for its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investment under the equity method. The Company holds two of the ten seats of Intersection’s governing board, which allows the Company to exercise significant influence over Intersection.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also held investments in several other affiliates; GHG held a 40% interest in Residential Home Health</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Illinois, a 40% interest in Residential Hospice Illinois, a 40% interest in the joint venture formed between GHG and a Michigan hospital, and a 40% interest in the joint venture formed between GHG and Allegheny Health Network (AHN). During the first quarter of 2022, GHG invested</w:t>
      </w:r>
    </w:p>
    <w:p>
      <w:pPr>
        <w:spacing w:after="0" w:line="236" w:lineRule="auto"/>
        <w:rPr>
          <w:sz w:val="20"/>
          <w:szCs w:val="20"/>
          <w:color w:val="auto"/>
        </w:rPr>
      </w:pPr>
      <w:r>
        <w:rPr>
          <w:rFonts w:ascii="Arial" w:cs="Arial" w:eastAsia="Arial" w:hAnsi="Arial"/>
          <w:sz w:val="18"/>
          <w:szCs w:val="18"/>
          <w:color w:val="auto"/>
        </w:rPr>
        <w:t>an additional $18.5 million in the Residential Home Health Illinois and Residential Hospice Illinois affiliates to fund their acquisition of certain</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home health and hospice assets of the NorthShore University HealthSystem. The transaction diluted GHG’s interest in Residential Hospice Illinois resulting in a $0.6 million gain on the sale of investment in affiliate (see Note 12). For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ind w:right="380"/>
        <w:spacing w:after="0" w:line="271" w:lineRule="auto"/>
        <w:rPr>
          <w:sz w:val="20"/>
          <w:szCs w:val="20"/>
          <w:color w:val="auto"/>
        </w:rPr>
      </w:pPr>
      <w:r>
        <w:rPr>
          <w:rFonts w:ascii="Arial" w:cs="Arial" w:eastAsia="Arial" w:hAnsi="Arial"/>
          <w:sz w:val="18"/>
          <w:szCs w:val="18"/>
          <w:color w:val="auto"/>
        </w:rPr>
        <w:t>three months ended March 31, 2023 and 2022, the Company recorded $3.5 million and $3.3 million, respectively, in revenue for services provided to the affiliates of GHG.</w:t>
      </w:r>
    </w:p>
    <w:p>
      <w:pPr>
        <w:spacing w:after="0" w:line="86"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$50.1 million and $49.1 million in its investment account that represents cumulative undistributed income in its investments in affiliates as of March 31, 2023 and December 31, 2022, respectively.</w:t>
      </w:r>
    </w:p>
    <w:p>
      <w:pPr>
        <w:spacing w:after="0" w:line="10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£20.4 million as of March 31, 2023. The loan is repayable by December 2041.</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235" w:lineRule="auto"/>
        <w:rPr>
          <w:sz w:val="20"/>
          <w:szCs w:val="20"/>
          <w:color w:val="auto"/>
        </w:rPr>
      </w:pPr>
      <w:r>
        <w:rPr>
          <w:rFonts w:ascii="Arial" w:cs="Arial" w:eastAsia="Arial" w:hAnsi="Arial"/>
          <w:sz w:val="18"/>
          <w:szCs w:val="18"/>
          <w:color w:val="auto"/>
        </w:rPr>
        <w:t>identical or similar investments of the same issuer. The carrying value of these investments was $69.4 million and $66.7 million as of</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March 31, 2023 and December 31, 2022, respectively. During the three months ended March 31, 2023, the Company recorded gains of $1.8 million to those equity securities based on observable transactions.</w:t>
      </w:r>
    </w:p>
    <w:p>
      <w:pPr>
        <w:spacing w:after="0" w:line="127" w:lineRule="exact"/>
        <w:rPr>
          <w:sz w:val="20"/>
          <w:szCs w:val="20"/>
          <w:color w:val="auto"/>
        </w:rPr>
      </w:pPr>
    </w:p>
    <w:p>
      <w:pPr>
        <w:ind w:right="436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$22,935 and $21,387</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478,726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533,622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28,788</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507,514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560,779</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 was $0.5 million and $1.5 million for the three months ended March 31, 2023 and 2022,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133,805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136,186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2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112,378</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149,823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290,776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276,996</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536,959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563,005</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$3.6 million and $0.5 million are included in accounts payable as of March 31, 2023 and December 31, 2022, respectively.</w:t>
      </w:r>
    </w:p>
    <w:p>
      <w:pPr>
        <w:spacing w:after="0" w:line="144" w:lineRule="exact"/>
        <w:rPr>
          <w:sz w:val="20"/>
          <w:szCs w:val="20"/>
          <w:color w:val="auto"/>
        </w:rPr>
      </w:pPr>
    </w:p>
    <w:p>
      <w:pPr>
        <w:ind w:right="3940"/>
        <w:spacing w:after="0" w:line="459"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67,950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68,494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15,141</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15,718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160,168</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140,548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2,961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246,220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226,811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(Truist floor plan facility) and Ford Motor Credit Company (Ford floor plan facility). At March 31, 2023, the floor plan facilities bore interest at variable</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rates that are based on Secured Overnight Financing Rate (SOFR) and prime-based interest rates. The weighted average interest rate for the floor plan facilities was 5.4% and 2.0% for the three months ended March 31, 2023 and 2022, respectively. As of March 31, 2023, the</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aggregate capacity under the floor plan facilities was $106.3 million, of which $ 76.9 million had been utilized, and is included in accounts payable and accrued liabilities in the Condensed Consolidated Balance Sheet. Changes in the vehicle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floor plan payable are reported as cash flows from financing activities in the Condensed Consolidated Statements of Cash Flows.</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floor plan facilities are collateralized by vehicle inventory and other assets of the relevant dealership subsidiary, and contains a number of covenants, including, among others, covenants restricting the dealership subsidiary with respect to the creation of liens and changes in</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March 31, 2023.</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ind w:right="640"/>
        <w:spacing w:after="0" w:line="237" w:lineRule="auto"/>
        <w:rPr>
          <w:sz w:val="20"/>
          <w:szCs w:val="20"/>
          <w:color w:val="auto"/>
        </w:rPr>
      </w:pPr>
      <w:r>
        <w:rPr>
          <w:rFonts w:ascii="Arial" w:cs="Arial" w:eastAsia="Arial" w:hAnsi="Arial"/>
          <w:sz w:val="18"/>
          <w:szCs w:val="18"/>
          <w:color w:val="auto"/>
        </w:rPr>
        <w:t>Operations when the associated inventory is sold. For the three months ended March 31, 2023 and 2022, the Company recognized a reduction in cost of goods sold of $1.4 million and $0.9 million, respectively, related to manufacturer floor plan assistance.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Amortization of intangible assets for the three months ended March 31, 2023 and 2022, was $13.9 million and $14.9 million, respectively. Amortization of intangible assets is estimated to be approximately $36 million for the remainder of 2023, $37 million in 2024, $29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2025, $20 million in 2026, $6 million in 2027 and $20 million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1,145,502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135,870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84,697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2,043,093</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(116,687)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(482,140)</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814,351</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135,870</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84,697</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134,529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1,560,953</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385</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6,256</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6,256</w:t>
            </w:r>
          </w:p>
        </w:tc>
        <w:tc>
          <w:tcPr>
            <w:tcW w:w="0" w:type="dxa"/>
            <w:vAlign w:val="bottom"/>
          </w:tcPr>
          <w:p>
            <w:pPr>
              <w:spacing w:after="0"/>
              <w:rPr>
                <w:sz w:val="1"/>
                <w:szCs w:val="1"/>
                <w:color w:val="auto"/>
              </w:rPr>
            </w:pPr>
          </w:p>
        </w:tc>
      </w:tr>
      <w:tr>
        <w:trPr>
          <w:trHeight w:val="224"/>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1,151,758</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136,255</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84,697</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2,049,734</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(34,302)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(116,687)</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(482,140)</w:t>
            </w:r>
          </w:p>
        </w:tc>
        <w:tc>
          <w:tcPr>
            <w:tcW w:w="0" w:type="dxa"/>
            <w:vAlign w:val="bottom"/>
          </w:tcPr>
          <w:p>
            <w:pPr>
              <w:spacing w:after="0"/>
              <w:rPr>
                <w:sz w:val="1"/>
                <w:szCs w:val="1"/>
                <w:color w:val="auto"/>
              </w:rPr>
            </w:pPr>
          </w:p>
        </w:tc>
      </w:tr>
      <w:tr>
        <w:trPr>
          <w:trHeight w:val="226"/>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820,607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136,255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84,697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134,529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1,567,594</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18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579,561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391,377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1,145,502</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579,561</w:t>
            </w:r>
          </w:p>
        </w:tc>
        <w:tc>
          <w:tcPr>
            <w:tcW w:w="28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171,550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814,351</w:t>
            </w:r>
          </w:p>
        </w:tc>
        <w:tc>
          <w:tcPr>
            <w:tcW w:w="0" w:type="dxa"/>
            <w:vAlign w:val="bottom"/>
          </w:tcPr>
          <w:p>
            <w:pPr>
              <w:spacing w:after="0"/>
              <w:rPr>
                <w:sz w:val="1"/>
                <w:szCs w:val="1"/>
                <w:color w:val="auto"/>
              </w:rPr>
            </w:pPr>
          </w:p>
        </w:tc>
      </w:tr>
      <w:tr>
        <w:trPr>
          <w:trHeight w:val="238"/>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6,252</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6,256</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585,813</w:t>
            </w:r>
          </w:p>
        </w:tc>
        <w:tc>
          <w:tcPr>
            <w:tcW w:w="28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391,381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1,151,758</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585,813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171,554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820,607</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2023</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2022</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21"/>
              <w:spacing w:after="0" w:line="153"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122"/>
              <w:spacing w:after="0" w:line="15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298,022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236,486</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61,536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297,766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230,429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67,337</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148,286</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84,833</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63,453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148,102</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81,078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67,024</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11,112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6,288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10,367</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36,251</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33,714</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2,537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36,216</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32,219</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43,644</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29,909</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13,735</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27,618</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16,026</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543,623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396,070</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147,553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382,706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161,422</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85,858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85,858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83,009</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81,905</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180,038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80" w:type="dxa"/>
            <w:vAlign w:val="bottom"/>
          </w:tcPr>
          <w:p>
            <w:pPr>
              <w:spacing w:after="0"/>
              <w:rPr>
                <w:sz w:val="13"/>
                <w:szCs w:val="13"/>
                <w:color w:val="auto"/>
              </w:rPr>
            </w:pPr>
          </w:p>
        </w:tc>
        <w:tc>
          <w:tcPr>
            <w:tcW w:w="134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40" w:type="dxa"/>
            <w:vAlign w:val="bottom"/>
          </w:tcPr>
          <w:p>
            <w:pPr>
              <w:jc w:val="right"/>
              <w:ind w:right="261"/>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28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397,725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397,548</w:t>
            </w:r>
          </w:p>
        </w:tc>
        <w:tc>
          <w:tcPr>
            <w:tcW w:w="0" w:type="dxa"/>
            <w:vAlign w:val="bottom"/>
          </w:tcPr>
          <w:p>
            <w:pPr>
              <w:spacing w:after="0"/>
              <w:rPr>
                <w:sz w:val="1"/>
                <w:szCs w:val="1"/>
                <w:color w:val="auto"/>
              </w:rPr>
            </w:pPr>
          </w:p>
        </w:tc>
      </w:tr>
      <w:tr>
        <w:trPr>
          <w:trHeight w:val="219"/>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4.80% - 8.38%</w:t>
            </w:r>
          </w:p>
        </w:tc>
        <w:tc>
          <w:tcPr>
            <w:tcW w:w="1780" w:type="dxa"/>
            <w:vAlign w:val="bottom"/>
          </w:tcPr>
          <w:p>
            <w:pPr>
              <w:jc w:val="center"/>
              <w:spacing w:after="0"/>
              <w:rPr>
                <w:sz w:val="20"/>
                <w:szCs w:val="20"/>
                <w:color w:val="auto"/>
              </w:rPr>
            </w:pPr>
            <w:r>
              <w:rPr>
                <w:rFonts w:ascii="Arial" w:cs="Arial" w:eastAsia="Arial" w:hAnsi="Arial"/>
                <w:sz w:val="16"/>
                <w:szCs w:val="16"/>
                <w:color w:val="auto"/>
              </w:rPr>
              <w:t>5.81%</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168,766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200,236</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6.10% - 6.37%</w:t>
            </w:r>
          </w:p>
        </w:tc>
        <w:tc>
          <w:tcPr>
            <w:tcW w:w="1780" w:type="dxa"/>
            <w:vAlign w:val="bottom"/>
          </w:tcPr>
          <w:p>
            <w:pPr>
              <w:jc w:val="center"/>
              <w:spacing w:after="0"/>
              <w:rPr>
                <w:sz w:val="20"/>
                <w:szCs w:val="20"/>
                <w:color w:val="auto"/>
              </w:rPr>
            </w:pPr>
            <w:r>
              <w:rPr>
                <w:rFonts w:ascii="Arial" w:cs="Arial" w:eastAsia="Arial" w:hAnsi="Arial"/>
                <w:sz w:val="16"/>
                <w:szCs w:val="16"/>
                <w:color w:val="auto"/>
              </w:rPr>
              <w:t>6.33%</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23,276</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23,522</w:t>
            </w:r>
          </w:p>
        </w:tc>
        <w:tc>
          <w:tcPr>
            <w:tcW w:w="0" w:type="dxa"/>
            <w:vAlign w:val="bottom"/>
          </w:tcPr>
          <w:p>
            <w:pPr>
              <w:spacing w:after="0"/>
              <w:rPr>
                <w:sz w:val="1"/>
                <w:szCs w:val="1"/>
                <w:color w:val="auto"/>
              </w:rPr>
            </w:pPr>
          </w:p>
        </w:tc>
      </w:tr>
      <w:tr>
        <w:trPr>
          <w:trHeight w:val="219"/>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6.38% - 6.72%</w:t>
            </w:r>
          </w:p>
        </w:tc>
        <w:tc>
          <w:tcPr>
            <w:tcW w:w="1780" w:type="dxa"/>
            <w:vAlign w:val="bottom"/>
          </w:tcPr>
          <w:p>
            <w:pPr>
              <w:jc w:val="center"/>
              <w:spacing w:after="0"/>
              <w:rPr>
                <w:sz w:val="20"/>
                <w:szCs w:val="20"/>
                <w:color w:val="auto"/>
              </w:rPr>
            </w:pPr>
            <w:r>
              <w:rPr>
                <w:rFonts w:ascii="Arial" w:cs="Arial" w:eastAsia="Arial" w:hAnsi="Arial"/>
                <w:sz w:val="16"/>
                <w:szCs w:val="16"/>
                <w:color w:val="auto"/>
              </w:rPr>
              <w:t>6.54%</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63,483</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66,513</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(3)</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6.13% - 6.47%</w:t>
            </w:r>
          </w:p>
        </w:tc>
        <w:tc>
          <w:tcPr>
            <w:tcW w:w="1780" w:type="dxa"/>
            <w:vAlign w:val="bottom"/>
          </w:tcPr>
          <w:p>
            <w:pPr>
              <w:jc w:val="center"/>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26,211</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26,548</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4.18%</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8,152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2025 - 2030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3,506</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3,560</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691,119</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726,360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(123,018)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(155,813)</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568,101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570,547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$2.3 million and $2.5 million of unamortized debt issuance costs as of March 31, 2023 and December 31, 2022,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2023 and December 31, 2022.</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2023 and December 31, 2022.</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31, 2023 and December 31, 2022, the fair value of the Company’s 5.75% unsecured notes, based on quoted market prices (Level 2 fair value assessment), totaled $393.7 million and $395.1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on the Company’s $300 million unsecured revolving credit facility was $168.8 million as of March 31, 2023,</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consisting of U.S. dollar borrowings of $107 million with interest payable at SOFR plus 1.375% or prime rate plus 0.375%, and British Pound (GBP) borrowings of £50 million with interest payable at Daily Sterling Overnight Index Average (SONIA) plus 1.375%.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March 31, 2023 and</w:t>
      </w:r>
    </w:p>
    <w:p>
      <w:pPr>
        <w:spacing w:after="0" w:line="14"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December 31, 2022. The Company is in compliance with all financial covenants of the revolving credit facility, commercial notes, and Pinnacle Bank term loan as of March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2023 and 2022, the Company had average borrowings outstanding of approximately $735.0</w:t>
      </w:r>
    </w:p>
    <w:p>
      <w:pPr>
        <w:spacing w:after="0" w:line="14"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million and $665.0 million, respectively, at average annual interest rates of approximately 5.8% and 4.3%, respectively. During the three months ended March 31, 2023 and 2022, the Company incurred net interest expense of $13.1 million and $10.7 million,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During the three months ended March 31, 2023 and 2022, the Company recorded interest expense of $1.5 million and $3.4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respectively, to adjust the fair value of the mandatorily redeemable noncontrolling interest. The fair value of the mandatorily redeemable noncontrolling interest was based on the fair value of the underlying subsidiaries owned by GHC One and GHC Two, after taking into account</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March 31, 2023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2,249</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2,249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603,543</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603,543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8,020</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4,816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1,682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611,563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8,747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620,310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8,206</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32,309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40,515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7,686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609,921</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7,471</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5,016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(4)</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2,636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617,392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15,338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8,423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333</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30,845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39,268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60" w:hanging="454"/>
        <w:spacing w:after="0" w:line="26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160" w:hanging="454"/>
        <w:spacing w:after="0" w:line="27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ind w:left="480" w:right="260" w:hanging="454"/>
        <w:spacing w:after="0" w:line="27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ind w:left="480" w:right="80" w:hanging="454"/>
        <w:spacing w:after="0" w:line="25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7"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220" w:hanging="454"/>
        <w:spacing w:after="0" w:line="285"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3"/>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3"/>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8,423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3"/>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of business</w:t>
            </w:r>
          </w:p>
        </w:tc>
        <w:tc>
          <w:tcPr>
            <w:tcW w:w="200" w:type="dxa"/>
            <w:vAlign w:val="bottom"/>
          </w:tcPr>
          <w:p>
            <w:pPr>
              <w:spacing w:after="0"/>
              <w:rPr>
                <w:sz w:val="20"/>
                <w:szCs w:val="20"/>
                <w:color w:val="auto"/>
              </w:rPr>
            </w:pPr>
          </w:p>
        </w:tc>
        <w:tc>
          <w:tcPr>
            <w:tcW w:w="2140" w:type="dxa"/>
            <w:vAlign w:val="bottom"/>
          </w:tcPr>
          <w:p>
            <w:pPr>
              <w:jc w:val="right"/>
              <w:ind w:right="43"/>
              <w:spacing w:after="0"/>
              <w:rPr>
                <w:sz w:val="20"/>
                <w:szCs w:val="20"/>
                <w:color w:val="auto"/>
              </w:rPr>
            </w:pPr>
            <w:r>
              <w:rPr>
                <w:rFonts w:ascii="Arial" w:cs="Arial" w:eastAsia="Arial" w:hAnsi="Arial"/>
                <w:sz w:val="16"/>
                <w:szCs w:val="16"/>
                <w:b w:val="1"/>
                <w:bCs w:val="1"/>
                <w:color w:val="auto"/>
              </w:rPr>
              <w:t>220</w:t>
            </w:r>
          </w:p>
        </w:tc>
        <w:tc>
          <w:tcPr>
            <w:tcW w:w="280" w:type="dxa"/>
            <w:vAlign w:val="bottom"/>
          </w:tcPr>
          <w:p>
            <w:pPr>
              <w:spacing w:after="0"/>
              <w:rPr>
                <w:sz w:val="20"/>
                <w:szCs w:val="20"/>
                <w:color w:val="auto"/>
              </w:rPr>
            </w:pPr>
          </w:p>
        </w:tc>
        <w:tc>
          <w:tcPr>
            <w:tcW w:w="208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2080" w:type="dxa"/>
            <w:vAlign w:val="bottom"/>
          </w:tcPr>
          <w:p>
            <w:pPr>
              <w:jc w:val="right"/>
              <w:ind w:right="3"/>
              <w:spacing w:after="0"/>
              <w:rPr>
                <w:sz w:val="20"/>
                <w:szCs w:val="20"/>
                <w:color w:val="auto"/>
              </w:rPr>
            </w:pPr>
            <w:r>
              <w:rPr>
                <w:rFonts w:ascii="Arial" w:cs="Arial" w:eastAsia="Arial" w:hAnsi="Arial"/>
                <w:sz w:val="16"/>
                <w:szCs w:val="16"/>
                <w:b w:val="1"/>
                <w:bCs w:val="1"/>
                <w:color w:val="auto"/>
              </w:rPr>
              <w:t>1,468</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19"/>
                <w:szCs w:val="19"/>
                <w:color w:val="auto"/>
              </w:rPr>
            </w:pPr>
          </w:p>
        </w:tc>
        <w:tc>
          <w:tcPr>
            <w:tcW w:w="2140" w:type="dxa"/>
            <w:vAlign w:val="bottom"/>
          </w:tcPr>
          <w:p>
            <w:pPr>
              <w:jc w:val="right"/>
              <w:ind w:right="43"/>
              <w:spacing w:after="0"/>
              <w:rPr>
                <w:sz w:val="20"/>
                <w:szCs w:val="20"/>
                <w:color w:val="auto"/>
              </w:rPr>
            </w:pPr>
            <w:r>
              <w:rPr>
                <w:rFonts w:ascii="Arial" w:cs="Arial" w:eastAsia="Arial" w:hAnsi="Arial"/>
                <w:sz w:val="16"/>
                <w:szCs w:val="16"/>
                <w:b w:val="1"/>
                <w:bCs w:val="1"/>
                <w:color w:val="auto"/>
              </w:rPr>
              <w:t>315</w:t>
            </w:r>
          </w:p>
        </w:tc>
        <w:tc>
          <w:tcPr>
            <w:tcW w:w="280" w:type="dxa"/>
            <w:vAlign w:val="bottom"/>
          </w:tcPr>
          <w:p>
            <w:pPr>
              <w:spacing w:after="0"/>
              <w:rPr>
                <w:sz w:val="19"/>
                <w:szCs w:val="19"/>
                <w:color w:val="auto"/>
              </w:rPr>
            </w:pPr>
          </w:p>
        </w:tc>
        <w:tc>
          <w:tcPr>
            <w:tcW w:w="208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(752)</w:t>
            </w: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March 31, 2023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8,206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32,309</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3"/>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3"/>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jc w:val="center"/>
              <w:ind w:right="163"/>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center"/>
              <w:ind w:right="143"/>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Accretion of value included in net income </w:t>
      </w:r>
      <w:r>
        <w:rPr>
          <w:rFonts w:ascii="Arial" w:cs="Arial" w:eastAsia="Arial" w:hAnsi="Arial"/>
          <w:sz w:val="20"/>
          <w:szCs w:val="20"/>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14,881</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13,661</w:t>
            </w:r>
          </w:p>
        </w:tc>
      </w:tr>
      <w:tr>
        <w:trPr>
          <w:trHeight w:val="229"/>
        </w:trPr>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3,423</w:t>
            </w:r>
          </w:p>
        </w:tc>
      </w:tr>
      <w:tr>
        <w:trPr>
          <w:trHeight w:val="229"/>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23"/>
        </w:trPr>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14,954</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17,031</w:t>
            </w:r>
          </w:p>
        </w:tc>
      </w:tr>
      <w:tr>
        <w:trPr>
          <w:trHeight w:val="27"/>
        </w:trPr>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2023, the Company recorded long-lived asset impairment charges of $0.7 million. The</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remeasurement of the long-lived assets is classified as a Level 3 fair value assessment due to the significance of unobservable inputs developed in the determination of the fair value. The Company used a discounted cash flow model to determine the estimated fair value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long-lived assets and made estimates and assumptions regarding future cash flows and discount rates.</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During the three months ended March 31, 2023, the Company recorded gains of $1.8 million to equity securities that are accounted for as cost method investments based on observable transactions for identical or similar investments of the same issuer.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4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Company generated 79% of its revenue from U.S. domestic sales for each of the three months ended March 31, 2023 and 2022. The remaining 21% of revenue was generated from non-U.S. sales for each of the three months ended March 31, 2023 and 2022.</w:t>
      </w:r>
    </w:p>
    <w:p>
      <w:pPr>
        <w:spacing w:after="0" w:line="10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For the three months ended March 31, 2023, the Company recognized 55% of its revenue over time as control of the services and goods transferred to the customer, and the remaining 45% at a point in time, when the customer obtained control of the promised goods.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2022, the Company recognized 61% of its revenue over time, and the remaining 39% at a point in time.</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2023, the Company recognized a contract asset of $34.1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$323.1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related to this contract over the next six years. As of December 31, 2022, the contract asset was $26.3 million.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2022</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auto"/>
              </w:rPr>
              <w:t>377,050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385,507</w:t>
            </w:r>
          </w:p>
        </w:tc>
        <w:tc>
          <w:tcPr>
            <w:tcW w:w="1320" w:type="dxa"/>
            <w:vAlign w:val="bottom"/>
          </w:tcPr>
          <w:p>
            <w:pPr>
              <w:jc w:val="right"/>
              <w:ind w:right="485"/>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In April 2020, GHG received $31.5 million under the expanded Medicare Accelerated and Advanced Payment Program modified by the Coronavirus Aid, Relief, and Economic Security Act (CARES Act) as a result of COVID-19. The Department of Health and Human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started to recoup this advance 365 days after the payment was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ind w:right="300"/>
        <w:spacing w:after="0" w:line="271" w:lineRule="auto"/>
        <w:rPr>
          <w:sz w:val="20"/>
          <w:szCs w:val="20"/>
          <w:color w:val="auto"/>
        </w:rPr>
      </w:pPr>
      <w:r>
        <w:rPr>
          <w:rFonts w:ascii="Arial" w:cs="Arial" w:eastAsia="Arial" w:hAnsi="Arial"/>
          <w:sz w:val="18"/>
          <w:szCs w:val="18"/>
          <w:color w:val="auto"/>
        </w:rPr>
        <w:t>issued. The advance has been recouped in full as of September 30, 2022. For the three months ended March 31, 2022, GHG recognized $6.4 million of the balance in revenue for claims submitted for eligible services.</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 During the three months ended March 31, 2023, the Company recognized $183.7 million related to the Company’s deferred revenue balance as of December 31, 2022.</w:t>
      </w:r>
    </w:p>
    <w:p>
      <w:pPr>
        <w:spacing w:after="0" w:line="10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2023, the deferred revenue balance related to certain medical and nursing qualifications with an original contract</w:t>
      </w:r>
    </w:p>
    <w:p>
      <w:pPr>
        <w:spacing w:after="0" w:line="237" w:lineRule="auto"/>
        <w:rPr>
          <w:sz w:val="20"/>
          <w:szCs w:val="20"/>
          <w:color w:val="auto"/>
        </w:rPr>
      </w:pPr>
      <w:r>
        <w:rPr>
          <w:rFonts w:ascii="Arial" w:cs="Arial" w:eastAsia="Arial" w:hAnsi="Arial"/>
          <w:sz w:val="18"/>
          <w:szCs w:val="18"/>
          <w:color w:val="auto"/>
        </w:rPr>
        <w:t>length greater than twelve months at Kaplan Supplemental Education was $6.8 million. Kaplan Supplemental Education expects to recognize 67%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31,647</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16,068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(19,637)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541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28,619</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three months ended March 31,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EARNINGS PER SHARE</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5"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 the unvested restricted stock awards from the numerator and excludes the dilutive impact of those underlying shares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14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7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5"/>
        </w:trPr>
        <w:tc>
          <w:tcPr>
            <w:tcW w:w="85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6"/>
                <w:szCs w:val="16"/>
                <w:color w:val="auto"/>
              </w:rPr>
              <w:t>Numerator for basic earnings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5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52,272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95,624</w:t>
            </w:r>
          </w:p>
        </w:tc>
        <w:tc>
          <w:tcPr>
            <w:tcW w:w="0" w:type="dxa"/>
            <w:vAlign w:val="bottom"/>
          </w:tcPr>
          <w:p>
            <w:pPr>
              <w:spacing w:after="0"/>
              <w:rPr>
                <w:sz w:val="1"/>
                <w:szCs w:val="1"/>
                <w:color w:val="auto"/>
              </w:rPr>
            </w:pPr>
          </w:p>
        </w:tc>
      </w:tr>
      <w:tr>
        <w:trPr>
          <w:trHeight w:val="231"/>
        </w:trPr>
        <w:tc>
          <w:tcPr>
            <w:tcW w:w="856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(15,812)</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(15,497)</w:t>
            </w:r>
          </w:p>
        </w:tc>
        <w:tc>
          <w:tcPr>
            <w:tcW w:w="0" w:type="dxa"/>
            <w:vAlign w:val="bottom"/>
          </w:tcPr>
          <w:p>
            <w:pPr>
              <w:spacing w:after="0"/>
              <w:rPr>
                <w:sz w:val="1"/>
                <w:szCs w:val="1"/>
                <w:color w:val="auto"/>
              </w:rPr>
            </w:pPr>
          </w:p>
        </w:tc>
      </w:tr>
      <w:tr>
        <w:trPr>
          <w:trHeight w:val="223"/>
        </w:trPr>
        <w:tc>
          <w:tcPr>
            <w:tcW w:w="85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00" w:type="dxa"/>
            <w:vAlign w:val="bottom"/>
          </w:tcPr>
          <w:p>
            <w:pPr>
              <w:spacing w:after="0"/>
              <w:rPr>
                <w:sz w:val="19"/>
                <w:szCs w:val="19"/>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36,460</w:t>
            </w:r>
          </w:p>
        </w:tc>
        <w:tc>
          <w:tcPr>
            <w:tcW w:w="420" w:type="dxa"/>
            <w:vAlign w:val="bottom"/>
          </w:tcPr>
          <w:p>
            <w:pPr>
              <w:spacing w:after="0"/>
              <w:rPr>
                <w:sz w:val="19"/>
                <w:szCs w:val="19"/>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80,127</w:t>
            </w:r>
          </w:p>
        </w:tc>
        <w:tc>
          <w:tcPr>
            <w:tcW w:w="0" w:type="dxa"/>
            <w:vAlign w:val="bottom"/>
          </w:tcPr>
          <w:p>
            <w:pPr>
              <w:spacing w:after="0"/>
              <w:rPr>
                <w:sz w:val="1"/>
                <w:szCs w:val="1"/>
                <w:color w:val="auto"/>
              </w:rPr>
            </w:pPr>
          </w:p>
        </w:tc>
      </w:tr>
      <w:tr>
        <w:trPr>
          <w:trHeight w:val="235"/>
        </w:trPr>
        <w:tc>
          <w:tcPr>
            <w:tcW w:w="85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99.35 %</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99.35 %</w:t>
            </w:r>
          </w:p>
        </w:tc>
        <w:tc>
          <w:tcPr>
            <w:tcW w:w="0" w:type="dxa"/>
            <w:vAlign w:val="bottom"/>
          </w:tcPr>
          <w:p>
            <w:pPr>
              <w:spacing w:after="0"/>
              <w:rPr>
                <w:sz w:val="1"/>
                <w:szCs w:val="1"/>
                <w:color w:val="auto"/>
              </w:rPr>
            </w:pPr>
          </w:p>
        </w:tc>
      </w:tr>
      <w:tr>
        <w:trPr>
          <w:trHeight w:val="217"/>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36,225</w:t>
            </w: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79,611</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15,711</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15,397</w:t>
            </w:r>
          </w:p>
        </w:tc>
        <w:tc>
          <w:tcPr>
            <w:tcW w:w="0" w:type="dxa"/>
            <w:vAlign w:val="bottom"/>
          </w:tcPr>
          <w:p>
            <w:pPr>
              <w:spacing w:after="0"/>
              <w:rPr>
                <w:sz w:val="1"/>
                <w:szCs w:val="1"/>
                <w:color w:val="auto"/>
              </w:rPr>
            </w:pPr>
          </w:p>
        </w:tc>
      </w:tr>
      <w:tr>
        <w:trPr>
          <w:trHeight w:val="227"/>
        </w:trPr>
        <w:tc>
          <w:tcPr>
            <w:tcW w:w="8560" w:type="dxa"/>
            <w:vAlign w:val="bottom"/>
          </w:tcPr>
          <w:p>
            <w:pPr>
              <w:ind w:left="220"/>
              <w:spacing w:after="0"/>
              <w:rPr>
                <w:sz w:val="20"/>
                <w:szCs w:val="20"/>
                <w:color w:val="auto"/>
              </w:rPr>
            </w:pPr>
            <w:r>
              <w:rPr>
                <w:rFonts w:ascii="Arial" w:cs="Arial" w:eastAsia="Arial" w:hAnsi="Arial"/>
                <w:sz w:val="16"/>
                <w:szCs w:val="16"/>
                <w:color w:val="auto"/>
              </w:rPr>
              <w:t>Numerator for basic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51,936</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95,008</w:t>
            </w:r>
          </w:p>
        </w:tc>
        <w:tc>
          <w:tcPr>
            <w:tcW w:w="0" w:type="dxa"/>
            <w:vAlign w:val="bottom"/>
          </w:tcPr>
          <w:p>
            <w:pPr>
              <w:spacing w:after="0"/>
              <w:rPr>
                <w:sz w:val="1"/>
                <w:szCs w:val="1"/>
                <w:color w:val="auto"/>
              </w:rPr>
            </w:pPr>
          </w:p>
        </w:tc>
      </w:tr>
      <w:tr>
        <w:trPr>
          <w:trHeight w:val="21"/>
        </w:trPr>
        <w:tc>
          <w:tcPr>
            <w:tcW w:w="856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56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8560" w:type="dxa"/>
            <w:vAlign w:val="bottom"/>
          </w:tcPr>
          <w:p>
            <w:pPr>
              <w:ind w:left="140"/>
              <w:spacing w:after="0"/>
              <w:rPr>
                <w:sz w:val="20"/>
                <w:szCs w:val="20"/>
                <w:color w:val="auto"/>
              </w:rPr>
            </w:pPr>
            <w:r>
              <w:rPr>
                <w:rFonts w:ascii="Arial" w:cs="Arial" w:eastAsia="Arial" w:hAnsi="Arial"/>
                <w:sz w:val="16"/>
                <w:szCs w:val="16"/>
                <w:color w:val="auto"/>
              </w:rPr>
              <w:t>Numerator for 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51,937</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95,009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6"/>
                <w:szCs w:val="16"/>
                <w:color w:val="auto"/>
              </w:rPr>
              <w:t>Denominator for basic earnings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b w:val="1"/>
                <w:bCs w:val="1"/>
                <w:color w:val="auto"/>
              </w:rPr>
              <w:t>4,759</w:t>
            </w:r>
          </w:p>
        </w:tc>
        <w:tc>
          <w:tcPr>
            <w:tcW w:w="420" w:type="dxa"/>
            <w:vAlign w:val="bottom"/>
          </w:tcPr>
          <w:p>
            <w:pPr>
              <w:spacing w:after="0"/>
              <w:rPr>
                <w:sz w:val="20"/>
                <w:szCs w:val="20"/>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4,871</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17</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7"/>
        </w:trPr>
        <w:tc>
          <w:tcPr>
            <w:tcW w:w="8560" w:type="dxa"/>
            <w:vAlign w:val="bottom"/>
          </w:tcPr>
          <w:p>
            <w:pPr>
              <w:ind w:left="140"/>
              <w:spacing w:after="0"/>
              <w:rPr>
                <w:sz w:val="20"/>
                <w:szCs w:val="20"/>
                <w:color w:val="auto"/>
              </w:rPr>
            </w:pPr>
            <w:r>
              <w:rPr>
                <w:rFonts w:ascii="Arial" w:cs="Arial" w:eastAsia="Arial" w:hAnsi="Arial"/>
                <w:sz w:val="16"/>
                <w:szCs w:val="16"/>
                <w:color w:val="auto"/>
              </w:rPr>
              <w:t>Denominator for diluted earnings per share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4,776</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4,885</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vMerge w:val="continue"/>
          </w:tcPr>
          <w:p>
            <w:pPr>
              <w:spacing w:after="0"/>
              <w:rPr>
                <w:sz w:val="18"/>
                <w:szCs w:val="18"/>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10.91</w:t>
            </w:r>
          </w:p>
        </w:tc>
        <w:tc>
          <w:tcPr>
            <w:tcW w:w="42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20"/>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42"/>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10.88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2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0"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color w:val="auto"/>
              </w:rPr>
              <w:t>2022</w:t>
            </w:r>
          </w:p>
        </w:tc>
      </w:tr>
      <w:tr>
        <w:trPr>
          <w:trHeight w:val="223"/>
        </w:trPr>
        <w:tc>
          <w:tcPr>
            <w:tcW w:w="882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400" w:type="dxa"/>
            <w:vAlign w:val="bottom"/>
          </w:tcPr>
          <w:p>
            <w:pPr>
              <w:jc w:val="right"/>
              <w:ind w:right="224"/>
              <w:spacing w:after="0"/>
              <w:rPr>
                <w:sz w:val="20"/>
                <w:szCs w:val="20"/>
                <w:color w:val="auto"/>
              </w:rPr>
            </w:pPr>
            <w:r>
              <w:rPr>
                <w:rFonts w:ascii="Arial" w:cs="Arial" w:eastAsia="Arial" w:hAnsi="Arial"/>
                <w:sz w:val="16"/>
                <w:szCs w:val="16"/>
                <w:b w:val="1"/>
                <w:bCs w:val="1"/>
                <w:color w:val="auto"/>
              </w:rPr>
              <w:t>10</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16</w:t>
            </w:r>
          </w:p>
        </w:tc>
      </w:tr>
    </w:tbl>
    <w:p>
      <w:pPr>
        <w:spacing w:after="0" w:line="23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diluted earnings per share amounts for the three months ended March 31, 2023 and March 31, 2022 exclude the effects of 105,000 stock options and contingently issuable shares outstanding as their inclusion would have been antidilutive due to a market condition.</w:t>
      </w:r>
    </w:p>
    <w:p>
      <w:pPr>
        <w:spacing w:after="0" w:line="8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three months ended March 31, 2023 and 2022, the Company declared regular dividends totaling $3.30 and $3.16 per common share,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9,243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6,031</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11,534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7,670</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(38,338)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(41,963)</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410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(10,140)</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(17,229)</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(27,291)</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(44,782)</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4,129</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(23,162)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(44,782)</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the first quarter of 2023, the Company recorded $4.1 million in expenses related to Separation Incentive Programs for certain Leaf Group and Code3 employees, which will be funded from the assets of the Company’s pension plans.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2022</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148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228</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1,165</w:t>
            </w:r>
          </w:p>
        </w:tc>
        <w:tc>
          <w:tcPr>
            <w:tcW w:w="4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822</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1,313</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1,225</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trustee. The assets of the Company’s pension plans were allocated as follows:</w:t>
      </w:r>
    </w:p>
    <w:p>
      <w:pPr>
        <w:spacing w:after="0" w:line="203"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207"/>
        </w:trPr>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800" w:type="dxa"/>
            <w:vAlign w:val="bottom"/>
          </w:tcPr>
          <w:p>
            <w:pPr>
              <w:jc w:val="center"/>
              <w:ind w:left="268"/>
              <w:spacing w:after="0"/>
              <w:rPr>
                <w:sz w:val="20"/>
                <w:szCs w:val="20"/>
                <w:color w:val="auto"/>
              </w:rPr>
            </w:pPr>
            <w:r>
              <w:rPr>
                <w:rFonts w:ascii="Arial" w:cs="Arial" w:eastAsia="Arial" w:hAnsi="Arial"/>
                <w:sz w:val="14"/>
                <w:szCs w:val="14"/>
                <w:color w:val="auto"/>
              </w:rPr>
              <w:t>December 31,</w:t>
            </w:r>
          </w:p>
        </w:tc>
      </w:tr>
      <w:tr>
        <w:trPr>
          <w:trHeight w:val="196"/>
        </w:trPr>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57 %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16 %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12 %</w:t>
      </w:r>
      <w:r>
        <w:rPr>
          <w:sz w:val="20"/>
          <w:szCs w:val="20"/>
          <w:color w:val="auto"/>
        </w:rPr>
        <w:tab/>
      </w:r>
      <w:r>
        <w:rPr>
          <w:rFonts w:ascii="Arial" w:cs="Arial" w:eastAsia="Arial" w:hAnsi="Arial"/>
          <w:sz w:val="15"/>
          <w:szCs w:val="15"/>
          <w:color w:val="auto"/>
        </w:rPr>
        <w:t>11 %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manages approximately 41% of the pension assets internally, of which the majority is invested in private investment funds with the remaining investments in Berkshire Hathaway stock, a U.S. stock index fund, and short-term fixed-income securities. The remaining 59%</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of plan assets are managed by two investment companies. The goal of the investment managers is to produce moderate long-term growth in the value of these assets, while protecting them against large decreases in value. Both investment managers may invest in a combination of</w:t>
      </w:r>
    </w:p>
    <w:p>
      <w:pPr>
        <w:spacing w:after="0" w:line="235"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w:t>
      </w:r>
    </w:p>
    <w:p>
      <w:pPr>
        <w:ind w:right="520"/>
        <w:spacing w:after="0"/>
        <w:rPr>
          <w:sz w:val="20"/>
          <w:szCs w:val="20"/>
          <w:color w:val="auto"/>
        </w:rPr>
      </w:pPr>
      <w:r>
        <w:rPr>
          <w:rFonts w:ascii="Arial" w:cs="Arial" w:eastAsia="Arial" w:hAnsi="Arial"/>
          <w:sz w:val="17"/>
          <w:szCs w:val="17"/>
          <w:color w:val="auto"/>
        </w:rPr>
        <w:t>investments. One investment manager cannot invest more than 15% of the assets at the time of purchase in the stock of Alphabet and Berkshire Hathaway, and no more than 30% of the assets it manages in specified international exchanges at the time the investment is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made. The other investment manager cannot invest more than 20% of the assets at the time of purchase in the stock of Berkshire Hathaway, and no more than 15% of the assets it manages in specified international exchanges at the time the investment is made, and no less than</w:t>
      </w:r>
    </w:p>
    <w:p>
      <w:pPr>
        <w:spacing w:after="0" w:line="235" w:lineRule="auto"/>
        <w:rPr>
          <w:sz w:val="20"/>
          <w:szCs w:val="20"/>
          <w:color w:val="auto"/>
        </w:rPr>
      </w:pPr>
      <w:r>
        <w:rPr>
          <w:rFonts w:ascii="Arial" w:cs="Arial" w:eastAsia="Arial" w:hAnsi="Arial"/>
          <w:sz w:val="18"/>
          <w:szCs w:val="18"/>
          <w:color w:val="auto"/>
        </w:rPr>
        <w:t>10% of the assets could be invested in fixed-income securities. Excluding the exceptions noted above, the investment managers cannot</w:t>
      </w:r>
    </w:p>
    <w:p>
      <w:pPr>
        <w:ind w:right="680"/>
        <w:spacing w:after="0" w:line="237" w:lineRule="auto"/>
        <w:rPr>
          <w:sz w:val="20"/>
          <w:szCs w:val="20"/>
          <w:color w:val="auto"/>
        </w:rPr>
      </w:pPr>
      <w:r>
        <w:rPr>
          <w:rFonts w:ascii="Arial" w:cs="Arial" w:eastAsia="Arial" w:hAnsi="Arial"/>
          <w:sz w:val="18"/>
          <w:szCs w:val="18"/>
          <w:color w:val="auto"/>
        </w:rPr>
        <w:t>invest more than 10% of the assets in the securities of any other single issuer, except for obligations of the U.S. Government, without receiving prior approval from the Plan administrator.</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than 10% of plan assets) of credit risk as of March 31, 2023. Types of concentrations that were evaluated include, but are not limited to, investment concentrations in a single entity, type of industry, foreign country and individual fund. At March 31, 2023, the pension plan held</w:t>
      </w:r>
    </w:p>
    <w:p>
      <w:pPr>
        <w:spacing w:after="0" w:line="235" w:lineRule="auto"/>
        <w:rPr>
          <w:sz w:val="20"/>
          <w:szCs w:val="20"/>
          <w:color w:val="auto"/>
        </w:rPr>
      </w:pPr>
      <w:r>
        <w:rPr>
          <w:rFonts w:ascii="Arial" w:cs="Arial" w:eastAsia="Arial" w:hAnsi="Arial"/>
          <w:sz w:val="18"/>
          <w:szCs w:val="18"/>
          <w:color w:val="auto"/>
        </w:rPr>
        <w:t>investments in one common stock and one private investment fund that exceeded 10% of total plan assets, valued at $876.6 million, or</w:t>
      </w:r>
    </w:p>
    <w:p>
      <w:pPr>
        <w:ind w:right="380"/>
        <w:spacing w:after="0" w:line="237" w:lineRule="auto"/>
        <w:rPr>
          <w:sz w:val="20"/>
          <w:szCs w:val="20"/>
          <w:color w:val="auto"/>
        </w:rPr>
      </w:pPr>
      <w:r>
        <w:rPr>
          <w:rFonts w:ascii="Arial" w:cs="Arial" w:eastAsia="Arial" w:hAnsi="Arial"/>
          <w:sz w:val="18"/>
          <w:szCs w:val="18"/>
          <w:color w:val="auto"/>
        </w:rPr>
        <w:t>approximately 33% of total plan assets. At December 31, 2022, the pension plan held investments in one common stock and one private investment fund that exceeded 10% of total plan assets, valued at $842.6 million, or approximately 33% of total plan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1765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spacing w:after="0"/>
        <w:tabs>
          <w:tab w:leader="none" w:pos="1040" w:val="left"/>
          <w:tab w:leader="none" w:pos="1420" w:val="left"/>
          <w:tab w:leader="none" w:pos="24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w:t>
      </w:r>
    </w:p>
    <w:p>
      <w:pPr>
        <w:spacing w:after="0" w:line="46" w:lineRule="exact"/>
        <w:rPr>
          <w:sz w:val="20"/>
          <w:szCs w:val="20"/>
          <w:color w:val="auto"/>
        </w:rPr>
      </w:pPr>
    </w:p>
    <w:p>
      <w:pPr>
        <w:ind w:left="2540" w:hanging="1449"/>
        <w:spacing w:after="0"/>
        <w:tabs>
          <w:tab w:leader="none" w:pos="25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(2)</w:t>
      </w:r>
    </w:p>
    <w:p>
      <w:pPr>
        <w:spacing w:after="0" w:line="46" w:lineRule="exact"/>
        <w:rPr>
          <w:sz w:val="20"/>
          <w:szCs w:val="20"/>
          <w:color w:val="auto"/>
        </w:rPr>
      </w:pPr>
    </w:p>
    <w:p>
      <w:pPr>
        <w:ind w:left="2360" w:hanging="1450"/>
        <w:spacing w:after="0"/>
        <w:tabs>
          <w:tab w:leader="none" w:pos="23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 w:lineRule="exact"/>
        <w:rPr>
          <w:sz w:val="20"/>
          <w:szCs w:val="20"/>
          <w:color w:val="auto"/>
        </w:rPr>
      </w:pPr>
    </w:p>
    <w:p>
      <w:pPr>
        <w:spacing w:after="0"/>
        <w:tabs>
          <w:tab w:leader="none" w:pos="900" w:val="left"/>
          <w:tab w:leader="none" w:pos="1420" w:val="left"/>
          <w:tab w:leader="none" w:pos="23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(605)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55245</wp:posOffset>
            </wp:positionV>
            <wp:extent cx="17659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60" w:space="720"/>
            <w:col w:w="2760"/>
          </w:cols>
          <w:pgMar w:left="320" w:top="931" w:right="3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4"/>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Gain on a cost method investment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1,831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(1,504)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business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1,000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785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investments in affiliates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Other gain,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956</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3,083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gain on cost method investment resulted from observable price changes in the fair value of the underlying equity securities accounted for under the cost method (see Notes 3 and 8).</w:t>
      </w:r>
    </w:p>
    <w:p>
      <w:pPr>
        <w:spacing w:after="0" w:line="10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three months ended March 31, 2023 and 2022, the Company recorded contingent consideration gains of $1.0 million and $0.9 million, respectively, related to the disposition of Kaplan University (KU)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10"/>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0"/>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4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Arial" w:cs="Arial" w:eastAsia="Arial" w:hAnsi="Arial"/>
                <w:sz w:val="14"/>
                <w:szCs w:val="14"/>
                <w:color w:val="auto"/>
                <w:w w:val="98"/>
              </w:rPr>
              <w:t>Before-Tax</w:t>
            </w:r>
          </w:p>
        </w:tc>
        <w:tc>
          <w:tcPr>
            <w:tcW w:w="240" w:type="dxa"/>
            <w:vAlign w:val="bottom"/>
          </w:tcPr>
          <w:p>
            <w:pPr>
              <w:spacing w:after="0"/>
              <w:rPr>
                <w:sz w:val="17"/>
                <w:szCs w:val="17"/>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7"/>
                <w:szCs w:val="17"/>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r>
      <w:tr>
        <w:trPr>
          <w:trHeight w:val="22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9"/>
              </w:rPr>
              <w:t>Tax</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4"/>
              </w:rPr>
              <w:t>Tax</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8,994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8,994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(1,738)</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2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409</w:t>
            </w:r>
          </w:p>
        </w:tc>
        <w:tc>
          <w:tcPr>
            <w:tcW w:w="22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(105)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304</w:t>
            </w:r>
          </w:p>
        </w:tc>
        <w:tc>
          <w:tcPr>
            <w:tcW w:w="2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716</w:t>
            </w:r>
          </w:p>
        </w:tc>
        <w:tc>
          <w:tcPr>
            <w:tcW w:w="24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532</w:t>
            </w: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(10,766)</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2,769</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(7,997)</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(17,774)</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4,581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(13,193)</w:t>
            </w:r>
          </w:p>
        </w:tc>
      </w:tr>
      <w:tr>
        <w:trPr>
          <w:trHeight w:val="220"/>
        </w:trPr>
        <w:tc>
          <w:tcPr>
            <w:tcW w:w="4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(10,357)</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2,664</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(7,693)</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(17,058)</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4,397</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(12,661)</w:t>
            </w:r>
          </w:p>
        </w:tc>
      </w:tr>
      <w:tr>
        <w:trPr>
          <w:trHeight w:val="214"/>
        </w:trPr>
        <w:tc>
          <w:tcPr>
            <w:tcW w:w="474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4740" w:type="dxa"/>
            <w:vAlign w:val="bottom"/>
          </w:tcPr>
          <w:p>
            <w:pPr>
              <w:ind w:left="140"/>
              <w:spacing w:after="0"/>
              <w:rPr>
                <w:sz w:val="20"/>
                <w:szCs w:val="20"/>
                <w:color w:val="auto"/>
              </w:rPr>
            </w:pPr>
            <w:r>
              <w:rPr>
                <w:rFonts w:ascii="Arial" w:cs="Arial" w:eastAsia="Arial" w:hAnsi="Arial"/>
                <w:sz w:val="16"/>
                <w:szCs w:val="16"/>
                <w:color w:val="auto"/>
              </w:rPr>
              <w:t>(Loss) gain for the period</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(930)</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214</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(716)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1,642</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(378)</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1,264</w:t>
            </w:r>
          </w:p>
        </w:tc>
      </w:tr>
      <w:tr>
        <w:trPr>
          <w:trHeight w:val="227"/>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2,878</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(13,135)</w:t>
            </w:r>
          </w:p>
        </w:tc>
      </w:tr>
      <w:tr>
        <w:trPr>
          <w:trHeight w:val="21"/>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1380" w:type="dxa"/>
            <w:vAlign w:val="bottom"/>
          </w:tcPr>
          <w:p>
            <w:pPr>
              <w:jc w:val="center"/>
              <w:ind w:right="144"/>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5"/>
        </w:trPr>
        <w:tc>
          <w:tcPr>
            <w:tcW w:w="5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(54,638)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388,591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2,198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336,151</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b w:val="1"/>
                <w:bCs w:val="1"/>
                <w:color w:val="auto"/>
              </w:rPr>
              <w:t>8,994</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(542)</w:t>
            </w:r>
          </w:p>
        </w:tc>
        <w:tc>
          <w:tcPr>
            <w:tcW w:w="20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8,452</w:t>
            </w:r>
          </w:p>
        </w:tc>
        <w:tc>
          <w:tcPr>
            <w:tcW w:w="0" w:type="dxa"/>
            <w:vAlign w:val="bottom"/>
          </w:tcPr>
          <w:p>
            <w:pPr>
              <w:spacing w:after="0"/>
              <w:rPr>
                <w:sz w:val="1"/>
                <w:szCs w:val="1"/>
                <w:color w:val="auto"/>
              </w:rPr>
            </w:pPr>
          </w:p>
        </w:tc>
      </w:tr>
      <w:tr>
        <w:trPr>
          <w:trHeight w:val="231"/>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(7,693)</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(7,867)</w:t>
            </w: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8,994</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(7,693)</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(716)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585</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(45,644)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380,898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336,736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480" w:type="dxa"/>
            <w:vAlign w:val="bottom"/>
          </w:tcPr>
          <w:p>
            <w:pPr>
              <w:spacing w:after="0"/>
              <w:rPr>
                <w:sz w:val="14"/>
                <w:szCs w:val="14"/>
                <w:color w:val="auto"/>
              </w:rPr>
            </w:pPr>
          </w:p>
        </w:tc>
      </w:tr>
      <w:tr>
        <w:trPr>
          <w:trHeight w:val="197"/>
        </w:trPr>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7"/>
                <w:szCs w:val="17"/>
                <w:color w:val="auto"/>
              </w:rPr>
            </w:pPr>
          </w:p>
        </w:tc>
        <w:tc>
          <w:tcPr>
            <w:tcW w:w="3480" w:type="dxa"/>
            <w:vAlign w:val="bottom"/>
          </w:tcPr>
          <w:p>
            <w:pPr>
              <w:ind w:left="540"/>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2022</w:t>
            </w:r>
          </w:p>
        </w:tc>
        <w:tc>
          <w:tcPr>
            <w:tcW w:w="34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Consolidated Statements of Operations</w:t>
            </w:r>
          </w:p>
        </w:tc>
      </w:tr>
      <w:tr>
        <w:trPr>
          <w:trHeight w:val="217"/>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9"/>
        </w:trPr>
        <w:tc>
          <w:tcPr>
            <w:tcW w:w="568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b w:val="1"/>
                <w:bCs w:val="1"/>
                <w:color w:val="auto"/>
              </w:rPr>
              <w:t>409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716</w:t>
            </w:r>
          </w:p>
        </w:tc>
        <w:tc>
          <w:tcPr>
            <w:tcW w:w="3480" w:type="dxa"/>
            <w:vAlign w:val="bottom"/>
          </w:tcPr>
          <w:p>
            <w:pPr>
              <w:ind w:left="120"/>
              <w:spacing w:after="0"/>
              <w:rPr>
                <w:sz w:val="20"/>
                <w:szCs w:val="20"/>
                <w:color w:val="auto"/>
              </w:rPr>
            </w:pPr>
            <w:r>
              <w:rPr>
                <w:rFonts w:ascii="Arial" w:cs="Arial" w:eastAsia="Arial" w:hAnsi="Arial"/>
                <w:sz w:val="14"/>
                <w:szCs w:val="14"/>
                <w:color w:val="auto"/>
              </w:rPr>
              <w:t>(1)</w:t>
            </w:r>
          </w:p>
        </w:tc>
      </w:tr>
      <w:tr>
        <w:trPr>
          <w:trHeight w:val="233"/>
        </w:trPr>
        <w:tc>
          <w:tcPr>
            <w:tcW w:w="568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(10,766)</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(17,774)</w:t>
            </w:r>
          </w:p>
        </w:tc>
        <w:tc>
          <w:tcPr>
            <w:tcW w:w="3480" w:type="dxa"/>
            <w:vAlign w:val="bottom"/>
          </w:tcPr>
          <w:p>
            <w:pPr>
              <w:ind w:left="120"/>
              <w:spacing w:after="0"/>
              <w:rPr>
                <w:sz w:val="20"/>
                <w:szCs w:val="20"/>
                <w:color w:val="auto"/>
              </w:rPr>
            </w:pPr>
            <w:r>
              <w:rPr>
                <w:rFonts w:ascii="Arial" w:cs="Arial" w:eastAsia="Arial" w:hAnsi="Arial"/>
                <w:sz w:val="14"/>
                <w:szCs w:val="14"/>
                <w:color w:val="auto"/>
              </w:rPr>
              <w:t>(1)</w:t>
            </w:r>
          </w:p>
        </w:tc>
      </w:tr>
      <w:tr>
        <w:trPr>
          <w:trHeight w:val="220"/>
        </w:trPr>
        <w:tc>
          <w:tcPr>
            <w:tcW w:w="5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(10,357)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(17,058)</w:t>
            </w:r>
          </w:p>
        </w:tc>
        <w:tc>
          <w:tcPr>
            <w:tcW w:w="3480" w:type="dxa"/>
            <w:vAlign w:val="bottom"/>
          </w:tcPr>
          <w:p>
            <w:pPr>
              <w:ind w:left="120"/>
              <w:spacing w:after="0"/>
              <w:rPr>
                <w:sz w:val="20"/>
                <w:szCs w:val="20"/>
                <w:color w:val="auto"/>
              </w:rPr>
            </w:pPr>
            <w:r>
              <w:rPr>
                <w:rFonts w:ascii="Arial" w:cs="Arial" w:eastAsia="Arial" w:hAnsi="Arial"/>
                <w:sz w:val="14"/>
                <w:szCs w:val="14"/>
                <w:color w:val="auto"/>
              </w:rPr>
              <w:t>Before tax</w:t>
            </w:r>
          </w:p>
        </w:tc>
      </w:tr>
      <w:tr>
        <w:trPr>
          <w:trHeight w:val="233"/>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2,664</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w:t>
            </w:r>
          </w:p>
        </w:tc>
        <w:tc>
          <w:tcPr>
            <w:tcW w:w="34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r>
      <w:tr>
        <w:trPr>
          <w:trHeight w:val="220"/>
        </w:trPr>
        <w:tc>
          <w:tcPr>
            <w:tcW w:w="5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(7,693)</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(12,661)</w:t>
            </w:r>
          </w:p>
        </w:tc>
        <w:tc>
          <w:tcPr>
            <w:tcW w:w="3480" w:type="dxa"/>
            <w:vAlign w:val="bottom"/>
          </w:tcPr>
          <w:p>
            <w:pPr>
              <w:ind w:left="120"/>
              <w:spacing w:after="0"/>
              <w:rPr>
                <w:sz w:val="20"/>
                <w:szCs w:val="20"/>
                <w:color w:val="auto"/>
              </w:rPr>
            </w:pPr>
            <w:r>
              <w:rPr>
                <w:rFonts w:ascii="Arial" w:cs="Arial" w:eastAsia="Arial" w:hAnsi="Arial"/>
                <w:sz w:val="14"/>
                <w:szCs w:val="14"/>
                <w:color w:val="auto"/>
              </w:rPr>
              <w:t>Net of Tax</w:t>
            </w:r>
          </w:p>
        </w:tc>
      </w:tr>
      <w:tr>
        <w:trPr>
          <w:trHeight w:val="226"/>
        </w:trPr>
        <w:tc>
          <w:tcPr>
            <w:tcW w:w="568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3480" w:type="dxa"/>
            <w:vAlign w:val="bottom"/>
          </w:tcPr>
          <w:p>
            <w:pPr>
              <w:ind w:left="120"/>
              <w:spacing w:after="0"/>
              <w:rPr>
                <w:sz w:val="20"/>
                <w:szCs w:val="20"/>
                <w:color w:val="auto"/>
              </w:rPr>
            </w:pPr>
            <w:r>
              <w:rPr>
                <w:rFonts w:ascii="Arial" w:cs="Arial" w:eastAsia="Arial" w:hAnsi="Arial"/>
                <w:sz w:val="14"/>
                <w:szCs w:val="14"/>
                <w:color w:val="auto"/>
              </w:rPr>
              <w:t>Interest expense</w:t>
            </w:r>
          </w:p>
        </w:tc>
      </w:tr>
      <w:tr>
        <w:trPr>
          <w:trHeight w:val="22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(7,867)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(12,477)</w:t>
            </w:r>
          </w:p>
        </w:tc>
        <w:tc>
          <w:tcPr>
            <w:tcW w:w="3480" w:type="dxa"/>
            <w:vAlign w:val="bottom"/>
          </w:tcPr>
          <w:p>
            <w:pPr>
              <w:ind w:left="120"/>
              <w:spacing w:after="0"/>
              <w:rPr>
                <w:sz w:val="20"/>
                <w:szCs w:val="20"/>
                <w:color w:val="auto"/>
              </w:rPr>
            </w:pPr>
            <w:r>
              <w:rPr>
                <w:rFonts w:ascii="Arial" w:cs="Arial" w:eastAsia="Arial" w:hAnsi="Arial"/>
                <w:sz w:val="14"/>
                <w:szCs w:val="14"/>
                <w:color w:val="auto"/>
              </w:rPr>
              <w:t>Net of Tax</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 w:lineRule="exact"/>
        <w:rPr>
          <w:sz w:val="20"/>
          <w:szCs w:val="20"/>
          <w:color w:val="auto"/>
        </w:rPr>
      </w:pPr>
    </w:p>
    <w:p>
      <w:pPr>
        <w:ind w:left="420" w:right="120" w:hanging="412"/>
        <w:spacing w:after="0" w:line="264" w:lineRule="auto"/>
        <w:tabs>
          <w:tab w:leader="none" w:pos="34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ind w:right="420"/>
        <w:spacing w:after="0"/>
        <w:rPr>
          <w:sz w:val="20"/>
          <w:szCs w:val="20"/>
          <w:color w:val="auto"/>
        </w:rPr>
      </w:pPr>
      <w:r>
        <w:rPr>
          <w:rFonts w:ascii="Arial" w:cs="Arial" w:eastAsia="Arial" w:hAnsi="Arial"/>
          <w:sz w:val="17"/>
          <w:szCs w:val="17"/>
          <w:color w:val="auto"/>
        </w:rPr>
        <w:t>negligence, libel, defamation and invasion of privacy; trademark, copyright and patent infringement; violations of employment laws and applicable wage and hour laws; and statutory or common law claims involving current and former students and employees. Although the</w:t>
      </w:r>
    </w:p>
    <w:p>
      <w:pPr>
        <w:spacing w:after="0" w:line="235" w:lineRule="auto"/>
        <w:rPr>
          <w:sz w:val="20"/>
          <w:szCs w:val="20"/>
          <w:color w:val="auto"/>
        </w:rPr>
      </w:pPr>
      <w:r>
        <w:rPr>
          <w:rFonts w:ascii="Arial" w:cs="Arial" w:eastAsia="Arial" w:hAnsi="Arial"/>
          <w:sz w:val="18"/>
          <w:szCs w:val="18"/>
          <w:color w:val="auto"/>
        </w:rPr>
        <w:t>outcomes of the legal claims and proceedings against the Company cannot be predicted with certainty, based on currently available</w:t>
      </w:r>
    </w:p>
    <w:p>
      <w:pPr>
        <w:ind w:right="80"/>
        <w:spacing w:after="0"/>
        <w:rPr>
          <w:sz w:val="20"/>
          <w:szCs w:val="20"/>
          <w:color w:val="auto"/>
        </w:rPr>
      </w:pPr>
      <w:r>
        <w:rPr>
          <w:rFonts w:ascii="Arial" w:cs="Arial" w:eastAsia="Arial" w:hAnsi="Arial"/>
          <w:sz w:val="17"/>
          <w:szCs w:val="17"/>
          <w:color w:val="auto"/>
        </w:rPr>
        <w:t>information, management believes that there are no existing claims or proceedings that are likely to have a material effect on the Company’s business, financial condition, results of operations or cash flows. However, based on currently available information, management believes it</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is reasonably possible that future losses from existing and threatened legal, regulatory and other proceedings in excess of the amounts recorded could reach approximately $15 million.</w:t>
      </w:r>
    </w:p>
    <w:p>
      <w:pPr>
        <w:spacing w:after="0" w:line="10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In 2015, Kaplan sold substantially all of the assets of the KHE Campuses (KHEC) business to Education Corporation of America. In 2018, certain subsidiaries of Kaplan contributed the institutional assets and operations of KU to a new university: an Indiana nonprofit, public-</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benefit corporation affiliated with Purdue University, known as Purdue University Global. Kaplan could be held liable to the current owners of KU and the KHEC schools related to the pre-sale conduct of the schools, and the pre-sale conduct of the schools has been and could be the</w:t>
      </w:r>
    </w:p>
    <w:p>
      <w:pPr>
        <w:spacing w:after="0" w:line="236" w:lineRule="auto"/>
        <w:rPr>
          <w:sz w:val="20"/>
          <w:szCs w:val="20"/>
          <w:color w:val="auto"/>
        </w:rPr>
      </w:pPr>
      <w:r>
        <w:rPr>
          <w:rFonts w:ascii="Arial" w:cs="Arial" w:eastAsia="Arial" w:hAnsi="Arial"/>
          <w:sz w:val="18"/>
          <w:szCs w:val="18"/>
          <w:color w:val="auto"/>
        </w:rPr>
        <w:t>subject of future compliance reviews, regulatory proceedings or lawsuits that could result in monetary liabilities or fines or other sanctions. On</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May 6, 2021, Kaplan received a notice from the Department of Education (ED) that it would be conducting a fact-finding process pursuant to the borrower defense to repayment (BDTR) regulations to determine the validity of more than 800 BDTR claims and a request for documents</w:t>
      </w:r>
    </w:p>
    <w:p>
      <w:pPr>
        <w:spacing w:after="0" w:line="236" w:lineRule="auto"/>
        <w:rPr>
          <w:sz w:val="20"/>
          <w:szCs w:val="20"/>
          <w:color w:val="auto"/>
        </w:rPr>
      </w:pPr>
      <w:r>
        <w:rPr>
          <w:rFonts w:ascii="Arial" w:cs="Arial" w:eastAsia="Arial" w:hAnsi="Arial"/>
          <w:sz w:val="18"/>
          <w:szCs w:val="18"/>
          <w:color w:val="auto"/>
        </w:rPr>
        <w:t>related to several of Kaplan’s previously owned schools. Beginning in July 2021, Kaplan started receiving the claims and related information</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requests. In total, Kaplan received 1,449 borrower defense applications that seek discharge of approximately $35 million in loans, excluding interest. Most claims received are from former KU students. The ED’s process for adjudicating these claims is subject to the borrower</w:t>
      </w:r>
    </w:p>
    <w:p>
      <w:pPr>
        <w:spacing w:after="0" w:line="236" w:lineRule="auto"/>
        <w:rPr>
          <w:sz w:val="20"/>
          <w:szCs w:val="20"/>
          <w:color w:val="auto"/>
        </w:rPr>
      </w:pPr>
      <w:r>
        <w:rPr>
          <w:rFonts w:ascii="Arial" w:cs="Arial" w:eastAsia="Arial" w:hAnsi="Arial"/>
          <w:sz w:val="18"/>
          <w:szCs w:val="18"/>
          <w:color w:val="auto"/>
        </w:rPr>
        <w:t>defense regulations including those finalized in 2022 and effective July 1, 2023, but it is not clear to what extent the ED will exclude claims</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based on the underlying statutes of limitations, evidence provided by Kaplan, or any prior investigation related to schools attended by the student applicants. Compared to the previous rule, the new rule in part, expands actions that can give rise to claims for discharge; provides</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that the borrower’s claim will be presumed true if the institution does not provide any responsive evidence; provides an easier process for group claims; and relies on current program review penalty hearing processes for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discharge recoupment. Under the rule, the recoupment process applies only to loans first disbursed after July 1, 2023; however, the</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discharge process and standards apply to any pending application regardless of loan date. Kaplan believes it has defenses that would bar any student discharge or school liability including that the claims are barred by the applicable statute of limitations, unproven, incomplete and</w:t>
      </w:r>
    </w:p>
    <w:p>
      <w:pPr>
        <w:spacing w:after="0" w:line="236" w:lineRule="auto"/>
        <w:rPr>
          <w:sz w:val="20"/>
          <w:szCs w:val="20"/>
          <w:color w:val="auto"/>
        </w:rPr>
      </w:pPr>
      <w:r>
        <w:rPr>
          <w:rFonts w:ascii="Arial" w:cs="Arial" w:eastAsia="Arial" w:hAnsi="Arial"/>
          <w:sz w:val="18"/>
          <w:szCs w:val="18"/>
          <w:color w:val="auto"/>
        </w:rPr>
        <w:t>fail to meet regulatory filing requirements. Kaplan expects to vigorously defend any attempt by the ED to hold Kaplan liable for any ultimate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student discharges and has responded to all claims with documentary and narrative evidence to refute the allegations, demonstrate their lack of merit, and support the denial of all such claims by the ED. If the claims are successful, the ED may seek reimbursement for the amount</w:t>
      </w:r>
    </w:p>
    <w:p>
      <w:pPr>
        <w:spacing w:after="0" w:line="236" w:lineRule="auto"/>
        <w:rPr>
          <w:sz w:val="20"/>
          <w:szCs w:val="20"/>
          <w:color w:val="auto"/>
        </w:rPr>
      </w:pPr>
      <w:r>
        <w:rPr>
          <w:rFonts w:ascii="Arial" w:cs="Arial" w:eastAsia="Arial" w:hAnsi="Arial"/>
          <w:sz w:val="18"/>
          <w:szCs w:val="18"/>
          <w:color w:val="auto"/>
        </w:rPr>
        <w:t>discharged from Kaplan. If the ED initiates a reimbursement action against Kaplan following approval of former students’ BDTR applications,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 xml:space="preserve">Kaplan may be subject to significant liability. In November 2022 the Northern District of California approved the settlement agreement in the lawsuit </w:t>
      </w:r>
      <w:r>
        <w:rPr>
          <w:rFonts w:ascii="Arial" w:cs="Arial" w:eastAsia="Arial" w:hAnsi="Arial"/>
          <w:sz w:val="17"/>
          <w:szCs w:val="17"/>
          <w:i w:val="1"/>
          <w:iCs w:val="1"/>
          <w:color w:val="auto"/>
        </w:rPr>
        <w:t>Sweet v. Cardona</w:t>
      </w:r>
      <w:r>
        <w:rPr>
          <w:rFonts w:ascii="Arial" w:cs="Arial" w:eastAsia="Arial" w:hAnsi="Arial"/>
          <w:sz w:val="17"/>
          <w:szCs w:val="17"/>
          <w:color w:val="auto"/>
        </w:rPr>
        <w:t>. The Plaintiffs in that lawsuit claimed that the ED failed to properly consider and decide pending BDTR claims. As</w:t>
      </w:r>
    </w:p>
    <w:p>
      <w:pPr>
        <w:spacing w:after="0" w:line="235" w:lineRule="auto"/>
        <w:rPr>
          <w:sz w:val="20"/>
          <w:szCs w:val="20"/>
          <w:color w:val="auto"/>
        </w:rPr>
      </w:pPr>
      <w:r>
        <w:rPr>
          <w:rFonts w:ascii="Arial" w:cs="Arial" w:eastAsia="Arial" w:hAnsi="Arial"/>
          <w:sz w:val="18"/>
          <w:szCs w:val="18"/>
          <w:color w:val="auto"/>
        </w:rPr>
        <w:t>part of the settlement, the ED agreed to discharge loans of borrowers who attended 150 specific schools, including all schools formerly</w:t>
      </w:r>
    </w:p>
    <w:p>
      <w:pPr>
        <w:ind w:right="360"/>
        <w:spacing w:after="0" w:line="226" w:lineRule="auto"/>
        <w:rPr>
          <w:sz w:val="20"/>
          <w:szCs w:val="20"/>
          <w:color w:val="auto"/>
        </w:rPr>
      </w:pPr>
      <w:r>
        <w:rPr>
          <w:rFonts w:ascii="Arial" w:cs="Arial" w:eastAsia="Arial" w:hAnsi="Arial"/>
          <w:sz w:val="18"/>
          <w:szCs w:val="18"/>
          <w:color w:val="auto"/>
        </w:rPr>
        <w:t>owned by Kaplan, and who had BDTR claims pending as of the June 22, 2022 settlement execution date. This discharge will likely cover each of the 1,449 applications the ED sent to Kaplan and to which Kaplan responded. The ED and the Court made clear that these</w:t>
      </w:r>
    </w:p>
    <w:p>
      <w:pPr>
        <w:spacing w:after="0" w:line="236" w:lineRule="auto"/>
        <w:rPr>
          <w:sz w:val="20"/>
          <w:szCs w:val="20"/>
          <w:color w:val="auto"/>
        </w:rPr>
      </w:pPr>
      <w:r>
        <w:rPr>
          <w:rFonts w:ascii="Arial" w:cs="Arial" w:eastAsia="Arial" w:hAnsi="Arial"/>
          <w:sz w:val="18"/>
          <w:szCs w:val="18"/>
          <w:color w:val="auto"/>
        </w:rPr>
        <w:t>discharges as part of a settlement are not determinations that the pending BDTR claims are valid and the fact of the settlement discharge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cannot be used as evidence of any determination of wrongdoing by the institutions. However, despite the fact that the loans are discharged per the settlement, the ED may still attempt to separately adjudicate the associated BDTR claims and follow the regulatory process for</w:t>
      </w:r>
    </w:p>
    <w:p>
      <w:pPr>
        <w:spacing w:after="0" w:line="235" w:lineRule="auto"/>
        <w:rPr>
          <w:sz w:val="20"/>
          <w:szCs w:val="20"/>
          <w:color w:val="auto"/>
        </w:rPr>
      </w:pPr>
      <w:r>
        <w:rPr>
          <w:rFonts w:ascii="Arial" w:cs="Arial" w:eastAsia="Arial" w:hAnsi="Arial"/>
          <w:sz w:val="18"/>
          <w:szCs w:val="18"/>
          <w:color w:val="auto"/>
        </w:rPr>
        <w:t>seeking recoupment from the institutions for such claims. On October 27, 2022, the ED released a final rule that among other things,</w:t>
      </w:r>
    </w:p>
    <w:p>
      <w:pPr>
        <w:ind w:right="360"/>
        <w:spacing w:after="0"/>
        <w:rPr>
          <w:sz w:val="20"/>
          <w:szCs w:val="20"/>
          <w:color w:val="auto"/>
        </w:rPr>
      </w:pPr>
      <w:r>
        <w:rPr>
          <w:rFonts w:ascii="Arial" w:cs="Arial" w:eastAsia="Arial" w:hAnsi="Arial"/>
          <w:sz w:val="17"/>
          <w:szCs w:val="17"/>
          <w:color w:val="auto"/>
        </w:rPr>
        <w:t>changes the Title IV definition of “Nonprofit” institution to generally exclude from that definition any institution that is an obligor on a debt owed to a former owner of the institution or that maintains a revenue-based service agreement with a former owner of the institution.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final rule has an effective date of July 1, 2023 and could subject Purdue Global to additional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3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205"/>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2022</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378,041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358,012</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112,877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123,419</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114,584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115,940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102,059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67,255</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232,561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150,967</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92,008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99,617</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(584)</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1,031,546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914,721</w:t>
            </w:r>
          </w:p>
        </w:tc>
      </w:tr>
      <w:tr>
        <w:trPr>
          <w:trHeight w:val="236"/>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 Assets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27,456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24,558</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29,945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41,258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12,190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15,138</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3,890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10,843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7,078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(27,906)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(27,430)</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(13,007)</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42,345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54,883</w:t>
            </w:r>
          </w:p>
        </w:tc>
      </w:tr>
      <w:tr>
        <w:trPr>
          <w:trHeight w:val="208"/>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4,416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4,146</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1,362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4,862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5,163</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954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3,095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3,314</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14,689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14,912</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23,040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20,412</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28,583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39,898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7,328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9,975</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2,936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6,359</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10,843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7,078</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(31,001)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(30,744)</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(13,007)</w:t>
            </w:r>
          </w:p>
        </w:tc>
      </w:tr>
      <w:tr>
        <w:trPr>
          <w:trHeight w:val="220"/>
        </w:trPr>
        <w:tc>
          <w:tcPr>
            <w:tcW w:w="8600" w:type="dxa"/>
            <w:vAlign w:val="bottom"/>
          </w:tcPr>
          <w:p>
            <w:pPr>
              <w:spacing w:after="0"/>
              <w:rPr>
                <w:sz w:val="19"/>
                <w:szCs w:val="19"/>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27,656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39,971</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4,661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2,604</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(13,090)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(10,702)</w:t>
            </w:r>
          </w:p>
        </w:tc>
      </w:tr>
      <w:tr>
        <w:trPr>
          <w:trHeight w:val="230"/>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31,845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50,505</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Gain on Marketable Equity Securities, Net</w:t>
            </w:r>
          </w:p>
        </w:tc>
        <w:tc>
          <w:tcPr>
            <w:tcW w:w="3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18,022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46,912</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3,083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w:t>
            </w:r>
          </w:p>
        </w:tc>
      </w:tr>
      <w:tr>
        <w:trPr>
          <w:trHeight w:val="227"/>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72,177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132,166</w:t>
            </w:r>
          </w:p>
        </w:tc>
      </w:tr>
      <w:tr>
        <w:trPr>
          <w:trHeight w:val="20"/>
        </w:trPr>
        <w:tc>
          <w:tcPr>
            <w:tcW w:w="8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2" w:name="page23"/>
    <w:bookmarkEnd w:id="22"/>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0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8,968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8,505</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3,036</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3,289</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2,282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2,428</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1,104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1,113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3,369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3,915</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153</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20,025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19,475</w:t>
            </w:r>
          </w:p>
        </w:tc>
      </w:tr>
      <w:tr>
        <w:trPr>
          <w:trHeight w:val="22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2,198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860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926</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4,357</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572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976</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w:t>
            </w:r>
          </w:p>
        </w:tc>
      </w:tr>
      <w:tr>
        <w:trPr>
          <w:trHeight w:val="237"/>
        </w:trPr>
        <w:tc>
          <w:tcPr>
            <w:tcW w:w="8600" w:type="dxa"/>
            <w:vAlign w:val="bottom"/>
          </w:tcPr>
          <w:p>
            <w:pPr>
              <w:spacing w:after="0"/>
              <w:rPr>
                <w:sz w:val="20"/>
                <w:szCs w:val="20"/>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9,243</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2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1,952,768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1,987,042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424,185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431,084</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488,192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486,487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255,542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249,845</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440,036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427,221</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445,409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475,583</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66,087</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70,567</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4,072,219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4,127,829</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603,543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194,960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186,419</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1,671,477</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1,658,046</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6,542,199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6,582,215</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89"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205"/>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2022</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227,076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204,513</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76,345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75,808</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73,587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76,304</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5,375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4,345</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(4,342)</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378,041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358,012</w:t>
            </w:r>
          </w:p>
        </w:tc>
      </w:tr>
      <w:tr>
        <w:trPr>
          <w:trHeight w:val="161"/>
        </w:trPr>
        <w:tc>
          <w:tcPr>
            <w:tcW w:w="86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3"/>
        </w:trPr>
        <w:tc>
          <w:tcPr>
            <w:tcW w:w="8600" w:type="dxa"/>
            <w:vAlign w:val="bottom"/>
          </w:tcPr>
          <w:p>
            <w:pPr>
              <w:ind w:left="18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21,301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20,564</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6,661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5,037</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3,751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3,371</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(4,416)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(4,433)</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27,456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24,558</w:t>
            </w:r>
          </w:p>
        </w:tc>
      </w:tr>
      <w:tr>
        <w:trPr>
          <w:trHeight w:val="22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3,939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4,146</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21,301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20,564</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6,661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5,037</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3,751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3,371</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(8,832)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(8,579)</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23,040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20,412</w:t>
            </w:r>
          </w:p>
        </w:tc>
      </w:tr>
      <w:tr>
        <w:trPr>
          <w:trHeight w:val="22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6,330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5,755</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996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1,509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1,639</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20"/>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8,968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8,505</w:t>
            </w:r>
          </w:p>
        </w:tc>
      </w:tr>
      <w:tr>
        <w:trPr>
          <w:trHeight w:val="222"/>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9"/>
        </w:trPr>
        <w:tc>
          <w:tcPr>
            <w:tcW w:w="86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30"/>
        </w:trPr>
        <w:tc>
          <w:tcPr>
            <w:tcW w:w="860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3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1,024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33"/>
        </w:trPr>
        <w:tc>
          <w:tcPr>
            <w:tcW w:w="86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23"/>
        </w:trPr>
        <w:tc>
          <w:tcPr>
            <w:tcW w:w="8600" w:type="dxa"/>
            <w:vAlign w:val="bottom"/>
          </w:tcPr>
          <w:p>
            <w:pPr>
              <w:spacing w:after="0"/>
              <w:rPr>
                <w:sz w:val="19"/>
                <w:szCs w:val="19"/>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2,198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2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1,449,063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1,479,833</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182,720</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174,033</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256,050</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268,499</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64,935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64,677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1,952,768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1,987,042</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reported net income attributable to common shares of $52.3 million ($10.88 per share) for the first quarter of 2023, compared to $95.6 million ($19.45 per share) for the first quarter of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2023:</w:t>
      </w:r>
    </w:p>
    <w:p>
      <w:pPr>
        <w:spacing w:after="0" w:line="158" w:lineRule="exact"/>
        <w:rPr>
          <w:sz w:val="20"/>
          <w:szCs w:val="20"/>
          <w:color w:val="auto"/>
        </w:rPr>
      </w:pPr>
    </w:p>
    <w:p>
      <w:pPr>
        <w:ind w:left="180" w:right="500" w:hanging="172"/>
        <w:spacing w:after="0" w:line="271"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$4.1 million in expenses related to non-operating Separation Incentive Programs (SIPs) at other businesses (after-tax impact of $3.1 million, or $0.64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$18.0 million in net gains on marketable equity securities (after-tax impact of $13.3 million, or $2.76 per share);</w:t>
      </w:r>
    </w:p>
    <w:p>
      <w:pPr>
        <w:spacing w:after="0" w:line="157" w:lineRule="exact"/>
        <w:rPr>
          <w:rFonts w:ascii="Arial" w:cs="Arial" w:eastAsia="Arial" w:hAnsi="Arial"/>
          <w:sz w:val="18"/>
          <w:szCs w:val="18"/>
          <w:color w:val="auto"/>
        </w:rPr>
      </w:pPr>
    </w:p>
    <w:p>
      <w:pPr>
        <w:ind w:left="180" w:right="160" w:hanging="172"/>
        <w:spacing w:after="0" w:line="271"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 million in net earnings of affiliates whose operations are not managed by the Company (after-tax impact of $1.3 million, or $0.28 per share);</w:t>
      </w:r>
    </w:p>
    <w:p>
      <w:pPr>
        <w:spacing w:after="0" w:line="86" w:lineRule="exact"/>
        <w:rPr>
          <w:rFonts w:ascii="Arial" w:cs="Arial" w:eastAsia="Arial" w:hAnsi="Arial"/>
          <w:sz w:val="18"/>
          <w:szCs w:val="18"/>
          <w:color w:val="auto"/>
        </w:rPr>
      </w:pPr>
    </w:p>
    <w:p>
      <w:pPr>
        <w:ind w:left="180" w:right="340" w:hanging="172"/>
        <w:spacing w:after="0" w:line="271"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non-operating gain of $2.6 million from the write-up and sale of a cost method investment (after-tax impact of $2.0 million, or $0.41 per share); and</w:t>
      </w:r>
    </w:p>
    <w:p>
      <w:pPr>
        <w:spacing w:after="0" w:line="99" w:lineRule="exact"/>
        <w:rPr>
          <w:rFonts w:ascii="Arial" w:cs="Arial" w:eastAsia="Arial" w:hAnsi="Arial"/>
          <w:sz w:val="18"/>
          <w:szCs w:val="18"/>
          <w:color w:val="auto"/>
        </w:rPr>
      </w:pPr>
    </w:p>
    <w:p>
      <w:pPr>
        <w:ind w:left="180" w:right="500" w:hanging="172"/>
        <w:spacing w:after="0" w:line="256"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 million in interest expense to adjust the fair value of the mandatorily redeemable noncontrolling interest (after-tax impact of $1.4 million, or $0.29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2022:</w:t>
      </w:r>
    </w:p>
    <w:p>
      <w:pPr>
        <w:spacing w:after="0" w:line="158"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$46.9 million in net gains on marketable equity securities (after-tax impact of $34.7 million, or $7.05 per share);</w:t>
      </w:r>
    </w:p>
    <w:p>
      <w:pPr>
        <w:spacing w:after="0" w:line="144" w:lineRule="exact"/>
        <w:rPr>
          <w:rFonts w:ascii="Arial" w:cs="Arial" w:eastAsia="Arial" w:hAnsi="Arial"/>
          <w:sz w:val="18"/>
          <w:szCs w:val="18"/>
          <w:color w:val="auto"/>
        </w:rPr>
      </w:pPr>
    </w:p>
    <w:p>
      <w:pPr>
        <w:ind w:left="180" w:right="160" w:hanging="172"/>
        <w:spacing w:after="0" w:line="271"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$0.4 million in net earnings of affiliates whose operations are not managed by the Company (after-tax impact of $0.3 million, or $0.05 per share);</w:t>
      </w:r>
    </w:p>
    <w:p>
      <w:pPr>
        <w:spacing w:after="0" w:line="86" w:lineRule="exact"/>
        <w:rPr>
          <w:rFonts w:ascii="Arial" w:cs="Arial" w:eastAsia="Arial" w:hAnsi="Arial"/>
          <w:sz w:val="18"/>
          <w:szCs w:val="18"/>
          <w:color w:val="auto"/>
        </w:rPr>
      </w:pPr>
    </w:p>
    <w:p>
      <w:pPr>
        <w:ind w:left="180" w:right="240" w:hanging="172"/>
        <w:spacing w:after="0" w:line="271"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99" w:lineRule="exact"/>
        <w:rPr>
          <w:rFonts w:ascii="Arial" w:cs="Arial" w:eastAsia="Arial" w:hAnsi="Arial"/>
          <w:sz w:val="18"/>
          <w:szCs w:val="18"/>
          <w:color w:val="auto"/>
        </w:rPr>
      </w:pPr>
    </w:p>
    <w:p>
      <w:pPr>
        <w:ind w:left="180" w:right="500" w:hanging="172"/>
        <w:spacing w:after="0" w:line="256"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$3.4 million in interest expense to adjust the fair value of the mandatorily redeemable noncontrolling interest (after-tax impact of $3.3 million, or $0.67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quarter of 2023 was $1,031.5 million, up 13% from $914.7 million in the first quarter of 2022. Revenues increased at</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education, healthcare and automotive, partially offset by declines at television broadcasting, manufacturing and other businesses. The Company reported operating income of $27.7 million for the first quarter of 2023, compared to $40.0 million for the first quarter of 2022.</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Operating results declined at television broadcasting, manufacturing, healthcare and other businesses, partially offset by increases at education and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Education division revenue totaled $378.0 million for the first quarter of 2023, up 6% from $358.0 million for the same period of 2022. Kaplan reported operating income of $23.0 million for the first quarter of 2023, compared to $20.4 million for the first quarter of 2022.</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227,076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204,513</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76,345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75,808</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73,587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76,304</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5,375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4,345</w:t>
            </w: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(4,342)</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378,041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358,012</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21,301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20,564</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6,661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5,037</w:t>
            </w: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3,751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3,371</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(4,416)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(4,433)</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(3,939)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(4,146)</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(477)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23,040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20,412</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States. Kaplan International revenue increased 11% for the first quarter of 2023 (19% on a constant currency basis). The increase is due largely to growth at Pathways, Languages and Australia, partially offset by a decline at Singapore. Kaplan International reported operating income of $21.3 million in the first quarter of 2023, compared to $ 20.6 million in the first quarter of 2022. The improved results are due largely to improved results at Pathways and Australia, and a reduction in losses at Languages, partially offset by declines at UK Professional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In the first quarter of 2023, Higher</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Education revenue and operating results were higher due to a modest increase in the Purdue Global fee recorded. For the first quarter of 2023 and 2022, Kaplan recorded a portion of the fee with Purdue Global based on an assessment of its collectability under the TOSA.</w:t>
      </w:r>
    </w:p>
    <w:p>
      <w:pPr>
        <w:spacing w:after="0" w:line="236" w:lineRule="auto"/>
        <w:rPr>
          <w:sz w:val="20"/>
          <w:szCs w:val="20"/>
          <w:color w:val="auto"/>
        </w:rPr>
      </w:pPr>
      <w:r>
        <w:rPr>
          <w:rFonts w:ascii="Arial" w:cs="Arial" w:eastAsia="Arial" w:hAnsi="Arial"/>
          <w:sz w:val="18"/>
          <w:szCs w:val="18"/>
          <w:color w:val="auto"/>
        </w:rPr>
        <w:t>Enrollments at Purdue Global for the first quarter of 2023 increased 4% compared to the first quarter of 2022. The Company will continue to</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assess the collectability of the fee with Purdue Global on a quarterly basis to make a determination as to whether to record all or part of the fee in the future and whether to make adjustments to fee amounts recognized in earlier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Kaplan had a total outstanding accounts receivable balance of $100.9 million from Purdue Global related to amounts</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due for reimbursements for services, fees earned and a deferred fee. Included in this total, Kaplan has a $ 19.5 million long-term receivable balance due from Purdue Global at March 31, 2023, related to the advance of $20 million during the initial KU Transaction.</w:t>
      </w:r>
    </w:p>
    <w:p>
      <w:pPr>
        <w:spacing w:after="0" w:line="127" w:lineRule="exact"/>
        <w:rPr>
          <w:sz w:val="20"/>
          <w:szCs w:val="20"/>
          <w:color w:val="auto"/>
        </w:rPr>
      </w:pPr>
    </w:p>
    <w:p>
      <w:pPr>
        <w:ind w:right="820"/>
        <w:spacing w:after="0" w:line="237"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4% for the first quarter of 2023 due largely to declines in retail</w:t>
      </w:r>
    </w:p>
    <w:p>
      <w:pPr>
        <w:spacing w:after="0" w:line="235" w:lineRule="auto"/>
        <w:rPr>
          <w:sz w:val="20"/>
          <w:szCs w:val="20"/>
          <w:color w:val="auto"/>
        </w:rPr>
      </w:pPr>
      <w:r>
        <w:rPr>
          <w:rFonts w:ascii="Arial" w:cs="Arial" w:eastAsia="Arial" w:hAnsi="Arial"/>
          <w:sz w:val="18"/>
          <w:szCs w:val="18"/>
          <w:color w:val="auto"/>
        </w:rPr>
        <w:t>comprehensive test preparation demand. Overall, demand for graduate and pre-college test preparation programs has declined due to the</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strength of U.S. employment markets and the decline in test-takers, while demand for professional programs remained stable. Operating results improved in the first quarter of 2023 due to savings from reduced headcount, partially offset by lower revenues.</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112,877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123,419</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28,583</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39,898</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21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 FL; and Roanoke, VA, as well as SocialNewsDesk, a provider of social media</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management tools designed to connect newsrooms with their users. Revenue at the television broadcasting division decreased 9% to $112.9</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million in the first quarter of 2023, from $123.4 million in the same period of 2022. The revenue decline is due primarily to winter Olympics and Super Bowl advertising at the Company’s NBC affiliates in the first quarter of 2022, as well as declines in retransmission, digital and</w:t>
      </w:r>
    </w:p>
    <w:p>
      <w:pPr>
        <w:spacing w:after="0" w:line="235" w:lineRule="auto"/>
        <w:rPr>
          <w:sz w:val="20"/>
          <w:szCs w:val="20"/>
          <w:color w:val="auto"/>
        </w:rPr>
      </w:pPr>
      <w:r>
        <w:rPr>
          <w:rFonts w:ascii="Arial" w:cs="Arial" w:eastAsia="Arial" w:hAnsi="Arial"/>
          <w:sz w:val="18"/>
          <w:szCs w:val="18"/>
          <w:color w:val="auto"/>
        </w:rPr>
        <w:t>political advertising revenues. Operating income for the first quarter of 2023 declined 28% to $28.6 million, from $39.9 million in the same</w:t>
      </w:r>
    </w:p>
    <w:p>
      <w:pPr>
        <w:ind w:right="240"/>
        <w:spacing w:after="0"/>
        <w:rPr>
          <w:sz w:val="20"/>
          <w:szCs w:val="20"/>
          <w:color w:val="auto"/>
        </w:rPr>
      </w:pPr>
      <w:r>
        <w:rPr>
          <w:rFonts w:ascii="Arial" w:cs="Arial" w:eastAsia="Arial" w:hAnsi="Arial"/>
          <w:sz w:val="17"/>
          <w:szCs w:val="17"/>
          <w:color w:val="auto"/>
        </w:rPr>
        <w:t>period of 2022, due to reduced revenues and higher network fees. While per subscriber rates from cable, satellite and OTT providers have grown, overall cable and satellite subscribers are down due to cord cutting, resulting in retransmission revenue net of network fees in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similar compared with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114,584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115,940</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7,328</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9,975</w:t>
            </w: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Manufacturing revenues decreased 1% in the first quarter of 2023. The revenue decline is due primarily to lower revenues at Forney and Dekko, partially offset by increased revenues at Joyce and Hoover. Revenues grew at Hoover due to increased product demand, partially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offset by significantly lower wood prices. Overall, Hoover results included wood gains on inventory sales in the first quarter of 2023 and 2022, with gains in the first quarter of 2023 substantially lower than the prior year. Manufacturing operating results declined in the first quarter of</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2023, due primarily to declines at Hoover, Dekko and Forney, partially offset by an increase at Joyce. Excluding the impact of wood gains, Hoover and the manufacturing segment operating results improved in the first quarter of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102,059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67,255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52</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2,936</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6,359</w:t>
            </w: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seven states. GHG also provides other healthcare services,</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including nursing care and prescription services for patients receiving in-home infusion treatments through its 76.5% interest in CSI Pharmacy Holdings Company, LLC (CSI). In May 2022, GHG acquired two small businesses, one of which expanded GHG’s home health</w:t>
      </w:r>
    </w:p>
    <w:p>
      <w:pPr>
        <w:spacing w:after="0" w:line="235" w:lineRule="auto"/>
        <w:rPr>
          <w:sz w:val="20"/>
          <w:szCs w:val="20"/>
          <w:color w:val="auto"/>
        </w:rPr>
      </w:pPr>
      <w:r>
        <w:rPr>
          <w:rFonts w:ascii="Arial" w:cs="Arial" w:eastAsia="Arial" w:hAnsi="Arial"/>
          <w:sz w:val="18"/>
          <w:szCs w:val="18"/>
          <w:color w:val="auto"/>
        </w:rPr>
        <w:t>operations into Kansas and Missouri. In July 2022, GHG acquired a 100% interest in a multi-state provider of Applied Behavior Analysis</w:t>
      </w:r>
    </w:p>
    <w:p>
      <w:pPr>
        <w:ind w:right="60"/>
        <w:spacing w:after="0"/>
        <w:rPr>
          <w:sz w:val="20"/>
          <w:szCs w:val="20"/>
          <w:color w:val="auto"/>
        </w:rPr>
      </w:pPr>
      <w:r>
        <w:rPr>
          <w:rFonts w:ascii="Arial" w:cs="Arial" w:eastAsia="Arial" w:hAnsi="Arial"/>
          <w:sz w:val="17"/>
          <w:szCs w:val="17"/>
          <w:color w:val="auto"/>
        </w:rPr>
        <w:t>clinics and in August 2022, GHG acquired two small businesses, which expanded GHG’s hospice services into Missouri and Ohio. Healthcare revenues increased 52% for the first quarter of 2023, largely due to significant growth at CSI and from businesses acquired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2023 and in 2022, along with growth in home health and hospice services.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employment for certain existing employees and new employees hired from January 1, 2022 through December 31, 2024. GHG recorded pension expense of $4.2 million related to this program in the first quarter of 2023.</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decline in GHG operating results in the first quarter of 2023 is due to an increase in pension expense related to the new GHG pension credit retention program and an increase in net losses from newly acquired businesses. Excluding pension expense and net losses from newly acquired businesses, GHG operating results increased in the first quarter of 2023 due to improved results in home health and hospice.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jc w:val="both"/>
        <w:ind w:right="340"/>
        <w:spacing w:after="0"/>
        <w:rPr>
          <w:sz w:val="20"/>
          <w:szCs w:val="20"/>
          <w:color w:val="auto"/>
        </w:rPr>
      </w:pPr>
      <w:r>
        <w:rPr>
          <w:rFonts w:ascii="Arial" w:cs="Arial" w:eastAsia="Arial" w:hAnsi="Arial"/>
          <w:sz w:val="17"/>
          <w:szCs w:val="17"/>
          <w:color w:val="auto"/>
        </w:rPr>
        <w:t>earnings of affiliates in the Company’s Condensed Consolidated Statements of Operations. The Company recorded equity in earnings of $2.7 million and $1.9 million for the first quarter of 2023 and 2022, respectively, from these joint ventures. During the first quarter of 2022,</w:t>
      </w:r>
    </w:p>
    <w:p>
      <w:pPr>
        <w:spacing w:after="0" w:line="235" w:lineRule="auto"/>
        <w:rPr>
          <w:sz w:val="20"/>
          <w:szCs w:val="20"/>
          <w:color w:val="auto"/>
        </w:rPr>
      </w:pPr>
      <w:r>
        <w:rPr>
          <w:rFonts w:ascii="Arial" w:cs="Arial" w:eastAsia="Arial" w:hAnsi="Arial"/>
          <w:sz w:val="18"/>
          <w:szCs w:val="18"/>
          <w:color w:val="auto"/>
        </w:rPr>
        <w:t>GHG, through its Residential Home Health Illinois and Residential Hospice Illinois affiliates, acquired an interest in the home health and</w:t>
      </w:r>
    </w:p>
    <w:p>
      <w:pPr>
        <w:ind w:right="60"/>
        <w:spacing w:after="0" w:line="226" w:lineRule="auto"/>
        <w:rPr>
          <w:sz w:val="20"/>
          <w:szCs w:val="20"/>
          <w:color w:val="auto"/>
        </w:rPr>
      </w:pPr>
      <w:r>
        <w:rPr>
          <w:rFonts w:ascii="Arial" w:cs="Arial" w:eastAsia="Arial" w:hAnsi="Arial"/>
          <w:sz w:val="18"/>
          <w:szCs w:val="18"/>
          <w:color w:val="auto"/>
        </w:rPr>
        <w:t>hospice assets of NorthShore University HealthSystem, an integrated healthcare delivery system serving patients throughout the Chicago, IL area. The transaction resulted in a decrease to GHG’s interest in Residential Hospice Illinois and a $0.6 million non-operating gain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recorded in the first quarter of 2022 related to the change in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232,561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150,967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54</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10,843</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7,078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53</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Automotive includes six automotive dealerships in the Washington, D.C. metropolitan area: Ourisman Lexus of Rockville, Ourisman Honda of Tysons Corner, Ourisman Jeep Bethesda, Ourisman Ford of Manassas and Ourisman Toyota of Woodbridge and Ourisman Chrysler-Dodge-</w:t>
      </w:r>
    </w:p>
    <w:p>
      <w:pPr>
        <w:spacing w:after="0" w:line="235" w:lineRule="auto"/>
        <w:rPr>
          <w:sz w:val="20"/>
          <w:szCs w:val="20"/>
          <w:color w:val="auto"/>
        </w:rPr>
      </w:pPr>
      <w:r>
        <w:rPr>
          <w:rFonts w:ascii="Arial" w:cs="Arial" w:eastAsia="Arial" w:hAnsi="Arial"/>
          <w:sz w:val="18"/>
          <w:szCs w:val="18"/>
          <w:color w:val="auto"/>
        </w:rPr>
        <w:t>Jeep-Ram (CDJR) of Woodbridge, which were acquired on July 5, 2022 from the Lustine Automotive Group. Christopher J. Ourisman, a</w:t>
      </w:r>
    </w:p>
    <w:p>
      <w:pPr>
        <w:ind w:right="920"/>
        <w:spacing w:after="0" w:line="237" w:lineRule="auto"/>
        <w:rPr>
          <w:sz w:val="20"/>
          <w:szCs w:val="20"/>
          <w:color w:val="auto"/>
        </w:rPr>
      </w:pPr>
      <w:r>
        <w:rPr>
          <w:rFonts w:ascii="Arial" w:cs="Arial" w:eastAsia="Arial" w:hAnsi="Arial"/>
          <w:sz w:val="18"/>
          <w:szCs w:val="18"/>
          <w:color w:val="auto"/>
        </w:rPr>
        <w:t>member of the Ourisman Automotive Group family of dealerships, and his team of industry professionals operate and manage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quarter of 2023 increased significantly due to the acquisitions of the Toyota and CDJR dealerships and sales growth at</w:t>
      </w:r>
    </w:p>
    <w:p>
      <w:pPr>
        <w:spacing w:after="0" w:line="14" w:lineRule="exact"/>
        <w:rPr>
          <w:sz w:val="20"/>
          <w:szCs w:val="20"/>
          <w:color w:val="auto"/>
        </w:rPr>
      </w:pPr>
    </w:p>
    <w:p>
      <w:pPr>
        <w:ind w:right="600"/>
        <w:spacing w:after="0"/>
        <w:rPr>
          <w:sz w:val="20"/>
          <w:szCs w:val="20"/>
          <w:color w:val="auto"/>
        </w:rPr>
      </w:pPr>
      <w:r>
        <w:rPr>
          <w:rFonts w:ascii="Arial" w:cs="Arial" w:eastAsia="Arial" w:hAnsi="Arial"/>
          <w:sz w:val="17"/>
          <w:szCs w:val="17"/>
          <w:color w:val="auto"/>
        </w:rPr>
        <w:t>the Ford, Honda and Lexus dealerships, partially offset by lower revenue at the Jeep dealership due to a decline in new vehicle sales. Additionally, all of the dealerships reported sales growth for services and parts. Operating results for the first quarter of 2023 improved</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significantly due largely to the Toyota and CDJR acquisitions, and improved results at the Lexus, Ford and Honda dealerships, partially offset by a decline at the Jeep dealership due to lower revenues and margins.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68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32,397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43,089</w:t>
            </w: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0"/>
        </w:trPr>
        <w:tc>
          <w:tcPr>
            <w:tcW w:w="768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25,404</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30,790</w:t>
            </w: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0"/>
        </w:trPr>
        <w:tc>
          <w:tcPr>
            <w:tcW w:w="768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34,207</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33</w:t>
            </w:r>
          </w:p>
        </w:tc>
      </w:tr>
      <w:tr>
        <w:trPr>
          <w:trHeight w:val="220"/>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92,008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99,617</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Clyde’s Restaurant Group, Decile and CyberVista</w:t>
      </w:r>
    </w:p>
    <w:p>
      <w:pPr>
        <w:spacing w:after="0" w:line="26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Overall, revenue from other businesses declined 8% in the first quarter of 2023. Retail revenue declined due to significantly lower revenue at Leaf Marketplace, and a modest decline at Framebridge; Media revenue declined due to lower revenue at Leaf Media and Code3, partially</w:t>
      </w:r>
    </w:p>
    <w:p>
      <w:pPr>
        <w:spacing w:after="0" w:line="1" w:lineRule="exact"/>
        <w:rPr>
          <w:sz w:val="20"/>
          <w:szCs w:val="20"/>
          <w:color w:val="auto"/>
        </w:rPr>
      </w:pPr>
    </w:p>
    <w:p>
      <w:pPr>
        <w:ind w:right="820"/>
        <w:spacing w:after="0" w:line="237" w:lineRule="auto"/>
        <w:rPr>
          <w:sz w:val="20"/>
          <w:szCs w:val="20"/>
          <w:color w:val="auto"/>
        </w:rPr>
      </w:pPr>
      <w:r>
        <w:rPr>
          <w:rFonts w:ascii="Arial" w:cs="Arial" w:eastAsia="Arial" w:hAnsi="Arial"/>
          <w:sz w:val="18"/>
          <w:szCs w:val="18"/>
          <w:color w:val="auto"/>
        </w:rPr>
        <w:t>offset by revenue growth at Slate and Foreign Policy; and Specialty revenue increased due to significant revenue growth at Clyde’s Restaurant Group (CRG).</w:t>
      </w:r>
    </w:p>
    <w:p>
      <w:pPr>
        <w:spacing w:after="0" w:line="12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Overall, operating results at other businesses were down slightly in the first quarter of 2023 due primarily to increased losses at Leaf, Framebridge, Code3 and City Cast, partially offset by improved results at CRG, Slate, Foreign Policy, Decile and Pinna.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Leaf Group Ltd. (Leaf) is a consumer internet company, headquartered in Santa Monica, CA, that builds enduring, creator-driven brands that</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reach passionate audiences in large and growing lifestyle categories, including fitness and wellness (Well+Good, Livestrong.com and MyPlate App), and home, art and design (Saatchi Art, Society6 and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Hunker). Leaf has three major operating divisions: Society6 Group and Saatchi Art Group (Marketplace businesses) and the Media Group.</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for Society6 Group and the Media Group declined substantially in the first quarter of 2023, while Saatchi Art Group reported modest revenue growth. Revenue decreases at Society6 Group are due to declines in traffic, conversion rates and related sales for both direct to</w:t>
      </w:r>
    </w:p>
    <w:p>
      <w:pPr>
        <w:spacing w:after="0" w:line="235" w:lineRule="auto"/>
        <w:rPr>
          <w:sz w:val="20"/>
          <w:szCs w:val="20"/>
          <w:color w:val="auto"/>
        </w:rPr>
      </w:pPr>
      <w:r>
        <w:rPr>
          <w:rFonts w:ascii="Arial" w:cs="Arial" w:eastAsia="Arial" w:hAnsi="Arial"/>
          <w:sz w:val="18"/>
          <w:szCs w:val="18"/>
          <w:color w:val="auto"/>
        </w:rPr>
        <w:t>consumer and business to business categories, partly from a reduction in marketing spend; revenue declines at the Media Group are due to</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reduced traffic and the soft digital advertising market for both direct and programmatic categories. Overall, Leaf reported significant operating losses in each of the first quarters of 2023 and 2022, with an increase in operating losses in the first quarter of 2023. In the first quarter of</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2023, Leaf implemented a SIP to reduce the number of employees, which is being funded by the assets of the Company’s pension plan; $2.9 million in related non-operating pension expense was recorded in the first quarter of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CRG owns and operates 11 restaurants and entertainment venues in the Washington, D.C. metropolitan area, including Old Ebbitt Grill and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Hamilton. CRG reported an operating profit for the first quarter of 2023, compared with an operating loss in the first quarter of 2022. Both revenues and operating results improved significantly in the first quarter of 2023, due to strong guest traffic and the absence of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adverse impact from the COVID-19 pandemic.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Framebridge is a custom framing service company, headquartered in Washington, D.C., with 19 retail locations in the Washington, D.C., New York City, Atlanta, GA, Philadelphia, PA, Boston, MA and Chicago, IL areas and two manufacturing facilities in Kentucky and New Jersey.</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Framebridge is exploring opportunities for further store expansion for the remainder of the year. Revenues declined slightly in the first quarter of 2023 as Framebridge worked through a significant backlog of orders in the first quarter of 2022 that had built-up in the fourth quarter of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2021. In the fourth quarter of 2022, Framebridge successfully managed their production operations for timely completion of holiday orders without a significant backlog of orders going into the first quarter of 2023. The revenue decline was partially offset by increased retail revenue</w:t>
      </w:r>
    </w:p>
    <w:p>
      <w:pPr>
        <w:spacing w:after="0" w:line="2"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from same-store sales growth and operating additional retail stores compared to the same period in 2022. Framebridge is an investment stage business and reported significant operating losses in the first quarters of 2023 and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Code3, a performance marketing agency focused on driving performance for brands though three core</w:t>
      </w:r>
    </w:p>
    <w:p>
      <w:pPr>
        <w:spacing w:after="0" w:line="14" w:lineRule="exact"/>
        <w:rPr>
          <w:sz w:val="20"/>
          <w:szCs w:val="20"/>
          <w:color w:val="auto"/>
        </w:rPr>
      </w:pPr>
    </w:p>
    <w:p>
      <w:pPr>
        <w:ind w:right="720"/>
        <w:spacing w:after="0" w:line="226" w:lineRule="auto"/>
        <w:rPr>
          <w:sz w:val="20"/>
          <w:szCs w:val="20"/>
          <w:color w:val="auto"/>
        </w:rPr>
      </w:pPr>
      <w:r>
        <w:rPr>
          <w:rFonts w:ascii="Arial" w:cs="Arial" w:eastAsia="Arial" w:hAnsi="Arial"/>
          <w:sz w:val="18"/>
          <w:szCs w:val="18"/>
          <w:color w:val="auto"/>
        </w:rPr>
        <w:t>elements of digital success: media, creative and commerce; Slate and Foreign Policy, which publish online and print magazines and websites; and three investment stage businesses, Decile, Pinna and City Cast. Slate, Foreign Policy and City Cast reported revenue</w:t>
      </w:r>
    </w:p>
    <w:p>
      <w:pPr>
        <w:spacing w:after="0" w:line="236" w:lineRule="auto"/>
        <w:rPr>
          <w:sz w:val="20"/>
          <w:szCs w:val="20"/>
          <w:color w:val="auto"/>
        </w:rPr>
      </w:pPr>
      <w:r>
        <w:rPr>
          <w:rFonts w:ascii="Arial" w:cs="Arial" w:eastAsia="Arial" w:hAnsi="Arial"/>
          <w:sz w:val="18"/>
          <w:szCs w:val="18"/>
          <w:color w:val="auto"/>
        </w:rPr>
        <w:t>increases in the first quarter of 2023. Losses from each of these six businesses in the first quarter of 2023 adversely affected operating</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results. Other businesses also included CyberVista, which was sold in October 2022 when the Company announced a strategic merger of CyberVista and CyberWire, a B2B cybersecurity audio network to form a new parent company, N2K Networks. The Company’s investment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N2K Networks is reported as an equity method investment.</w:t>
      </w:r>
    </w:p>
    <w:p>
      <w:pPr>
        <w:spacing w:after="0" w:line="14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In the first quarter of 2023, Code3 implemented a SIP to reduce the number of employees, which is being funded by the assets of the Company’s pension plan; $1.2 million in related non-operating pension expense was recorded in the first quarter of 2023.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At March 31, 2023, the Company held an approximate 18% interest in Intersection Holdings, LLC (Intersection), a company that provides digital marketing and advertising services and products for cities, transit systems, airports, and other public and private spaces; and a 49.9%</w:t>
      </w:r>
    </w:p>
    <w:p>
      <w:pPr>
        <w:spacing w:after="0" w:line="235" w:lineRule="auto"/>
        <w:rPr>
          <w:sz w:val="20"/>
          <w:szCs w:val="20"/>
          <w:color w:val="auto"/>
        </w:rPr>
      </w:pPr>
      <w:r>
        <w:rPr>
          <w:rFonts w:ascii="Arial" w:cs="Arial" w:eastAsia="Arial" w:hAnsi="Arial"/>
          <w:sz w:val="18"/>
          <w:szCs w:val="18"/>
          <w:color w:val="auto"/>
        </w:rPr>
        <w:t>interest in N2K Networks on a fully diluted basis. The Company also holds interests in several other affiliates, including a number of home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health and hospice joint ventures managed by GHG and two joint ventures managed by Kaplan. Overall, the Company recorded equity in earnings of affiliates of $4.7 million for the first quarter of 2023, compared to $2.6 million for the first quarter of 2022. These amounts include</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$1.8 million and $0.4 million in net earnings for the first quarter of 2023 and 2022, respectively, from affiliates whose operations are not managed by the Company.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incurred net interest expense of $13.1 million for the first quarter of 2023, compared to $10.7 million for the first quarter of 2022. The Company recorded interest expense of $1.5 million in the first quarter of 2023 and $3.4 million in the first quarter of 2022 to adjust</w:t>
      </w:r>
    </w:p>
    <w:p>
      <w:pPr>
        <w:spacing w:after="0" w:line="1"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the fair value of the mandatorily redeemable noncontrolling interest at GHG. The increase in net interest expense relates primarily to increased debt at the automotive dealerships and higher interest rates on the Company’s variable debt.</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March 31, 2023, the Company had $ 691.1 million in borrowings outstanding at an average interest rate of 5.9%, and cash, marketable equity securities and other investments of $771.1 million. At March 31, 2023, the Company had $168.8 million outstanding on its $300 million revolving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$31.8 million for the first quarter of 2023, compared to $50.5 million for the first quarter of 2022.</w:t>
      </w:r>
    </w:p>
    <w:p>
      <w:pPr>
        <w:spacing w:after="0" w:line="86" w:lineRule="exact"/>
        <w:rPr>
          <w:sz w:val="20"/>
          <w:szCs w:val="20"/>
          <w:color w:val="auto"/>
        </w:rPr>
      </w:pPr>
    </w:p>
    <w:p>
      <w:pPr>
        <w:ind w:right="1220"/>
        <w:spacing w:after="0" w:line="422" w:lineRule="auto"/>
        <w:rPr>
          <w:sz w:val="20"/>
          <w:szCs w:val="20"/>
          <w:color w:val="auto"/>
        </w:rPr>
      </w:pPr>
      <w:r>
        <w:rPr>
          <w:rFonts w:ascii="Arial" w:cs="Arial" w:eastAsia="Arial" w:hAnsi="Arial"/>
          <w:sz w:val="18"/>
          <w:szCs w:val="18"/>
          <w:color w:val="auto"/>
        </w:rPr>
        <w:t xml:space="preserve">In the first quarter of 2023, the Company recorded $4.1 million in expenses related to non-operating SIPs at other businesses. </w:t>
      </w:r>
      <w:r>
        <w:rPr>
          <w:rFonts w:ascii="Arial" w:cs="Arial" w:eastAsia="Arial" w:hAnsi="Arial"/>
          <w:sz w:val="18"/>
          <w:szCs w:val="18"/>
          <w:b w:val="1"/>
          <w:bCs w:val="1"/>
          <w:u w:val="single" w:color="auto"/>
          <w:color w:val="auto"/>
        </w:rPr>
        <w:t>Gain on Marketable Equity Securities, net</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Overall, the Company recognized $18.0 million and $46.9 million in net gains on marketable equity securities in the first quarter of 2023 and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recorded total other non-operating income, net, of $3.1 million for the first quarter of 2023, compared to $2.9 million for the first quarter of 2022. The 2023 amounts included a $1.8 million fair value increase on a cost method investment; $1.0 million in gains related to</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sale of businesses and contingent consideration; a $0.8 million gain on sale of a cost method investment, and other items; partially offset by $1.5 million in foreign currency losses. The 2022 amounts included a $1.1 million gain on sale of a cost method investment; $0.9 million in</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gains related to the sale of businesses and contingent consideration; a $0.6 million gain on sale of an equity affiliate, and other items; partially offset by $1.0 million in foreign currency losses.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quarter of 2023 and 2022 was 26.6% and 26.9%,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calculation of diluted earnings per share for the first quarter of 2023 was based on 4,775,586 weighted average shares outstanding, compared to 4,885,212 for the first quarter of 2022. At March 31, 2023, there were 4,763,614 shares outstanding. On September 10, 2020,</w:t>
      </w:r>
    </w:p>
    <w:p>
      <w:pPr>
        <w:ind w:right="240"/>
        <w:spacing w:after="0" w:line="237" w:lineRule="auto"/>
        <w:rPr>
          <w:sz w:val="20"/>
          <w:szCs w:val="20"/>
          <w:color w:val="auto"/>
        </w:rPr>
      </w:pPr>
      <w:r>
        <w:rPr>
          <w:rFonts w:ascii="Arial" w:cs="Arial" w:eastAsia="Arial" w:hAnsi="Arial"/>
          <w:sz w:val="18"/>
          <w:szCs w:val="18"/>
          <w:color w:val="auto"/>
        </w:rPr>
        <w:t>the Board of Directors authorized the Company to acquire up to 500,000 shares of its Class B common stock; the Company has remaining authorization for 109,626 shares as of March 31,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1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2023</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2022</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123,469</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169,319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31,253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21,113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616,379</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622,408</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691,119</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726,360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equity securities, which is considered when assessing the Company’s sources of liquidity. An additional source of liquidity includes the undrawn portion of the Company’s $300 million revolving credit facility, amounting to $131.2 million at March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2023, the Company’s cash and cash equivalents decreased by $45.9 million, due to net repayments of</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borrowings, share repurchases, capital expenditures, additional investments in marketable equity securities and equity affiliates, and dividend payments, which was offset by cash generated from operations and the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ind w:right="400"/>
        <w:spacing w:after="0" w:line="271" w:lineRule="auto"/>
        <w:rPr>
          <w:sz w:val="20"/>
          <w:szCs w:val="20"/>
          <w:color w:val="auto"/>
        </w:rPr>
      </w:pPr>
      <w:r>
        <w:rPr>
          <w:rFonts w:ascii="Arial" w:cs="Arial" w:eastAsia="Arial" w:hAnsi="Arial"/>
          <w:sz w:val="18"/>
          <w:szCs w:val="18"/>
          <w:color w:val="auto"/>
        </w:rPr>
        <w:t>proceeds from the sale of marketable equity securities. In the first three months of 2023, the Company’s borrowings decreased by $35.2 million, primarily due to repayments under the revolving credit facility.</w:t>
      </w:r>
    </w:p>
    <w:p>
      <w:pPr>
        <w:spacing w:after="0" w:line="86"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As of March 31, 2023 and December 31, 2022, the Company had money market investments of $2.2 million and $7.7 million, that are included in cash and cash equivalents. At March 31, 2023, the Company held approximately $100 million in cash and cash equivalents in</w:t>
      </w:r>
    </w:p>
    <w:p>
      <w:pPr>
        <w:ind w:right="200"/>
        <w:spacing w:after="0"/>
        <w:rPr>
          <w:sz w:val="20"/>
          <w:szCs w:val="20"/>
          <w:color w:val="auto"/>
        </w:rPr>
      </w:pPr>
      <w:r>
        <w:rPr>
          <w:rFonts w:ascii="Arial" w:cs="Arial" w:eastAsia="Arial" w:hAnsi="Arial"/>
          <w:sz w:val="17"/>
          <w:szCs w:val="17"/>
          <w:color w:val="auto"/>
        </w:rPr>
        <w:t>businesses domiciled outside the U.S., of which approximately $7 million is not available for immediate use in operations or for distribution. Additionally, Kaplan’s business operations outside the U.S. retain cash balances to support ongoing working capital requirements, capital</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At March 31, 2023, the fair value of the Company’s investments in marketable equity securities was $603.5 million, which includes investments in the common stock of four publicly traded companies. During the first three months of 2023, the Company purchased $4.6</w:t>
      </w:r>
    </w:p>
    <w:p>
      <w:pPr>
        <w:ind w:right="40"/>
        <w:spacing w:after="0" w:line="237" w:lineRule="auto"/>
        <w:rPr>
          <w:sz w:val="20"/>
          <w:szCs w:val="20"/>
          <w:color w:val="auto"/>
        </w:rPr>
      </w:pPr>
      <w:r>
        <w:rPr>
          <w:rFonts w:ascii="Arial" w:cs="Arial" w:eastAsia="Arial" w:hAnsi="Arial"/>
          <w:sz w:val="18"/>
          <w:szCs w:val="18"/>
          <w:color w:val="auto"/>
        </w:rPr>
        <w:t>million of marketable equity securities and sold marketable equity securities that generated proceeds of $29.0 million. At March 31, 2023, the net unrealized gain related to the Company’s investments totaled $369.4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$514.3 million and $534.1 million at March 31, 2023 and December 31, 2022, respectively. The</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and December 31, 2022, the Company had borrowings outstanding of $691.1 million and $726.4 million, respectively. The</w:t>
      </w:r>
    </w:p>
    <w:p>
      <w:pPr>
        <w:spacing w:after="0" w:line="14" w:lineRule="exact"/>
        <w:rPr>
          <w:sz w:val="20"/>
          <w:szCs w:val="20"/>
          <w:color w:val="auto"/>
        </w:rPr>
      </w:pPr>
    </w:p>
    <w:p>
      <w:pPr>
        <w:jc w:val="both"/>
        <w:ind w:right="300"/>
        <w:spacing w:after="0"/>
        <w:rPr>
          <w:sz w:val="20"/>
          <w:szCs w:val="20"/>
          <w:color w:val="auto"/>
        </w:rPr>
      </w:pPr>
      <w:r>
        <w:rPr>
          <w:rFonts w:ascii="Arial" w:cs="Arial" w:eastAsia="Arial" w:hAnsi="Arial"/>
          <w:sz w:val="17"/>
          <w:szCs w:val="17"/>
          <w:color w:val="auto"/>
        </w:rPr>
        <w:t>Company’s borrowings at March 31, 2023 were mostly from $ 400.0 million of 5.75% unsecured notes due June 1, 2026, $168.8 million in outstanding borrowings under the Company’s revolving credit facility and commercial notes of $113.0 million at the automotive subsidiary.</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The Company’s borrowings at December 31, 2022 were mostly from $400.0 million of 5.75% unsecured notes due June 1, 2026, $200.2 million in outstanding borrowings under the Company’s revolving credit facility and commercial notes of $116.6 million at the automotive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subsidiary. The interest on the $400.0 million of 5.75% unsecured notes is payable semiannually on June 1 and December 1.</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During the three months ended March 31, 2023 and 2022, the Company had average borrowings outstanding of approximately $735.0 million and $665.0 million, respectively, at average annual interest rates of approximately 5.8% and 4.3%,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March 31, 2023 and 2022, the Company incurred net interest expense of $13.1 million and $10.7 million, respectively.</w:t>
      </w:r>
    </w:p>
    <w:p>
      <w:pPr>
        <w:spacing w:after="0" w:line="140"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On April 4, 2023, Standard &amp; Poor’s affirmed the Company’s credit rating and maintained the outlook as Stable. On August 30, 2022, Moody’s affirmed the Company’s credit rating and maintained the outlook as Stable.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jc w:val="both"/>
        <w:ind w:right="220"/>
        <w:spacing w:after="0" w:line="245"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 needed, from borrowings under its revolving credit facility. As of March 31, 2023, the Company had $168.8 million outstanding under the</w:t>
      </w:r>
    </w:p>
    <w:p>
      <w:pPr>
        <w:ind w:right="260"/>
        <w:spacing w:after="0"/>
        <w:rPr>
          <w:sz w:val="20"/>
          <w:szCs w:val="20"/>
          <w:color w:val="auto"/>
        </w:rPr>
      </w:pPr>
      <w:r>
        <w:rPr>
          <w:rFonts w:ascii="Arial" w:cs="Arial" w:eastAsia="Arial" w:hAnsi="Arial"/>
          <w:sz w:val="17"/>
          <w:szCs w:val="17"/>
          <w:color w:val="auto"/>
        </w:rPr>
        <w:t>$300 million revolving credit facility. In management’s opinion, the Company will have sufficient financial resources to meet its business requirements in the next 12 months, including working capital requirements, capital expenditures, interest payments, potential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investments, dividends and stock repurchases.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2022</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22,811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44,892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(1,954)</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19,523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(57,802)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(64,362)</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1,235</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(35,710)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1" w:name="page32"/>
    <w:bookmarkEnd w:id="31"/>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52,977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96,566</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34,714</w:t>
            </w:r>
          </w:p>
        </w:tc>
        <w:tc>
          <w:tcPr>
            <w:tcW w:w="460" w:type="dxa"/>
            <w:vAlign w:val="bottom"/>
          </w:tcPr>
          <w:p>
            <w:pPr>
              <w:spacing w:after="0"/>
              <w:rPr>
                <w:sz w:val="20"/>
                <w:szCs w:val="20"/>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34,387</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16,492</w:t>
            </w:r>
          </w:p>
        </w:tc>
        <w:tc>
          <w:tcPr>
            <w:tcW w:w="460" w:type="dxa"/>
            <w:vAlign w:val="bottom"/>
          </w:tcPr>
          <w:p>
            <w:pPr>
              <w:spacing w:after="0"/>
              <w:rPr>
                <w:sz w:val="19"/>
                <w:szCs w:val="19"/>
                <w:color w:val="auto"/>
              </w:rPr>
            </w:pP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98"/>
              </w:rPr>
              <w:t>17,569</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(23,162)</w:t>
            </w:r>
          </w:p>
        </w:tc>
        <w:tc>
          <w:tcPr>
            <w:tcW w:w="460" w:type="dxa"/>
            <w:vAlign w:val="bottom"/>
          </w:tcPr>
          <w:p>
            <w:pPr>
              <w:spacing w:after="0"/>
              <w:rPr>
                <w:sz w:val="19"/>
                <w:szCs w:val="19"/>
                <w:color w:val="auto"/>
              </w:rPr>
            </w:pPr>
          </w:p>
        </w:tc>
        <w:tc>
          <w:tcPr>
            <w:tcW w:w="940" w:type="dxa"/>
            <w:vAlign w:val="bottom"/>
          </w:tcPr>
          <w:p>
            <w:pPr>
              <w:jc w:val="center"/>
              <w:ind w:left="200"/>
              <w:spacing w:after="0"/>
              <w:rPr>
                <w:sz w:val="20"/>
                <w:szCs w:val="20"/>
                <w:color w:val="auto"/>
              </w:rPr>
            </w:pPr>
            <w:r>
              <w:rPr>
                <w:rFonts w:ascii="Arial" w:cs="Arial" w:eastAsia="Arial" w:hAnsi="Arial"/>
                <w:sz w:val="16"/>
                <w:szCs w:val="16"/>
                <w:color w:val="auto"/>
              </w:rPr>
              <w:t>(44,782)</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(24,778)</w:t>
            </w:r>
          </w:p>
        </w:tc>
        <w:tc>
          <w:tcPr>
            <w:tcW w:w="460" w:type="dxa"/>
            <w:vAlign w:val="bottom"/>
          </w:tcPr>
          <w:p>
            <w:pPr>
              <w:spacing w:after="0"/>
              <w:rPr>
                <w:sz w:val="19"/>
                <w:szCs w:val="19"/>
                <w:color w:val="auto"/>
              </w:rPr>
            </w:pPr>
          </w:p>
        </w:tc>
        <w:tc>
          <w:tcPr>
            <w:tcW w:w="940" w:type="dxa"/>
            <w:vAlign w:val="bottom"/>
          </w:tcPr>
          <w:p>
            <w:pPr>
              <w:jc w:val="center"/>
              <w:ind w:left="200"/>
              <w:spacing w:after="0"/>
              <w:rPr>
                <w:sz w:val="20"/>
                <w:szCs w:val="20"/>
                <w:color w:val="auto"/>
              </w:rPr>
            </w:pPr>
            <w:r>
              <w:rPr>
                <w:rFonts w:ascii="Arial" w:cs="Arial" w:eastAsia="Arial" w:hAnsi="Arial"/>
                <w:sz w:val="16"/>
                <w:szCs w:val="16"/>
                <w:color w:val="auto"/>
              </w:rPr>
              <w:t>(24,518)</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(33,432)</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(34,330)</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22,811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8"/>
              </w:rPr>
              <w:t>44,892</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the first three months of 2023 compared to the first three months of 2022, the decrease in net cash provided by operating activities is primarily driven by lower net income, net of non-cash adjustments.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provided by investing activities were as follows:</w:t>
      </w:r>
    </w:p>
    <w:p>
      <w:pPr>
        <w:spacing w:after="0" w:line="208"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062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proceeds from sales of marketable equity securities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right="2900"/>
        <w:spacing w:after="0" w:line="325" w:lineRule="auto"/>
        <w:rPr>
          <w:sz w:val="20"/>
          <w:szCs w:val="20"/>
          <w:color w:val="auto"/>
        </w:rPr>
      </w:pPr>
      <w:r>
        <w:rPr>
          <w:rFonts w:ascii="Arial" w:cs="Arial" w:eastAsia="Arial" w:hAnsi="Arial"/>
          <w:sz w:val="16"/>
          <w:szCs w:val="16"/>
          <w:color w:val="auto"/>
        </w:rPr>
        <w:t>Investments in equity affiliates, cost method and other investments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22,866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55,731</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(22,554)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(14,207)</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(4,735)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(23,698)</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2,469</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19,523</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proceeds from sale of marketable equity securities. </w:t>
      </w:r>
      <w:r>
        <w:rPr>
          <w:rFonts w:ascii="Arial" w:cs="Arial" w:eastAsia="Arial" w:hAnsi="Arial"/>
          <w:sz w:val="18"/>
          <w:szCs w:val="18"/>
          <w:color w:val="auto"/>
        </w:rPr>
        <w:t>During the first three months of 2023 and 2022, the Company sold marketable equity</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securities that generated proceeds of $29.0 million and $55.7 million, respectively. The Company purchased $4.6 million of marketable equity securities during the first three months of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Condensed Consolidated Statements of Cash Flows are based on cash</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payments made during the relevant periods, whereas the Company’s capital expenditures for the first three months of 2023 of $22.3 million include assets acquired during the quarter. The Company estimates that its capital expenditures will be in the range of $90 million to $100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in 2023.</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the first three months of 2022, GHG invested an additional $18.5 million in two affiliates to fund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an interest in a health system in Illinois.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5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(33,000)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(37,000)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(3,999)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(repayments of)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7,196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(23,439)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(9,527)</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(7,910)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(7,749)</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3,350</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(57,802)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(64,362)</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three months of 2023 and 2022, the Company made repayments on the $300 million</w:t>
      </w:r>
    </w:p>
    <w:p>
      <w:pPr>
        <w:spacing w:after="0" w:line="14" w:lineRule="exact"/>
        <w:rPr>
          <w:sz w:val="20"/>
          <w:szCs w:val="20"/>
          <w:color w:val="auto"/>
        </w:rPr>
      </w:pPr>
    </w:p>
    <w:p>
      <w:pPr>
        <w:jc w:val="both"/>
        <w:ind w:right="60"/>
        <w:spacing w:after="0"/>
        <w:rPr>
          <w:sz w:val="20"/>
          <w:szCs w:val="20"/>
          <w:color w:val="auto"/>
        </w:rPr>
      </w:pPr>
      <w:r>
        <w:rPr>
          <w:rFonts w:ascii="Arial" w:cs="Arial" w:eastAsia="Arial" w:hAnsi="Arial"/>
          <w:sz w:val="17"/>
          <w:szCs w:val="17"/>
          <w:color w:val="auto"/>
        </w:rPr>
        <w:t>revolving credit facility. In the first three months of 2023 and 2022, the Company used vehicle floor plan financing to fund the purchase of new, used and service loaner vehicles at its automotive division. The proceeds from (repayments of) the vehicle floor plan payable fluctuates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changes in the amount of vehicle inventory held by the automotive dealerships.</w:t>
      </w:r>
    </w:p>
    <w:p>
      <w:pPr>
        <w:sectPr>
          <w:pgSz w:w="11900" w:h="16838" w:orient="portrait"/>
          <w:cols w:equalWidth="0" w:num="1">
            <w:col w:w="11220"/>
          </w:cols>
          <w:pgMar w:left="320" w:top="931" w:right="35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2023, the Company purchased a total of 38,795 shares of its Class B common</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stock at a cost of approximately $23.4 million. On September 10, 2020, the Board of Directors authorized the Company to acquire up to 500,000 shares of its Class B common stock. The Company did not announce a ceiling price or time limit for the purchases. At March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2023, the Company had remaining authorization from the Board of Directors to purchase up to 109,626 shares of Class B common stock.</w:t>
      </w:r>
    </w:p>
    <w:p>
      <w:pPr>
        <w:spacing w:after="0" w:line="140"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$1.65 and $1.58 for the first three months of 2023 and 2022,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pay a dividend of $6.60 per share in 2023.</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this report, in the Company’s Annual Report on Form 10-K and in the Company’s 2022 Annual Report to Stockholders, are “forward-looking statements” within the meaning of the Private Securities Litigation Reform Act of 1995. Actual results may differ materially from those</w:t>
      </w:r>
    </w:p>
    <w:p>
      <w:pPr>
        <w:spacing w:after="0" w:line="236" w:lineRule="auto"/>
        <w:rPr>
          <w:sz w:val="20"/>
          <w:szCs w:val="20"/>
          <w:color w:val="auto"/>
        </w:rPr>
      </w:pPr>
      <w:r>
        <w:rPr>
          <w:rFonts w:ascii="Arial" w:cs="Arial" w:eastAsia="Arial" w:hAnsi="Arial"/>
          <w:sz w:val="18"/>
          <w:szCs w:val="18"/>
          <w:color w:val="auto"/>
        </w:rPr>
        <w:t>projected as a result of certain risks and uncertainties. Other forward-looking statements include comments about expectations related to</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acquisitions or dispositions or related business activities, including the TOSA, the Company’s business strategies and objectives, the prospects for growth in the Company’s various business operations and the Company’s future financial performance. As with any projection</w:t>
      </w:r>
    </w:p>
    <w:p>
      <w:pPr>
        <w:spacing w:after="0" w:line="235" w:lineRule="auto"/>
        <w:rPr>
          <w:sz w:val="20"/>
          <w:szCs w:val="20"/>
          <w:color w:val="auto"/>
        </w:rPr>
      </w:pPr>
      <w:r>
        <w:rPr>
          <w:rFonts w:ascii="Arial" w:cs="Arial" w:eastAsia="Arial" w:hAnsi="Arial"/>
          <w:sz w:val="18"/>
          <w:szCs w:val="18"/>
          <w:color w:val="auto"/>
        </w:rPr>
        <w:t>or forecast, forward-looking statements are subject to various risks and uncertainties, including the risks and uncertainties described in Item</w:t>
      </w:r>
    </w:p>
    <w:p>
      <w:pPr>
        <w:ind w:right="60"/>
        <w:spacing w:after="0"/>
        <w:rPr>
          <w:sz w:val="20"/>
          <w:szCs w:val="20"/>
          <w:color w:val="auto"/>
        </w:rPr>
      </w:pPr>
      <w:r>
        <w:rPr>
          <w:rFonts w:ascii="Arial" w:cs="Arial" w:eastAsia="Arial" w:hAnsi="Arial"/>
          <w:sz w:val="17"/>
          <w:szCs w:val="17"/>
          <w:color w:val="auto"/>
        </w:rPr>
        <w:t>1A of the Company’s Annual Report on Form 10-K, that could cause actual results or events to differ materially from those anticipated in such statements. Accordingly, undue reliance should not be placed on any forward-looking statement made by or on behalf of the Company.</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assumes no obligation to update any forward-looking statement after the date on which such statement is made, even if new information subsequently becomes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2022 Annual Report filed on Form 10-K have not otherwise changed significantly.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March 31, 2023. Based on that evaluation, the</w:t>
      </w:r>
    </w:p>
    <w:p>
      <w:pPr>
        <w:spacing w:after="0" w:line="236" w:lineRule="auto"/>
        <w:rPr>
          <w:sz w:val="20"/>
          <w:szCs w:val="20"/>
          <w:color w:val="auto"/>
        </w:rPr>
      </w:pPr>
      <w:r>
        <w:rPr>
          <w:rFonts w:ascii="Arial" w:cs="Arial" w:eastAsia="Arial" w:hAnsi="Arial"/>
          <w:sz w:val="18"/>
          <w:szCs w:val="18"/>
          <w:color w:val="auto"/>
        </w:rPr>
        <w:t>Company’s Chief Executive Officer and Chief Financial Officer have concluded that the Company’s disclosure controls and procedures, as</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2023</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3" w:name="page34"/>
    <w:bookmarkEnd w:id="33"/>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2023,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January 1 -31</w:t>
            </w:r>
          </w:p>
        </w:tc>
        <w:tc>
          <w:tcPr>
            <w:tcW w:w="1320" w:type="dxa"/>
            <w:vAlign w:val="bottom"/>
          </w:tcPr>
          <w:p>
            <w:pPr>
              <w:jc w:val="right"/>
              <w:spacing w:after="0"/>
              <w:rPr>
                <w:sz w:val="20"/>
                <w:szCs w:val="20"/>
                <w:color w:val="auto"/>
              </w:rPr>
            </w:pPr>
            <w:r>
              <w:rPr>
                <w:rFonts w:ascii="Arial" w:cs="Arial" w:eastAsia="Arial" w:hAnsi="Arial"/>
                <w:sz w:val="16"/>
                <w:szCs w:val="16"/>
                <w:color w:val="auto"/>
              </w:rPr>
              <w:t>6,109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622.26</w:t>
            </w:r>
          </w:p>
        </w:tc>
        <w:tc>
          <w:tcPr>
            <w:tcW w:w="1720" w:type="dxa"/>
            <w:vAlign w:val="bottom"/>
          </w:tcPr>
          <w:p>
            <w:pPr>
              <w:jc w:val="right"/>
              <w:spacing w:after="0"/>
              <w:rPr>
                <w:sz w:val="20"/>
                <w:szCs w:val="20"/>
                <w:color w:val="auto"/>
              </w:rPr>
            </w:pPr>
            <w:r>
              <w:rPr>
                <w:rFonts w:ascii="Arial" w:cs="Arial" w:eastAsia="Arial" w:hAnsi="Arial"/>
                <w:sz w:val="16"/>
                <w:szCs w:val="16"/>
                <w:color w:val="auto"/>
              </w:rPr>
              <w:t>6,109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142,312</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February 1 - 28</w:t>
            </w:r>
          </w:p>
        </w:tc>
        <w:tc>
          <w:tcPr>
            <w:tcW w:w="1320" w:type="dxa"/>
            <w:vAlign w:val="bottom"/>
          </w:tcPr>
          <w:p>
            <w:pPr>
              <w:jc w:val="right"/>
              <w:spacing w:after="0"/>
              <w:rPr>
                <w:sz w:val="20"/>
                <w:szCs w:val="20"/>
                <w:color w:val="auto"/>
              </w:rPr>
            </w:pPr>
            <w:r>
              <w:rPr>
                <w:rFonts w:ascii="Arial" w:cs="Arial" w:eastAsia="Arial" w:hAnsi="Arial"/>
                <w:sz w:val="16"/>
                <w:szCs w:val="16"/>
                <w:color w:val="auto"/>
              </w:rPr>
              <w:t>6,078</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663.78</w:t>
            </w:r>
          </w:p>
        </w:tc>
        <w:tc>
          <w:tcPr>
            <w:tcW w:w="1720" w:type="dxa"/>
            <w:vAlign w:val="bottom"/>
          </w:tcPr>
          <w:p>
            <w:pPr>
              <w:jc w:val="right"/>
              <w:spacing w:after="0"/>
              <w:rPr>
                <w:sz w:val="20"/>
                <w:szCs w:val="20"/>
                <w:color w:val="auto"/>
              </w:rPr>
            </w:pPr>
            <w:r>
              <w:rPr>
                <w:rFonts w:ascii="Arial" w:cs="Arial" w:eastAsia="Arial" w:hAnsi="Arial"/>
                <w:sz w:val="16"/>
                <w:szCs w:val="16"/>
                <w:color w:val="auto"/>
              </w:rPr>
              <w:t>6,078</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136,234</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March 1 - 31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26,608</w:t>
            </w:r>
          </w:p>
        </w:tc>
        <w:tc>
          <w:tcPr>
            <w:tcW w:w="24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586.40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26,608</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109,626</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38,795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604.17</w:t>
            </w:r>
          </w:p>
        </w:tc>
        <w:tc>
          <w:tcPr>
            <w:tcW w:w="1720" w:type="dxa"/>
            <w:vAlign w:val="bottom"/>
          </w:tcPr>
          <w:p>
            <w:pPr>
              <w:jc w:val="right"/>
              <w:spacing w:after="0"/>
              <w:rPr>
                <w:sz w:val="20"/>
                <w:szCs w:val="20"/>
                <w:color w:val="auto"/>
              </w:rPr>
            </w:pPr>
            <w:r>
              <w:rPr>
                <w:rFonts w:ascii="Arial" w:cs="Arial" w:eastAsia="Arial" w:hAnsi="Arial"/>
                <w:sz w:val="16"/>
                <w:szCs w:val="16"/>
                <w:color w:val="auto"/>
              </w:rPr>
              <w:t>38,795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spacing w:after="0" w:line="241" w:lineRule="auto"/>
        <w:rPr>
          <w:sz w:val="20"/>
          <w:szCs w:val="20"/>
          <w:color w:val="auto"/>
        </w:rPr>
      </w:pPr>
      <w:r>
        <w:rPr>
          <w:rFonts w:ascii="Arial" w:cs="Arial" w:eastAsia="Arial" w:hAnsi="Arial"/>
          <w:sz w:val="14"/>
          <w:szCs w:val="14"/>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March 31, 2023 were open market transactions and some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these shares were purchased under a 10b5-1 plan.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6080" w:type="dxa"/>
            <w:vAlign w:val="bottom"/>
            <w:gridSpan w:val="16"/>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7"/>
                <w:szCs w:val="17"/>
                <w:color w:val="auto"/>
              </w:rPr>
            </w:pPr>
          </w:p>
        </w:tc>
        <w:tc>
          <w:tcPr>
            <w:tcW w:w="6080" w:type="dxa"/>
            <w:vAlign w:val="bottom"/>
            <w:gridSpan w:val="1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7"/>
          </w:tcPr>
          <w:p>
            <w:pPr>
              <w:spacing w:after="0"/>
              <w:rPr>
                <w:rFonts w:ascii="Arial" w:cs="Arial" w:eastAsia="Arial" w:hAnsi="Arial"/>
                <w:sz w:val="16"/>
                <w:szCs w:val="16"/>
                <w:color w:val="0000FF"/>
              </w:rPr>
            </w:pPr>
            <w:hyperlink r:id="rId72">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3"/>
          </w:tcPr>
          <w:p>
            <w:pPr>
              <w:spacing w:after="0" w:line="155" w:lineRule="exact"/>
              <w:rPr>
                <w:rFonts w:ascii="Arial" w:cs="Arial" w:eastAsia="Arial" w:hAnsi="Arial"/>
                <w:sz w:val="16"/>
                <w:szCs w:val="16"/>
                <w:color w:val="0000FF"/>
              </w:rPr>
            </w:pPr>
            <w:hyperlink r:id="rId72">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17"/>
          </w:tcPr>
          <w:p>
            <w:pPr>
              <w:spacing w:after="0"/>
              <w:rPr>
                <w:rFonts w:ascii="Arial" w:cs="Arial" w:eastAsia="Arial" w:hAnsi="Arial"/>
                <w:sz w:val="16"/>
                <w:szCs w:val="16"/>
                <w:color w:val="0000FF"/>
              </w:rPr>
            </w:pPr>
            <w:hyperlink r:id="rId73">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r:id="rId73">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17"/>
          </w:tcPr>
          <w:p>
            <w:pPr>
              <w:spacing w:after="0"/>
              <w:rPr>
                <w:rFonts w:ascii="Arial" w:cs="Arial" w:eastAsia="Arial" w:hAnsi="Arial"/>
                <w:sz w:val="16"/>
                <w:szCs w:val="16"/>
                <w:color w:val="0000FF"/>
              </w:rPr>
            </w:pPr>
            <w:hyperlink r:id="rId74">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74">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17"/>
          </w:tcPr>
          <w:p>
            <w:pPr>
              <w:spacing w:after="0"/>
              <w:rPr>
                <w:rFonts w:ascii="Arial" w:cs="Arial" w:eastAsia="Arial" w:hAnsi="Arial"/>
                <w:sz w:val="16"/>
                <w:szCs w:val="16"/>
                <w:color w:val="0000FF"/>
              </w:rPr>
            </w:pPr>
            <w:hyperlink r:id="rId75">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4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75">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17"/>
          </w:tcPr>
          <w:p>
            <w:pPr>
              <w:spacing w:after="0"/>
              <w:rPr>
                <w:rFonts w:ascii="Arial" w:cs="Arial" w:eastAsia="Arial" w:hAnsi="Arial"/>
                <w:sz w:val="16"/>
                <w:szCs w:val="16"/>
                <w:color w:val="0000FF"/>
              </w:rPr>
            </w:pPr>
            <w:hyperlink r:id="rId76">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4"/>
          </w:tcPr>
          <w:p>
            <w:pPr>
              <w:spacing w:after="0" w:line="155" w:lineRule="exact"/>
              <w:rPr>
                <w:rFonts w:ascii="Arial" w:cs="Arial" w:eastAsia="Arial" w:hAnsi="Arial"/>
                <w:sz w:val="16"/>
                <w:szCs w:val="16"/>
                <w:color w:val="0000FF"/>
                <w:w w:val="99"/>
              </w:rPr>
            </w:pPr>
            <w:hyperlink r:id="rId76">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bottom w:val="single" w:sz="8" w:color="0000FF"/>
            </w:tcBorders>
            <w:gridSpan w:val="4"/>
          </w:tcPr>
          <w:p>
            <w:pPr>
              <w:spacing w:after="0" w:line="155" w:lineRule="exact"/>
              <w:rPr>
                <w:rFonts w:ascii="Arial" w:cs="Arial" w:eastAsia="Arial" w:hAnsi="Arial"/>
                <w:sz w:val="16"/>
                <w:szCs w:val="16"/>
                <w:color w:val="0000FF"/>
              </w:rPr>
            </w:pPr>
            <w:hyperlink r:id="rId76">
              <w:r>
                <w:rPr>
                  <w:rFonts w:ascii="Arial" w:cs="Arial" w:eastAsia="Arial" w:hAnsi="Arial"/>
                  <w:sz w:val="16"/>
                  <w:szCs w:val="16"/>
                  <w:color w:val="0000FF"/>
                </w:rPr>
                <w:t>Quarterly Report on Form 10-Q for the quarter ended March 31, 2020).</w:t>
              </w:r>
            </w:hyperlink>
          </w:p>
        </w:tc>
        <w:tc>
          <w:tcPr>
            <w:tcW w:w="4960" w:type="dxa"/>
            <w:vAlign w:val="bottom"/>
            <w:gridSpan w:val="1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17"/>
          </w:tcPr>
          <w:p>
            <w:pPr>
              <w:spacing w:after="0"/>
              <w:rPr>
                <w:rFonts w:ascii="Arial" w:cs="Arial" w:eastAsia="Arial" w:hAnsi="Arial"/>
                <w:sz w:val="16"/>
                <w:szCs w:val="16"/>
                <w:color w:val="0000FF"/>
              </w:rPr>
            </w:pPr>
            <w:hyperlink r:id="rId77">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77">
              <w:r>
                <w:rPr>
                  <w:rFonts w:ascii="Arial" w:cs="Arial" w:eastAsia="Arial" w:hAnsi="Arial"/>
                  <w:sz w:val="16"/>
                  <w:szCs w:val="16"/>
                  <w:color w:val="0000FF"/>
                </w:rPr>
                <w:t>subsidiary of Graham Holdings Company, a Delaware corporation, and The Bank of New York Mellon Trust Company, N.A., as trustee</w:t>
              </w:r>
            </w:hyperlink>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0"/>
          </w:tcPr>
          <w:p>
            <w:pPr>
              <w:spacing w:after="0" w:line="155" w:lineRule="exact"/>
              <w:rPr>
                <w:rFonts w:ascii="Arial" w:cs="Arial" w:eastAsia="Arial" w:hAnsi="Arial"/>
                <w:sz w:val="16"/>
                <w:szCs w:val="16"/>
                <w:color w:val="0000FF"/>
              </w:rPr>
            </w:pPr>
            <w:hyperlink r:id="rId77">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tcPr>
          <w:p>
            <w:pPr>
              <w:jc w:val="right"/>
              <w:spacing w:after="0" w:line="155" w:lineRule="exact"/>
              <w:rPr>
                <w:rFonts w:ascii="Arial" w:cs="Arial" w:eastAsia="Arial" w:hAnsi="Arial"/>
                <w:sz w:val="16"/>
                <w:szCs w:val="16"/>
                <w:color w:val="0000FF"/>
                <w:w w:val="88"/>
              </w:rPr>
            </w:pPr>
            <w:hyperlink r:id="rId77">
              <w:r>
                <w:rPr>
                  <w:rFonts w:ascii="Arial" w:cs="Arial" w:eastAsia="Arial" w:hAnsi="Arial"/>
                  <w:sz w:val="16"/>
                  <w:szCs w:val="16"/>
                  <w:color w:val="0000FF"/>
                  <w:w w:val="88"/>
                </w:rPr>
                <w:t>.</w:t>
              </w:r>
            </w:hyperlink>
          </w:p>
        </w:tc>
        <w:tc>
          <w:tcPr>
            <w:tcW w:w="4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7"/>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100" w:hanging="953"/>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26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31" w:lineRule="exact"/>
        <w:rPr>
          <w:sz w:val="20"/>
          <w:szCs w:val="20"/>
          <w:color w:val="auto"/>
        </w:rPr>
      </w:pPr>
    </w:p>
    <w:p>
      <w:pPr>
        <w:ind w:left="1100" w:hanging="953"/>
        <w:spacing w:after="0"/>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4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480" w:type="dxa"/>
            <w:vAlign w:val="bottom"/>
          </w:tcPr>
          <w:p>
            <w:pPr>
              <w:spacing w:after="0"/>
              <w:rPr>
                <w:sz w:val="20"/>
                <w:szCs w:val="20"/>
                <w:color w:val="auto"/>
              </w:rPr>
            </w:pPr>
            <w:r>
              <w:rPr>
                <w:rFonts w:ascii="Arial" w:cs="Arial" w:eastAsia="Arial" w:hAnsi="Arial"/>
                <w:sz w:val="18"/>
                <w:szCs w:val="18"/>
                <w:color w:val="auto"/>
              </w:rPr>
              <w:t>Date: May 3, 2023</w:t>
            </w:r>
          </w:p>
        </w:tc>
        <w:tc>
          <w:tcPr>
            <w:tcW w:w="36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480" w:type="dxa"/>
            <w:vAlign w:val="bottom"/>
          </w:tcPr>
          <w:p>
            <w:pPr>
              <w:spacing w:after="0"/>
              <w:rPr>
                <w:sz w:val="20"/>
                <w:szCs w:val="20"/>
                <w:color w:val="auto"/>
              </w:rPr>
            </w:pPr>
            <w:r>
              <w:rPr>
                <w:rFonts w:ascii="Arial" w:cs="Arial" w:eastAsia="Arial" w:hAnsi="Arial"/>
                <w:sz w:val="18"/>
                <w:szCs w:val="18"/>
                <w:color w:val="auto"/>
              </w:rPr>
              <w:t>Date: May 3, 2023</w:t>
            </w:r>
          </w:p>
        </w:tc>
        <w:tc>
          <w:tcPr>
            <w:tcW w:w="36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4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480" w:type="dxa"/>
            <w:vAlign w:val="bottom"/>
          </w:tcPr>
          <w:p>
            <w:pPr>
              <w:spacing w:after="0"/>
              <w:rPr>
                <w:sz w:val="24"/>
                <w:szCs w:val="24"/>
                <w:color w:val="auto"/>
              </w:rPr>
            </w:pPr>
          </w:p>
        </w:tc>
        <w:tc>
          <w:tcPr>
            <w:tcW w:w="3680" w:type="dxa"/>
            <w:vAlign w:val="bottom"/>
          </w:tcPr>
          <w:p>
            <w:pPr>
              <w:jc w:val="right"/>
              <w:ind w:right="1390"/>
              <w:spacing w:after="0"/>
              <w:rPr>
                <w:sz w:val="20"/>
                <w:szCs w:val="20"/>
                <w:color w:val="auto"/>
              </w:rPr>
            </w:pPr>
            <w:r>
              <w:rPr>
                <w:rFonts w:ascii="Arial" w:cs="Arial" w:eastAsia="Arial" w:hAnsi="Arial"/>
                <w:sz w:val="18"/>
                <w:szCs w:val="18"/>
                <w:color w:val="auto"/>
              </w:rPr>
              <w:t>34</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ectPr>
          <w:pgSz w:w="11900" w:h="16838" w:orient="portrait"/>
          <w:cols w:equalWidth="0" w:num="1">
            <w:col w:w="11240"/>
          </w:cols>
          <w:pgMar w:left="320" w:top="114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jc w:val="both"/>
        <w:ind w:left="340" w:right="80" w:hanging="8"/>
        <w:spacing w:after="0" w:line="276" w:lineRule="auto"/>
        <w:tabs>
          <w:tab w:leader="none" w:pos="6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ectPr>
          <w:pgSz w:w="11900" w:h="16838" w:orient="portrait"/>
          <w:cols w:equalWidth="0" w:num="1">
            <w:col w:w="11240"/>
          </w:cols>
          <w:pgMar w:left="320" w:top="114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2023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745"/>
    </w:lvl>
  </w:abstractNum>
  <w:abstractNum w:abstractNumId="3">
    <w:nsid w:val="3352255A"/>
    <w:multiLevelType w:val="hybridMultilevel"/>
    <w:lvl w:ilvl="0">
      <w:lvlJc w:val="left"/>
      <w:lvlText w:val="%1"/>
      <w:numFmt w:val="decimal"/>
      <w:start w:val="409"/>
    </w:lvl>
  </w:abstractNum>
  <w:abstractNum w:abstractNumId="4">
    <w:nsid w:val="109CF92E"/>
    <w:multiLevelType w:val="hybridMultilevel"/>
    <w:lvl w:ilvl="0">
      <w:lvlJc w:val="left"/>
      <w:lvlText w:val="(%1)"/>
      <w:numFmt w:val="decimal"/>
      <w:start w:val="930"/>
    </w:lvl>
  </w:abstractNum>
  <w:abstractNum w:abstractNumId="5">
    <w:nsid w:val="DED7263"/>
    <w:multiLevelType w:val="hybridMultilevel"/>
    <w:lvl w:ilvl="0">
      <w:lvlJc w:val="left"/>
      <w:lvlText w:val="%1"/>
      <w:numFmt w:val="decimal"/>
      <w:start w:val="585"/>
    </w:lvl>
  </w:abstractNum>
  <w:abstractNum w:abstractNumId="6">
    <w:nsid w:val="7FDCC233"/>
    <w:multiLevelType w:val="hybridMultilevel"/>
    <w:lvl w:ilvl="0">
      <w:lvlJc w:val="left"/>
      <w:lvlText w:val="(%1)"/>
      <w:numFmt w:val="decimal"/>
      <w:start w:val="705"/>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626"/>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lvl w:ilvl="1">
      <w:lvlJc w:val="left"/>
      <w:lvlText w:val="%2"/>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72" Type="http://schemas.openxmlformats.org/officeDocument/2006/relationships/hyperlink" Target="http://www.sec.gov/Archives/edgar/data/104889/000095013304000785/w94191exv3w1.htm" TargetMode="External"/><Relationship Id="rId73" Type="http://schemas.openxmlformats.org/officeDocument/2006/relationships/hyperlink" Target="http://www.sec.gov/Archives/edgar/data/104889/000095015713000428/ex3-1.htm" TargetMode="External"/><Relationship Id="rId74" Type="http://schemas.openxmlformats.org/officeDocument/2006/relationships/hyperlink" Target="http://www.sec.gov/Archives/edgar/data/104889/000095015713000428/ex3-2.htm" TargetMode="External"/><Relationship Id="rId75" Type="http://schemas.openxmlformats.org/officeDocument/2006/relationships/hyperlink" Target="http://www.sec.gov/Archives/edgar/data/104889/000095015718000572/ex4-1.htm" TargetMode="External"/><Relationship Id="rId76" Type="http://schemas.openxmlformats.org/officeDocument/2006/relationships/hyperlink" Target="http://www.sec.gov/Archives/edgar/data/104889/000010488920000031/dex42.htm" TargetMode="External"/><Relationship Id="rId77" Type="http://schemas.openxmlformats.org/officeDocument/2006/relationships/hyperlink" Target="https://www.sec.gov/Archives/edgar/data/104889/000010488922000011/a2021q410-k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2023-05-03T07:45:52Z</dcterms:created>
  <dcterms:modified xsi:type="dcterms:W3CDTF">2023-05-03T07:45:52Z</dcterms:modified>
</cp:coreProperties>
</file>