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46355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14" w:lineRule="exact"/>
        <w:rPr>
          <w:rFonts w:ascii="MS PGothic" w:cs="MS PGothic" w:eastAsia="MS PGothic" w:hAnsi="MS PGothic"/>
          <w:sz w:val="18"/>
          <w:szCs w:val="18"/>
          <w:color w:val="auto"/>
        </w:rPr>
      </w:pPr>
    </w:p>
    <w:p>
      <w:pPr>
        <w:ind w:left="37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2016</w:t>
      </w: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31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14"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35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-305435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28575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40" w:lineRule="exact"/>
        <w:rPr>
          <w:sz w:val="24"/>
          <w:szCs w:val="24"/>
          <w:color w:val="auto"/>
        </w:rPr>
      </w:pPr>
    </w:p>
    <w:tbl>
      <w:tblPr>
        <w:tblLayout w:type="fixed"/>
        <w:tblInd w:w="1080" w:type="dxa"/>
        <w:tblCellMar>
          <w:top w:w="0" w:type="dxa"/>
          <w:left w:w="0" w:type="dxa"/>
          <w:bottom w:w="0" w:type="dxa"/>
          <w:right w:w="0" w:type="dxa"/>
        </w:tblCellMar>
      </w:tblPr>
      <w:tr>
        <w:trPr>
          <w:trHeight w:val="239"/>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8"/>
        </w:trPr>
        <w:tc>
          <w:tcPr>
            <w:tcW w:w="6660" w:type="dxa"/>
            <w:vAlign w:val="bottom"/>
          </w:tcPr>
          <w:p>
            <w:pPr>
              <w:jc w:val="center"/>
              <w:ind w:right="302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552"/>
        </w:trPr>
        <w:tc>
          <w:tcPr>
            <w:tcW w:w="6660" w:type="dxa"/>
            <w:vAlign w:val="bottom"/>
          </w:tcPr>
          <w:p>
            <w:pPr>
              <w:jc w:val="right"/>
              <w:ind w:right="1340"/>
              <w:spacing w:after="0"/>
              <w:rPr>
                <w:sz w:val="20"/>
                <w:szCs w:val="20"/>
                <w:color w:val="auto"/>
              </w:rPr>
            </w:pPr>
            <w:r>
              <w:rPr>
                <w:rFonts w:ascii="Arial" w:cs="Arial" w:eastAsia="Arial" w:hAnsi="Arial"/>
                <w:sz w:val="18"/>
                <w:szCs w:val="18"/>
                <w:b w:val="1"/>
                <w:bCs w:val="1"/>
                <w:color w:val="auto"/>
              </w:rPr>
              <w:t>(703) 345-6300</w:t>
            </w:r>
          </w:p>
        </w:tc>
        <w:tc>
          <w:tcPr>
            <w:tcW w:w="1440" w:type="dxa"/>
            <w:vAlign w:val="bottom"/>
          </w:tcPr>
          <w:p>
            <w:pPr>
              <w:spacing w:after="0"/>
              <w:rPr>
                <w:sz w:val="24"/>
                <w:szCs w:val="24"/>
                <w:color w:val="auto"/>
              </w:rPr>
            </w:pPr>
          </w:p>
        </w:tc>
      </w:tr>
      <w:tr>
        <w:trPr>
          <w:trHeight w:val="231"/>
        </w:trPr>
        <w:tc>
          <w:tcPr>
            <w:tcW w:w="6660" w:type="dxa"/>
            <w:vAlign w:val="bottom"/>
          </w:tcPr>
          <w:p>
            <w:pPr>
              <w:jc w:val="center"/>
              <w:ind w:left="25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153670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302" w:lineRule="exact"/>
        <w:rPr>
          <w:sz w:val="24"/>
          <w:szCs w:val="24"/>
          <w:color w:val="auto"/>
        </w:rPr>
      </w:pPr>
    </w:p>
    <w:p>
      <w:pPr>
        <w:ind w:right="2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78" w:lineRule="exact"/>
        <w:rPr>
          <w:sz w:val="24"/>
          <w:szCs w:val="24"/>
          <w:color w:val="auto"/>
        </w:rPr>
      </w:pPr>
    </w:p>
    <w:p>
      <w:pPr>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92" w:lineRule="exact"/>
        <w:rPr>
          <w:sz w:val="24"/>
          <w:szCs w:val="24"/>
          <w:color w:val="auto"/>
        </w:rPr>
      </w:pPr>
    </w:p>
    <w:p>
      <w:pPr>
        <w:ind w:right="340"/>
        <w:spacing w:after="0" w:line="29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 reporting company” in Rule 12b-2 of the Exchange Act.</w:t>
      </w:r>
    </w:p>
    <w:p>
      <w:pPr>
        <w:spacing w:after="0" w:line="74" w:lineRule="exact"/>
        <w:rPr>
          <w:sz w:val="24"/>
          <w:szCs w:val="24"/>
          <w:color w:val="auto"/>
        </w:rPr>
      </w:pPr>
    </w:p>
    <w:p>
      <w:pPr>
        <w:ind w:left="40"/>
        <w:spacing w:after="0" w:line="189" w:lineRule="exact"/>
        <w:tabs>
          <w:tab w:leader="none" w:pos="2440" w:val="left"/>
          <w:tab w:leader="none" w:pos="4940" w:val="left"/>
          <w:tab w:leader="none" w:pos="5400" w:val="left"/>
          <w:tab w:leader="none" w:pos="7940" w:val="left"/>
          <w:tab w:leader="none" w:pos="1098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03"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April 29, 2016:</w:t>
      </w:r>
    </w:p>
    <w:p>
      <w:pPr>
        <w:spacing w:after="0" w:line="266"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4,654,132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1"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GRAHAM HOLDINGS COMPANY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10340" w:type="dxa"/>
            <w:vAlign w:val="bottom"/>
          </w:tcPr>
          <w:p>
            <w:pPr>
              <w:ind w:left="8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a. Condensed Consolidated Statements of Operations (Unaudited) for the Three Months Ended March 31, 2016 and 2015</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b. Condensed Consolidated Statements of Comprehensive Income (Unaudited) for the Three Months Ended March 31, 2016 and 2015</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c. Condensed Consolidated Balance Sheets at March 31, 2016 (Unaudited) and December 31, 2015</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d. Condensed Consolidated Statements of Cash Flows (Unaudited) for the Three Months Ended March 31, 2016 and 2015</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2">
              <w:r>
                <w:rPr>
                  <w:rFonts w:ascii="Arial" w:cs="Arial" w:eastAsia="Arial" w:hAnsi="Arial"/>
                  <w:sz w:val="16"/>
                  <w:szCs w:val="16"/>
                  <w:color w:val="0000EE"/>
                  <w:w w:val="89"/>
                </w:rPr>
                <w:t>19</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10340" w:type="dxa"/>
            <w:vAlign w:val="bottom"/>
          </w:tcPr>
          <w:p>
            <w:pPr>
              <w:ind w:left="8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7">
              <w:r>
                <w:rPr>
                  <w:rFonts w:ascii="Arial" w:cs="Arial" w:eastAsia="Arial" w:hAnsi="Arial"/>
                  <w:sz w:val="16"/>
                  <w:szCs w:val="16"/>
                  <w:color w:val="0000EE"/>
                  <w:w w:val="89"/>
                </w:rPr>
                <w:t>24</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10340" w:type="dxa"/>
            <w:vAlign w:val="bottom"/>
          </w:tcPr>
          <w:p>
            <w:pPr>
              <w:ind w:left="8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7">
              <w:r>
                <w:rPr>
                  <w:rFonts w:ascii="Arial" w:cs="Arial" w:eastAsia="Arial" w:hAnsi="Arial"/>
                  <w:sz w:val="16"/>
                  <w:szCs w:val="16"/>
                  <w:color w:val="0000EE"/>
                  <w:w w:val="89"/>
                </w:rPr>
                <w:t>24</w:t>
              </w:r>
            </w:hyperlink>
          </w:p>
        </w:tc>
      </w:tr>
      <w:tr>
        <w:trPr>
          <w:trHeight w:val="501"/>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8">
              <w:r>
                <w:rPr>
                  <w:rFonts w:ascii="Arial" w:cs="Arial" w:eastAsia="Arial" w:hAnsi="Arial"/>
                  <w:sz w:val="16"/>
                  <w:szCs w:val="16"/>
                  <w:color w:val="0000EE"/>
                  <w:w w:val="89"/>
                </w:rPr>
                <w:t>25</w:t>
              </w:r>
            </w:hyperlink>
          </w:p>
        </w:tc>
      </w:tr>
      <w:tr>
        <w:trPr>
          <w:trHeight w:val="520"/>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10340" w:type="dxa"/>
            <w:vAlign w:val="bottom"/>
          </w:tcPr>
          <w:p>
            <w:pPr>
              <w:ind w:left="8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9">
              <w:r>
                <w:rPr>
                  <w:rFonts w:ascii="Arial" w:cs="Arial" w:eastAsia="Arial" w:hAnsi="Arial"/>
                  <w:sz w:val="16"/>
                  <w:szCs w:val="16"/>
                  <w:color w:val="0000EE"/>
                  <w:w w:val="89"/>
                </w:rPr>
                <w:t>26</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Signatures</w:t>
            </w:r>
          </w:p>
        </w:tc>
        <w:tc>
          <w:tcPr>
            <w:tcW w:w="103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27</w:t>
              </w:r>
            </w:hyperlink>
          </w:p>
        </w:tc>
      </w:tr>
    </w:tbl>
    <w:p>
      <w:pPr>
        <w:sectPr>
          <w:pgSz w:w="11900" w:h="16838" w:orient="portrait"/>
          <w:cols w:equalWidth="0" w:num="1">
            <w:col w:w="11360"/>
          </w:cols>
          <w:pgMar w:left="280" w:top="71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9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14605</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4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697"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Operating Revenues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Education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Advertising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Costs and Expenses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Operations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(losses) of affiliates,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income (expense), net</w:t>
      </w:r>
    </w:p>
    <w:p>
      <w:pPr>
        <w:spacing w:after="0" w:line="80" w:lineRule="exact"/>
        <w:rPr>
          <w:sz w:val="20"/>
          <w:szCs w:val="20"/>
          <w:color w:val="auto"/>
        </w:rPr>
      </w:pPr>
    </w:p>
    <w:p>
      <w:pPr>
        <w:ind w:left="40" w:right="3080"/>
        <w:spacing w:after="0" w:line="361" w:lineRule="auto"/>
        <w:rPr>
          <w:sz w:val="20"/>
          <w:szCs w:val="20"/>
          <w:color w:val="auto"/>
        </w:rPr>
      </w:pPr>
      <w:r>
        <w:rPr>
          <w:rFonts w:ascii="Arial" w:cs="Arial" w:eastAsia="Arial" w:hAnsi="Arial"/>
          <w:sz w:val="16"/>
          <w:szCs w:val="16"/>
          <w:b w:val="1"/>
          <w:bCs w:val="1"/>
          <w:color w:val="auto"/>
        </w:rPr>
        <w:t>Income (Loss) from Continuing Operations Before Income Taxes Provision for Income Taxes</w:t>
      </w:r>
    </w:p>
    <w:p>
      <w:pPr>
        <w:ind w:left="40"/>
        <w:spacing w:after="0"/>
        <w:rPr>
          <w:sz w:val="20"/>
          <w:szCs w:val="20"/>
          <w:color w:val="auto"/>
        </w:rPr>
      </w:pPr>
      <w:r>
        <w:rPr>
          <w:rFonts w:ascii="Arial" w:cs="Arial" w:eastAsia="Arial" w:hAnsi="Arial"/>
          <w:sz w:val="16"/>
          <w:szCs w:val="16"/>
          <w:b w:val="1"/>
          <w:bCs w:val="1"/>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Redeemable Preferred Stock Dividends</w:t>
      </w:r>
    </w:p>
    <w:p>
      <w:pPr>
        <w:spacing w:after="0" w:line="113" w:lineRule="exact"/>
        <w:rPr>
          <w:sz w:val="20"/>
          <w:szCs w:val="20"/>
          <w:color w:val="auto"/>
        </w:rPr>
      </w:pPr>
    </w:p>
    <w:p>
      <w:pPr>
        <w:ind w:left="40" w:right="2020"/>
        <w:spacing w:after="0" w:line="382" w:lineRule="auto"/>
        <w:rPr>
          <w:sz w:val="20"/>
          <w:szCs w:val="20"/>
          <w:color w:val="auto"/>
        </w:rPr>
      </w:pPr>
      <w:r>
        <w:rPr>
          <w:rFonts w:ascii="Arial" w:cs="Arial" w:eastAsia="Arial" w:hAnsi="Arial"/>
          <w:sz w:val="16"/>
          <w:szCs w:val="16"/>
          <w:b w:val="1"/>
          <w:bCs w:val="1"/>
          <w:color w:val="auto"/>
        </w:rPr>
        <w:t>Net Income Attributable to Graham Holdings Company Common Stockholders Amounts Attributable to Graham Holdings Company Common Stockholders</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from discontinued operations, net of tax</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106" w:lineRule="exact"/>
        <w:rPr>
          <w:sz w:val="20"/>
          <w:szCs w:val="20"/>
          <w:color w:val="auto"/>
        </w:rPr>
      </w:pPr>
    </w:p>
    <w:p>
      <w:pPr>
        <w:ind w:left="280" w:right="3040"/>
        <w:spacing w:after="0" w:line="366" w:lineRule="auto"/>
        <w:rPr>
          <w:sz w:val="20"/>
          <w:szCs w:val="20"/>
          <w:color w:val="auto"/>
        </w:rPr>
      </w:pPr>
      <w:r>
        <w:rPr>
          <w:rFonts w:ascii="Arial" w:cs="Arial" w:eastAsia="Arial" w:hAnsi="Arial"/>
          <w:sz w:val="16"/>
          <w:szCs w:val="16"/>
          <w:color w:val="auto"/>
        </w:rPr>
        <w:t>Basic income (loss) per common share from continuing operations Basic income per common share from discontinued operations</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Basic net income per common share</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Basic average number of common shares outstanding</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Diluted income (loss) per common share from continuing operations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Diluted income per common share from discontinued operations</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Diluted net income per common share</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0"/>
        <w:spacing w:after="0"/>
        <w:tabs>
          <w:tab w:leader="none" w:pos="540" w:val="left"/>
          <w:tab w:leader="none" w:pos="1380" w:val="left"/>
          <w:tab w:leader="none" w:pos="1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401,006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500,602</w:t>
      </w:r>
    </w:p>
    <w:p>
      <w:pPr>
        <w:spacing w:after="0" w:line="8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6"/>
          <w:szCs w:val="16"/>
          <w:b w:val="1"/>
          <w:bCs w:val="1"/>
          <w:color w:val="auto"/>
        </w:rPr>
        <w:t>68,158</w:t>
      </w:r>
      <w:r>
        <w:rPr>
          <w:sz w:val="20"/>
          <w:szCs w:val="20"/>
          <w:color w:val="auto"/>
        </w:rPr>
        <w:tab/>
      </w:r>
      <w:r>
        <w:rPr>
          <w:rFonts w:ascii="Arial" w:cs="Arial" w:eastAsia="Arial" w:hAnsi="Arial"/>
          <w:sz w:val="16"/>
          <w:szCs w:val="16"/>
          <w:color w:val="auto"/>
        </w:rPr>
        <w:t>66,454</w:t>
      </w:r>
    </w:p>
    <w:p>
      <w:pPr>
        <w:spacing w:after="0" w:line="86" w:lineRule="exact"/>
        <w:rPr>
          <w:sz w:val="20"/>
          <w:szCs w:val="20"/>
          <w:color w:val="auto"/>
        </w:rPr>
      </w:pPr>
    </w:p>
    <w:p>
      <w:pPr>
        <w:ind w:left="560"/>
        <w:spacing w:after="0"/>
        <w:tabs>
          <w:tab w:leader="none" w:pos="2000" w:val="left"/>
        </w:tabs>
        <w:rPr>
          <w:sz w:val="20"/>
          <w:szCs w:val="20"/>
          <w:color w:val="auto"/>
        </w:rPr>
      </w:pPr>
      <w:r>
        <w:rPr>
          <w:rFonts w:ascii="Arial" w:cs="Arial" w:eastAsia="Arial" w:hAnsi="Arial"/>
          <w:sz w:val="16"/>
          <w:szCs w:val="16"/>
          <w:b w:val="1"/>
          <w:bCs w:val="1"/>
          <w:color w:val="auto"/>
        </w:rPr>
        <w:t>132,576</w:t>
      </w:r>
      <w:r>
        <w:rPr>
          <w:sz w:val="20"/>
          <w:szCs w:val="20"/>
          <w:color w:val="auto"/>
        </w:rPr>
        <w:tab/>
      </w:r>
      <w:r>
        <w:rPr>
          <w:rFonts w:ascii="Arial" w:cs="Arial" w:eastAsia="Arial" w:hAnsi="Arial"/>
          <w:sz w:val="16"/>
          <w:szCs w:val="16"/>
          <w:color w:val="auto"/>
        </w:rPr>
        <w:t>80,369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0" w:lineRule="exact"/>
        <w:rPr>
          <w:sz w:val="20"/>
          <w:szCs w:val="20"/>
          <w:color w:val="auto"/>
        </w:rPr>
      </w:pPr>
    </w:p>
    <w:p>
      <w:pPr>
        <w:ind w:left="560"/>
        <w:spacing w:after="0"/>
        <w:tabs>
          <w:tab w:leader="none" w:pos="1900" w:val="left"/>
        </w:tabs>
        <w:rPr>
          <w:sz w:val="20"/>
          <w:szCs w:val="20"/>
          <w:color w:val="auto"/>
        </w:rPr>
      </w:pPr>
      <w:r>
        <w:rPr>
          <w:rFonts w:ascii="Arial" w:cs="Arial" w:eastAsia="Arial" w:hAnsi="Arial"/>
          <w:sz w:val="16"/>
          <w:szCs w:val="16"/>
          <w:b w:val="1"/>
          <w:bCs w:val="1"/>
          <w:color w:val="auto"/>
        </w:rPr>
        <w:t>601,740</w:t>
      </w:r>
      <w:r>
        <w:rPr>
          <w:sz w:val="20"/>
          <w:szCs w:val="20"/>
          <w:color w:val="auto"/>
        </w:rPr>
        <w:tab/>
      </w:r>
      <w:r>
        <w:rPr>
          <w:rFonts w:ascii="Arial" w:cs="Arial" w:eastAsia="Arial" w:hAnsi="Arial"/>
          <w:sz w:val="16"/>
          <w:szCs w:val="16"/>
          <w:color w:val="auto"/>
        </w:rPr>
        <w:t>647,425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663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50" w:lineRule="exact"/>
        <w:rPr>
          <w:sz w:val="20"/>
          <w:szCs w:val="20"/>
          <w:color w:val="auto"/>
        </w:rPr>
      </w:pPr>
    </w:p>
    <w:p>
      <w:pPr>
        <w:ind w:left="560"/>
        <w:spacing w:after="0"/>
        <w:tabs>
          <w:tab w:leader="none" w:pos="1900" w:val="left"/>
        </w:tabs>
        <w:rPr>
          <w:sz w:val="20"/>
          <w:szCs w:val="20"/>
          <w:color w:val="auto"/>
        </w:rPr>
      </w:pPr>
      <w:r>
        <w:rPr>
          <w:rFonts w:ascii="Arial" w:cs="Arial" w:eastAsia="Arial" w:hAnsi="Arial"/>
          <w:sz w:val="16"/>
          <w:szCs w:val="16"/>
          <w:b w:val="1"/>
          <w:bCs w:val="1"/>
          <w:color w:val="auto"/>
        </w:rPr>
        <w:t>291,632</w:t>
      </w:r>
      <w:r>
        <w:rPr>
          <w:sz w:val="20"/>
          <w:szCs w:val="20"/>
          <w:color w:val="auto"/>
        </w:rPr>
        <w:tab/>
      </w:r>
      <w:r>
        <w:rPr>
          <w:rFonts w:ascii="Arial" w:cs="Arial" w:eastAsia="Arial" w:hAnsi="Arial"/>
          <w:sz w:val="16"/>
          <w:szCs w:val="16"/>
          <w:color w:val="auto"/>
        </w:rPr>
        <w:t>309,223</w:t>
      </w:r>
    </w:p>
    <w:p>
      <w:pPr>
        <w:spacing w:after="0" w:line="86" w:lineRule="exact"/>
        <w:rPr>
          <w:sz w:val="20"/>
          <w:szCs w:val="20"/>
          <w:color w:val="auto"/>
        </w:rPr>
      </w:pPr>
    </w:p>
    <w:p>
      <w:pPr>
        <w:ind w:left="560"/>
        <w:spacing w:after="0"/>
        <w:tabs>
          <w:tab w:leader="none" w:pos="1900" w:val="left"/>
        </w:tabs>
        <w:rPr>
          <w:sz w:val="20"/>
          <w:szCs w:val="20"/>
          <w:color w:val="auto"/>
        </w:rPr>
      </w:pPr>
      <w:r>
        <w:rPr>
          <w:rFonts w:ascii="Arial" w:cs="Arial" w:eastAsia="Arial" w:hAnsi="Arial"/>
          <w:sz w:val="16"/>
          <w:szCs w:val="16"/>
          <w:b w:val="1"/>
          <w:bCs w:val="1"/>
          <w:color w:val="auto"/>
        </w:rPr>
        <w:t>235,213</w:t>
      </w:r>
      <w:r>
        <w:rPr>
          <w:sz w:val="20"/>
          <w:szCs w:val="20"/>
          <w:color w:val="auto"/>
        </w:rPr>
        <w:tab/>
      </w:r>
      <w:r>
        <w:rPr>
          <w:rFonts w:ascii="Arial" w:cs="Arial" w:eastAsia="Arial" w:hAnsi="Arial"/>
          <w:sz w:val="16"/>
          <w:szCs w:val="16"/>
          <w:color w:val="auto"/>
        </w:rPr>
        <w:t>302,405</w:t>
      </w:r>
    </w:p>
    <w:p>
      <w:pPr>
        <w:spacing w:after="0" w:line="8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6"/>
          <w:szCs w:val="16"/>
          <w:b w:val="1"/>
          <w:bCs w:val="1"/>
          <w:color w:val="auto"/>
        </w:rPr>
        <w:t>16,761</w:t>
      </w:r>
      <w:r>
        <w:rPr>
          <w:sz w:val="20"/>
          <w:szCs w:val="20"/>
          <w:color w:val="auto"/>
        </w:rPr>
        <w:tab/>
      </w:r>
      <w:r>
        <w:rPr>
          <w:rFonts w:ascii="Arial" w:cs="Arial" w:eastAsia="Arial" w:hAnsi="Arial"/>
          <w:sz w:val="16"/>
          <w:szCs w:val="16"/>
          <w:color w:val="auto"/>
        </w:rPr>
        <w:t>22,197</w:t>
      </w:r>
    </w:p>
    <w:p>
      <w:pPr>
        <w:spacing w:after="0" w:line="86" w:lineRule="exact"/>
        <w:rPr>
          <w:sz w:val="20"/>
          <w:szCs w:val="20"/>
          <w:color w:val="auto"/>
        </w:rPr>
      </w:pPr>
    </w:p>
    <w:p>
      <w:pPr>
        <w:ind w:left="740"/>
        <w:spacing w:after="0"/>
        <w:tabs>
          <w:tab w:leader="none" w:pos="2080" w:val="left"/>
        </w:tabs>
        <w:rPr>
          <w:sz w:val="20"/>
          <w:szCs w:val="20"/>
          <w:color w:val="auto"/>
        </w:rPr>
      </w:pPr>
      <w:r>
        <w:rPr>
          <w:rFonts w:ascii="Arial" w:cs="Arial" w:eastAsia="Arial" w:hAnsi="Arial"/>
          <w:sz w:val="16"/>
          <w:szCs w:val="16"/>
          <w:b w:val="1"/>
          <w:bCs w:val="1"/>
          <w:color w:val="auto"/>
        </w:rPr>
        <w:t>6,262</w:t>
      </w:r>
      <w:r>
        <w:rPr>
          <w:sz w:val="20"/>
          <w:szCs w:val="20"/>
          <w:color w:val="auto"/>
        </w:rPr>
        <w:tab/>
      </w:r>
      <w:r>
        <w:rPr>
          <w:rFonts w:ascii="Arial" w:cs="Arial" w:eastAsia="Arial" w:hAnsi="Arial"/>
          <w:sz w:val="16"/>
          <w:szCs w:val="16"/>
          <w:color w:val="auto"/>
        </w:rPr>
        <w:t>4,738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663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0" w:lineRule="exact"/>
        <w:rPr>
          <w:sz w:val="20"/>
          <w:szCs w:val="20"/>
          <w:color w:val="auto"/>
        </w:rPr>
      </w:pPr>
    </w:p>
    <w:p>
      <w:pPr>
        <w:ind w:left="560"/>
        <w:spacing w:after="0"/>
        <w:tabs>
          <w:tab w:leader="none" w:pos="1900" w:val="left"/>
        </w:tabs>
        <w:rPr>
          <w:sz w:val="20"/>
          <w:szCs w:val="20"/>
          <w:color w:val="auto"/>
        </w:rPr>
      </w:pPr>
      <w:r>
        <w:rPr>
          <w:rFonts w:ascii="Arial" w:cs="Arial" w:eastAsia="Arial" w:hAnsi="Arial"/>
          <w:sz w:val="16"/>
          <w:szCs w:val="16"/>
          <w:b w:val="1"/>
          <w:bCs w:val="1"/>
          <w:color w:val="auto"/>
        </w:rPr>
        <w:t>549,868</w:t>
      </w:r>
      <w:r>
        <w:rPr>
          <w:sz w:val="20"/>
          <w:szCs w:val="20"/>
          <w:color w:val="auto"/>
        </w:rPr>
        <w:tab/>
      </w:r>
      <w:r>
        <w:rPr>
          <w:rFonts w:ascii="Arial" w:cs="Arial" w:eastAsia="Arial" w:hAnsi="Arial"/>
          <w:sz w:val="16"/>
          <w:szCs w:val="16"/>
          <w:color w:val="auto"/>
        </w:rPr>
        <w:t>638,563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663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0"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6"/>
          <w:szCs w:val="16"/>
          <w:b w:val="1"/>
          <w:bCs w:val="1"/>
          <w:color w:val="auto"/>
        </w:rPr>
        <w:t>51,872</w:t>
      </w:r>
      <w:r>
        <w:rPr>
          <w:sz w:val="20"/>
          <w:szCs w:val="20"/>
          <w:color w:val="auto"/>
        </w:rPr>
        <w:tab/>
      </w:r>
      <w:r>
        <w:rPr>
          <w:rFonts w:ascii="Arial" w:cs="Arial" w:eastAsia="Arial" w:hAnsi="Arial"/>
          <w:sz w:val="16"/>
          <w:szCs w:val="16"/>
          <w:color w:val="auto"/>
        </w:rPr>
        <w:t>8,862</w:t>
      </w:r>
    </w:p>
    <w:p>
      <w:pPr>
        <w:spacing w:after="0" w:line="86" w:lineRule="exact"/>
        <w:rPr>
          <w:sz w:val="20"/>
          <w:szCs w:val="20"/>
          <w:color w:val="auto"/>
        </w:rPr>
      </w:pPr>
    </w:p>
    <w:p>
      <w:pPr>
        <w:ind w:left="740"/>
        <w:spacing w:after="0"/>
        <w:tabs>
          <w:tab w:leader="none" w:pos="2160" w:val="left"/>
        </w:tabs>
        <w:rPr>
          <w:sz w:val="20"/>
          <w:szCs w:val="20"/>
          <w:color w:val="auto"/>
        </w:rPr>
      </w:pPr>
      <w:r>
        <w:rPr>
          <w:rFonts w:ascii="Arial" w:cs="Arial" w:eastAsia="Arial" w:hAnsi="Arial"/>
          <w:sz w:val="16"/>
          <w:szCs w:val="16"/>
          <w:b w:val="1"/>
          <w:bCs w:val="1"/>
          <w:color w:val="auto"/>
        </w:rPr>
        <w:t>1,004</w:t>
      </w:r>
      <w:r>
        <w:rPr>
          <w:sz w:val="20"/>
          <w:szCs w:val="20"/>
          <w:color w:val="auto"/>
        </w:rPr>
        <w:tab/>
      </w:r>
      <w:r>
        <w:rPr>
          <w:rFonts w:ascii="Arial" w:cs="Arial" w:eastAsia="Arial" w:hAnsi="Arial"/>
          <w:sz w:val="16"/>
          <w:szCs w:val="16"/>
          <w:color w:val="auto"/>
        </w:rPr>
        <w:t>(404)</w:t>
      </w:r>
    </w:p>
    <w:p>
      <w:pPr>
        <w:spacing w:after="0" w:line="106" w:lineRule="exact"/>
        <w:rPr>
          <w:sz w:val="20"/>
          <w:szCs w:val="20"/>
          <w:color w:val="auto"/>
        </w:rPr>
      </w:pPr>
    </w:p>
    <w:p>
      <w:pPr>
        <w:ind w:left="2240" w:hanging="1362"/>
        <w:spacing w:after="0"/>
        <w:tabs>
          <w:tab w:leader="none" w:pos="22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559</w:t>
      </w:r>
    </w:p>
    <w:p>
      <w:pPr>
        <w:spacing w:after="0" w:line="66" w:lineRule="exact"/>
        <w:rPr>
          <w:rFonts w:ascii="Arial" w:cs="Arial" w:eastAsia="Arial" w:hAnsi="Arial"/>
          <w:sz w:val="16"/>
          <w:szCs w:val="16"/>
          <w:b w:val="1"/>
          <w:bCs w:val="1"/>
          <w:color w:val="auto"/>
        </w:rPr>
      </w:pPr>
    </w:p>
    <w:p>
      <w:pPr>
        <w:ind w:left="6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(7,948)</w:t>
      </w:r>
      <w:r>
        <w:rPr>
          <w:rFonts w:ascii="Arial" w:cs="Arial" w:eastAsia="Arial" w:hAnsi="Arial"/>
          <w:sz w:val="15"/>
          <w:szCs w:val="15"/>
          <w:color w:val="auto"/>
        </w:rPr>
        <w:t>(8,501)</w:t>
      </w:r>
    </w:p>
    <w:p>
      <w:pPr>
        <w:spacing w:after="0" w:line="8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15,096</w:t>
      </w:r>
      <w:r>
        <w:rPr>
          <w:rFonts w:ascii="Arial" w:cs="Arial" w:eastAsia="Arial" w:hAnsi="Arial"/>
          <w:sz w:val="15"/>
          <w:szCs w:val="15"/>
          <w:color w:val="auto"/>
        </w:rPr>
        <w:t>(1,105)</w:t>
      </w:r>
    </w:p>
    <w:p>
      <w:pPr>
        <w:spacing w:after="0" w:line="99"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60,615</w:t>
      </w:r>
      <w:r>
        <w:rPr>
          <w:rFonts w:ascii="Arial" w:cs="Arial" w:eastAsia="Arial" w:hAnsi="Arial"/>
          <w:sz w:val="16"/>
          <w:szCs w:val="16"/>
          <w:color w:val="auto"/>
        </w:rPr>
        <w:t>(589)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1663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22,400</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900</w:t>
            </w:r>
          </w:p>
        </w:tc>
      </w:tr>
      <w:tr>
        <w:trPr>
          <w:trHeight w:val="251"/>
        </w:trPr>
        <w:tc>
          <w:tcPr>
            <w:tcW w:w="3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38,215</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(1,489)</w:t>
            </w:r>
          </w:p>
        </w:tc>
      </w:tr>
      <w:tr>
        <w:trPr>
          <w:trHeight w:val="283"/>
        </w:trPr>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23,289</w:t>
            </w:r>
          </w:p>
        </w:tc>
      </w:tr>
      <w:tr>
        <w:trPr>
          <w:trHeight w:val="251"/>
        </w:trPr>
        <w:tc>
          <w:tcPr>
            <w:tcW w:w="3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38,215</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21,800</w:t>
            </w:r>
          </w:p>
        </w:tc>
      </w:tr>
      <w:tr>
        <w:trPr>
          <w:trHeight w:val="283"/>
        </w:trPr>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(435)</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r>
      <w:tr>
        <w:trPr>
          <w:trHeight w:val="251"/>
        </w:trPr>
        <w:tc>
          <w:tcPr>
            <w:tcW w:w="3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37,780</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21,026</w:t>
            </w:r>
          </w:p>
        </w:tc>
      </w:tr>
      <w:tr>
        <w:trPr>
          <w:trHeight w:val="283"/>
        </w:trPr>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r>
      <w:tr>
        <w:trPr>
          <w:trHeight w:val="264"/>
        </w:trPr>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37,780</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20,606</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08"/>
        </w:trPr>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37,780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(2,683)</w:t>
            </w:r>
          </w:p>
        </w:tc>
      </w:tr>
      <w:tr>
        <w:trPr>
          <w:trHeight w:val="283"/>
        </w:trPr>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23,289</w:t>
            </w:r>
          </w:p>
        </w:tc>
      </w:tr>
      <w:tr>
        <w:trPr>
          <w:trHeight w:val="264"/>
        </w:trPr>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37,780</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20,606</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08"/>
        </w:trPr>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6.63</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(0.58)</w:t>
            </w:r>
          </w:p>
        </w:tc>
      </w:tr>
      <w:tr>
        <w:trPr>
          <w:trHeight w:val="283"/>
        </w:trPr>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4.09</w:t>
            </w:r>
          </w:p>
        </w:tc>
      </w:tr>
      <w:tr>
        <w:trPr>
          <w:trHeight w:val="264"/>
        </w:trPr>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6.63</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5,623</w:t>
            </w: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5,704</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8"/>
        </w:trPr>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6.59</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(0.58)</w:t>
            </w:r>
          </w:p>
        </w:tc>
      </w:tr>
      <w:tr>
        <w:trPr>
          <w:trHeight w:val="283"/>
        </w:trPr>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4.06</w:t>
            </w:r>
          </w:p>
        </w:tc>
      </w:tr>
      <w:tr>
        <w:trPr>
          <w:trHeight w:val="264"/>
        </w:trPr>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6.59</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3.48</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5,652</w:t>
            </w: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5,791</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80" w:space="720"/>
            <w:col w:w="2620"/>
          </w:cols>
          <w:pgMar w:left="240" w:top="697" w:right="2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697" w:right="239" w:bottom="1440" w:gutter="0" w:footer="0" w:header="0"/>
          <w:type w:val="continuous"/>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697"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9"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March 31</w:t>
            </w:r>
          </w:p>
        </w:tc>
      </w:tr>
      <w:tr>
        <w:trPr>
          <w:trHeight w:val="258"/>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711"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38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on available-for-sale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(losses) for the period,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Reclassification of realized gain on sale of available-for-sale securities included in net income</w:t>
      </w:r>
    </w:p>
    <w:p>
      <w:pPr>
        <w:spacing w:after="0" w:line="3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net prior service cost included in net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3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flow hedge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benefit related to items of other comprehensive income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left="400" w:hanging="394"/>
        <w:spacing w:after="0"/>
        <w:tabs>
          <w:tab w:leader="none" w:pos="4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38,215   </w:t>
      </w:r>
      <w:r>
        <w:rPr>
          <w:rFonts w:ascii="Arial" w:cs="Arial" w:eastAsia="Arial" w:hAnsi="Arial"/>
          <w:sz w:val="16"/>
          <w:szCs w:val="16"/>
          <w:color w:val="auto"/>
        </w:rPr>
        <w:t>$    21,800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500"/>
        <w:spacing w:after="0"/>
        <w:tabs>
          <w:tab w:leader="none" w:pos="1460" w:val="left"/>
        </w:tabs>
        <w:rPr>
          <w:sz w:val="20"/>
          <w:szCs w:val="20"/>
          <w:color w:val="auto"/>
        </w:rPr>
      </w:pPr>
      <w:r>
        <w:rPr>
          <w:rFonts w:ascii="Arial" w:cs="Arial" w:eastAsia="Arial" w:hAnsi="Arial"/>
          <w:sz w:val="16"/>
          <w:szCs w:val="16"/>
          <w:b w:val="1"/>
          <w:bCs w:val="1"/>
          <w:color w:val="auto"/>
        </w:rPr>
        <w:t>3,845</w:t>
      </w:r>
      <w:r>
        <w:rPr>
          <w:sz w:val="20"/>
          <w:szCs w:val="20"/>
          <w:color w:val="auto"/>
        </w:rPr>
        <w:tab/>
      </w:r>
      <w:r>
        <w:rPr>
          <w:rFonts w:ascii="Arial" w:cs="Arial" w:eastAsia="Arial" w:hAnsi="Arial"/>
          <w:sz w:val="16"/>
          <w:szCs w:val="16"/>
          <w:color w:val="auto"/>
        </w:rPr>
        <w:t>(12,088)</w:t>
      </w:r>
    </w:p>
    <w:p>
      <w:pPr>
        <w:spacing w:after="0" w:line="86"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5"/>
          <w:szCs w:val="15"/>
          <w:color w:val="auto"/>
        </w:rPr>
        <w:t>(41)</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3,845</w:t>
      </w:r>
      <w:r>
        <w:rPr>
          <w:rFonts w:ascii="Arial" w:cs="Arial" w:eastAsia="Arial" w:hAnsi="Arial"/>
          <w:sz w:val="16"/>
          <w:szCs w:val="16"/>
          <w:color w:val="auto"/>
        </w:rPr>
        <w:t>(12,129)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-147320</wp:posOffset>
            </wp:positionV>
            <wp:extent cx="13722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70" w:lineRule="exact"/>
        <w:rPr>
          <w:sz w:val="20"/>
          <w:szCs w:val="20"/>
          <w:color w:val="auto"/>
        </w:rPr>
      </w:pPr>
    </w:p>
    <w:p>
      <w:pPr>
        <w:ind w:left="1580" w:hanging="953"/>
        <w:spacing w:after="0"/>
        <w:tabs>
          <w:tab w:leader="none" w:pos="158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(8,878)</w:t>
      </w:r>
    </w:p>
    <w:p>
      <w:pPr>
        <w:spacing w:after="0" w:line="77" w:lineRule="exact"/>
        <w:rPr>
          <w:rFonts w:ascii="Arial" w:cs="Arial" w:eastAsia="Arial" w:hAnsi="Arial"/>
          <w:sz w:val="15"/>
          <w:szCs w:val="15"/>
          <w:b w:val="1"/>
          <w:bCs w:val="1"/>
          <w:color w:val="auto"/>
        </w:rPr>
      </w:pPr>
    </w:p>
    <w:p>
      <w:pPr>
        <w:ind w:left="440"/>
        <w:spacing w:after="0"/>
        <w:rPr>
          <w:rFonts w:ascii="Arial" w:cs="Arial" w:eastAsia="Arial" w:hAnsi="Arial"/>
          <w:sz w:val="15"/>
          <w:szCs w:val="15"/>
          <w:b w:val="1"/>
          <w:bCs w:val="1"/>
          <w:color w:val="auto"/>
        </w:rPr>
      </w:pPr>
      <w:r>
        <w:rPr>
          <w:rFonts w:ascii="Arial" w:cs="Arial" w:eastAsia="Arial" w:hAnsi="Arial"/>
          <w:sz w:val="16"/>
          <w:szCs w:val="16"/>
          <w:b w:val="1"/>
          <w:bCs w:val="1"/>
          <w:color w:val="auto"/>
        </w:rPr>
        <w:t>(1,754)</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jc w:val="both"/>
        <w:ind w:left="440"/>
        <w:spacing w:after="0"/>
        <w:tabs>
          <w:tab w:leader="none" w:pos="1560" w:val="left"/>
        </w:tabs>
        <w:rPr>
          <w:sz w:val="20"/>
          <w:szCs w:val="20"/>
          <w:color w:val="auto"/>
        </w:rPr>
      </w:pPr>
      <w:r>
        <w:rPr>
          <w:rFonts w:ascii="Arial" w:cs="Arial" w:eastAsia="Arial" w:hAnsi="Arial"/>
          <w:sz w:val="16"/>
          <w:szCs w:val="16"/>
          <w:b w:val="1"/>
          <w:bCs w:val="1"/>
          <w:color w:val="auto"/>
        </w:rPr>
        <w:t>(1,411)</w:t>
      </w:r>
      <w:r>
        <w:rPr>
          <w:sz w:val="20"/>
          <w:szCs w:val="20"/>
          <w:color w:val="auto"/>
        </w:rPr>
        <w:tab/>
      </w:r>
      <w:r>
        <w:rPr>
          <w:rFonts w:ascii="Arial" w:cs="Arial" w:eastAsia="Arial" w:hAnsi="Arial"/>
          <w:sz w:val="16"/>
          <w:szCs w:val="16"/>
          <w:color w:val="auto"/>
        </w:rPr>
        <w:t>(8,878)</w:t>
      </w:r>
    </w:p>
    <w:p>
      <w:pPr>
        <w:spacing w:after="0" w:line="376" w:lineRule="exact"/>
        <w:rPr>
          <w:sz w:val="20"/>
          <w:szCs w:val="20"/>
          <w:color w:val="auto"/>
        </w:rPr>
      </w:pPr>
    </w:p>
    <w:p>
      <w:pPr>
        <w:ind w:left="1860" w:hanging="1233"/>
        <w:spacing w:after="0"/>
        <w:tabs>
          <w:tab w:leader="none" w:pos="18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69</w:t>
      </w:r>
    </w:p>
    <w:p>
      <w:pPr>
        <w:spacing w:after="0" w:line="86" w:lineRule="exact"/>
        <w:rPr>
          <w:sz w:val="20"/>
          <w:szCs w:val="20"/>
          <w:color w:val="auto"/>
        </w:rPr>
      </w:pPr>
    </w:p>
    <w:p>
      <w:pPr>
        <w:ind w:left="1760" w:hanging="1133"/>
        <w:spacing w:after="0"/>
        <w:tabs>
          <w:tab w:leader="none" w:pos="17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19050</wp:posOffset>
            </wp:positionV>
            <wp:extent cx="13722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ind w:left="1760" w:hanging="1133"/>
        <w:spacing w:after="0"/>
        <w:tabs>
          <w:tab w:leader="none" w:pos="17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698</w:t>
      </w:r>
    </w:p>
    <w:p>
      <w:pPr>
        <w:spacing w:after="0" w:line="66" w:lineRule="exact"/>
        <w:rPr>
          <w:rFonts w:ascii="Arial" w:cs="Arial" w:eastAsia="Arial" w:hAnsi="Arial"/>
          <w:sz w:val="16"/>
          <w:szCs w:val="16"/>
          <w:b w:val="1"/>
          <w:bCs w:val="1"/>
          <w:color w:val="auto"/>
        </w:rPr>
      </w:pPr>
    </w:p>
    <w:p>
      <w:pPr>
        <w:ind w:left="7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jc w:val="both"/>
        <w:ind w:left="500"/>
        <w:spacing w:after="0"/>
        <w:tabs>
          <w:tab w:leader="none" w:pos="1460" w:val="left"/>
        </w:tabs>
        <w:rPr>
          <w:sz w:val="20"/>
          <w:szCs w:val="20"/>
          <w:color w:val="auto"/>
        </w:rPr>
      </w:pPr>
      <w:r>
        <w:rPr>
          <w:rFonts w:ascii="Arial" w:cs="Arial" w:eastAsia="Arial" w:hAnsi="Arial"/>
          <w:sz w:val="16"/>
          <w:szCs w:val="16"/>
          <w:b w:val="1"/>
          <w:bCs w:val="1"/>
          <w:color w:val="auto"/>
        </w:rPr>
        <w:t>2,828</w:t>
      </w:r>
      <w:r>
        <w:rPr>
          <w:sz w:val="20"/>
          <w:szCs w:val="20"/>
          <w:color w:val="auto"/>
        </w:rPr>
        <w:tab/>
      </w:r>
      <w:r>
        <w:rPr>
          <w:rFonts w:ascii="Arial" w:cs="Arial" w:eastAsia="Arial" w:hAnsi="Arial"/>
          <w:sz w:val="16"/>
          <w:szCs w:val="16"/>
          <w:color w:val="auto"/>
        </w:rPr>
        <w:t>(20,130)</w:t>
      </w:r>
    </w:p>
    <w:p>
      <w:pPr>
        <w:spacing w:after="0" w:line="106" w:lineRule="exact"/>
        <w:rPr>
          <w:sz w:val="20"/>
          <w:szCs w:val="20"/>
          <w:color w:val="auto"/>
        </w:rPr>
      </w:pPr>
    </w:p>
    <w:p>
      <w:pPr>
        <w:ind w:left="1620" w:hanging="993"/>
        <w:spacing w:after="0"/>
        <w:tabs>
          <w:tab w:leader="none" w:pos="162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3,202</w:t>
      </w:r>
    </w:p>
    <w:p>
      <w:pPr>
        <w:spacing w:after="0" w:line="79"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3,235</w:t>
      </w:r>
      <w:r>
        <w:rPr>
          <w:rFonts w:ascii="Arial" w:cs="Arial" w:eastAsia="Arial" w:hAnsi="Arial"/>
          <w:sz w:val="16"/>
          <w:szCs w:val="16"/>
          <w:color w:val="auto"/>
        </w:rPr>
        <w:t>(16,928)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-147320</wp:posOffset>
            </wp:positionV>
            <wp:extent cx="1372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ind w:left="400"/>
        <w:spacing w:after="0"/>
        <w:tabs>
          <w:tab w:leader="none" w:pos="1600" w:val="left"/>
        </w:tabs>
        <w:rPr>
          <w:sz w:val="20"/>
          <w:szCs w:val="20"/>
          <w:color w:val="auto"/>
        </w:rPr>
      </w:pPr>
      <w:r>
        <w:rPr>
          <w:rFonts w:ascii="Arial" w:cs="Arial" w:eastAsia="Arial" w:hAnsi="Arial"/>
          <w:sz w:val="16"/>
          <w:szCs w:val="16"/>
          <w:b w:val="1"/>
          <w:bCs w:val="1"/>
          <w:color w:val="auto"/>
        </w:rPr>
        <w:t>41,450</w:t>
      </w:r>
      <w:r>
        <w:rPr>
          <w:sz w:val="20"/>
          <w:szCs w:val="20"/>
          <w:color w:val="auto"/>
        </w:rPr>
        <w:tab/>
      </w:r>
      <w:r>
        <w:rPr>
          <w:rFonts w:ascii="Arial" w:cs="Arial" w:eastAsia="Arial" w:hAnsi="Arial"/>
          <w:sz w:val="16"/>
          <w:szCs w:val="16"/>
          <w:color w:val="auto"/>
        </w:rPr>
        <w:t>4,872</w:t>
      </w:r>
    </w:p>
    <w:p>
      <w:pPr>
        <w:spacing w:after="0" w:line="106" w:lineRule="exact"/>
        <w:rPr>
          <w:sz w:val="20"/>
          <w:szCs w:val="20"/>
          <w:color w:val="auto"/>
        </w:rPr>
      </w:pPr>
    </w:p>
    <w:p>
      <w:pPr>
        <w:ind w:left="1700" w:hanging="1127"/>
        <w:spacing w:after="0"/>
        <w:tabs>
          <w:tab w:leader="none" w:pos="170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(774)</w:t>
      </w:r>
    </w:p>
    <w:p>
      <w:pPr>
        <w:spacing w:after="0" w:line="7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41,015   </w:t>
      </w:r>
      <w:r>
        <w:rPr>
          <w:rFonts w:ascii="Arial" w:cs="Arial" w:eastAsia="Arial" w:hAnsi="Arial"/>
          <w:sz w:val="16"/>
          <w:szCs w:val="16"/>
          <w:color w:val="auto"/>
        </w:rPr>
        <w:t>$4,098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48895</wp:posOffset>
            </wp:positionV>
            <wp:extent cx="13722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-147320</wp:posOffset>
            </wp:positionV>
            <wp:extent cx="13722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2">
            <w:col w:w="8560" w:space="720"/>
            <w:col w:w="2140"/>
          </w:cols>
          <w:pgMar w:left="240" w:top="711"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2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5"/>
                <w:szCs w:val="15"/>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8"/>
        </w:trPr>
        <w:tc>
          <w:tcPr>
            <w:tcW w:w="8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center"/>
              <w:ind w:right="20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530,587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754,207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34,633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20,745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384,175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379,445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535,574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572,435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29,826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48,383</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31,729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32,068</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58,965</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53,439</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1,605,489</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1,860,722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224,986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231,123</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60,582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59,229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1,180,924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1,017,513</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73,779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21,885</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106,921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107,191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992,103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979,970</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67,741</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75,192</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4,312,525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4,352,825</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399,127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428,014</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329,885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297,135</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6,820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735,832</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725,149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Postretirement Benefits Other Than Pensions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33,808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33,947</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189,808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203,280</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70,522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70,678</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416,116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403,316</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399,914</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399,800</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1,846,000</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1,836,170</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26,392</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25,957</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20,000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360,229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356,887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5,471,698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5,447,677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net of tax</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(1,004)</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(4,849)</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available-for-sale securities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57,653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58,500</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261,266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261,029</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Cost of Class B common stock held in treasury</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(3,729,709)</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(3,648,546)</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2,440,133</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2,490,698</w:t>
            </w:r>
          </w:p>
        </w:tc>
        <w:tc>
          <w:tcPr>
            <w:tcW w:w="0" w:type="dxa"/>
            <w:vAlign w:val="bottom"/>
          </w:tcPr>
          <w:p>
            <w:pPr>
              <w:spacing w:after="0"/>
              <w:rPr>
                <w:sz w:val="1"/>
                <w:szCs w:val="1"/>
                <w:color w:val="auto"/>
              </w:rPr>
            </w:pPr>
          </w:p>
        </w:tc>
      </w:tr>
      <w:tr>
        <w:trPr>
          <w:trHeight w:val="267"/>
        </w:trPr>
        <w:tc>
          <w:tcPr>
            <w:tcW w:w="832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4,312,525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4,352,825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00"/>
          </w:cols>
          <w:pgMar w:left="240" w:top="697" w:right="259" w:bottom="719"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697" w:right="259" w:bottom="719"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14605</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5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r>
    </w:tbl>
    <w:p>
      <w:pPr>
        <w:spacing w:after="0" w:line="36" w:lineRule="exact"/>
        <w:rPr>
          <w:sz w:val="20"/>
          <w:szCs w:val="20"/>
          <w:color w:val="auto"/>
        </w:rPr>
      </w:pPr>
    </w:p>
    <w:p>
      <w:pPr>
        <w:sectPr>
          <w:pgSz w:w="11900" w:h="16838" w:orient="portrait"/>
          <w:cols w:equalWidth="0" w:num="1">
            <w:col w:w="11420"/>
          </w:cols>
          <w:pgMar w:left="240" w:top="711"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pension benefit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Stock-based compensation expense,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exchange loss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Gain on disposition of businesses, investments and other assets,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losses of affiliates, net of distributions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Provision (benefit) for deferred income taxes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Change in operating assets and liabilities: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Restricted cash</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Income taxes receivable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assets and other liabilities,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Provided by (Used in) Operating Activities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Investments in certain businesses, net of cash acquired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Purchases of marketable equity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sales of marketable equity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Purchases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Investments in equity affiliates and cost method investments</w:t>
      </w:r>
    </w:p>
    <w:p>
      <w:pPr>
        <w:spacing w:after="0" w:line="86" w:lineRule="exact"/>
        <w:rPr>
          <w:sz w:val="20"/>
          <w:szCs w:val="20"/>
          <w:color w:val="auto"/>
        </w:rPr>
      </w:pPr>
    </w:p>
    <w:p>
      <w:pPr>
        <w:ind w:left="500" w:right="1800" w:hanging="215"/>
        <w:spacing w:after="0" w:line="356" w:lineRule="auto"/>
        <w:rPr>
          <w:sz w:val="20"/>
          <w:szCs w:val="20"/>
          <w:color w:val="auto"/>
        </w:rPr>
      </w:pPr>
      <w:r>
        <w:rPr>
          <w:rFonts w:ascii="Arial" w:cs="Arial" w:eastAsia="Arial" w:hAnsi="Arial"/>
          <w:sz w:val="16"/>
          <w:szCs w:val="16"/>
          <w:color w:val="auto"/>
        </w:rPr>
        <w:t>Net proceeds from sales of businesses, property, plant and equipment and other assets Net Cash Used in Investing Activities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Common shares repurchased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Dividends paid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Repayments of borrowings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Used in Financing Activities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Effect of Currency Exchange Rate Change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Decrease in 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Beginning Cash and Cash Equivalents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Ending Cash and Cash Equivalents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tabs>
          <w:tab w:leader="none" w:pos="500" w:val="left"/>
          <w:tab w:leader="none" w:pos="1240" w:val="left"/>
          <w:tab w:leader="none" w:pos="17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38,215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21,800</w:t>
      </w:r>
    </w:p>
    <w:p>
      <w:pPr>
        <w:spacing w:after="0" w:line="356" w:lineRule="exact"/>
        <w:rPr>
          <w:sz w:val="20"/>
          <w:szCs w:val="20"/>
          <w:color w:val="auto"/>
        </w:rPr>
      </w:pPr>
    </w:p>
    <w:p>
      <w:pPr>
        <w:ind w:left="520"/>
        <w:spacing w:after="0"/>
        <w:tabs>
          <w:tab w:leader="none" w:pos="1740" w:val="left"/>
        </w:tabs>
        <w:rPr>
          <w:sz w:val="20"/>
          <w:szCs w:val="20"/>
          <w:color w:val="auto"/>
        </w:rPr>
      </w:pPr>
      <w:r>
        <w:rPr>
          <w:rFonts w:ascii="Arial" w:cs="Arial" w:eastAsia="Arial" w:hAnsi="Arial"/>
          <w:sz w:val="16"/>
          <w:szCs w:val="16"/>
          <w:b w:val="1"/>
          <w:bCs w:val="1"/>
          <w:color w:val="auto"/>
        </w:rPr>
        <w:t>23,023</w:t>
      </w:r>
      <w:r>
        <w:rPr>
          <w:sz w:val="20"/>
          <w:szCs w:val="20"/>
          <w:color w:val="auto"/>
        </w:rPr>
        <w:tab/>
      </w:r>
      <w:r>
        <w:rPr>
          <w:rFonts w:ascii="Arial" w:cs="Arial" w:eastAsia="Arial" w:hAnsi="Arial"/>
          <w:sz w:val="16"/>
          <w:szCs w:val="16"/>
          <w:color w:val="auto"/>
        </w:rPr>
        <w:t>63,314</w:t>
      </w:r>
    </w:p>
    <w:p>
      <w:pPr>
        <w:spacing w:after="0" w:line="86"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(12,059)</w:t>
      </w:r>
      <w:r>
        <w:rPr>
          <w:sz w:val="20"/>
          <w:szCs w:val="20"/>
          <w:color w:val="auto"/>
        </w:rPr>
        <w:tab/>
      </w:r>
      <w:r>
        <w:rPr>
          <w:rFonts w:ascii="Arial" w:cs="Arial" w:eastAsia="Arial" w:hAnsi="Arial"/>
          <w:sz w:val="16"/>
          <w:szCs w:val="16"/>
          <w:color w:val="auto"/>
        </w:rPr>
        <w:t>(11,432)</w:t>
      </w:r>
    </w:p>
    <w:p>
      <w:pPr>
        <w:spacing w:after="0" w:line="86"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16"/>
          <w:szCs w:val="16"/>
          <w:b w:val="1"/>
          <w:bCs w:val="1"/>
          <w:color w:val="auto"/>
        </w:rPr>
        <w:t>3,254</w:t>
      </w:r>
      <w:r>
        <w:rPr>
          <w:sz w:val="20"/>
          <w:szCs w:val="20"/>
          <w:color w:val="auto"/>
        </w:rPr>
        <w:tab/>
      </w:r>
      <w:r>
        <w:rPr>
          <w:rFonts w:ascii="Arial" w:cs="Arial" w:eastAsia="Arial" w:hAnsi="Arial"/>
          <w:sz w:val="16"/>
          <w:szCs w:val="16"/>
          <w:color w:val="auto"/>
        </w:rPr>
        <w:t>5,017</w:t>
      </w:r>
    </w:p>
    <w:p>
      <w:pPr>
        <w:spacing w:after="0" w:line="86"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16"/>
          <w:szCs w:val="16"/>
          <w:b w:val="1"/>
          <w:bCs w:val="1"/>
          <w:color w:val="auto"/>
        </w:rPr>
        <w:t>5,443</w:t>
      </w:r>
      <w:r>
        <w:rPr>
          <w:sz w:val="20"/>
          <w:szCs w:val="20"/>
          <w:color w:val="auto"/>
        </w:rPr>
        <w:tab/>
      </w:r>
      <w:r>
        <w:rPr>
          <w:rFonts w:ascii="Arial" w:cs="Arial" w:eastAsia="Arial" w:hAnsi="Arial"/>
          <w:sz w:val="16"/>
          <w:szCs w:val="16"/>
          <w:color w:val="auto"/>
        </w:rPr>
        <w:t>6,827</w:t>
      </w:r>
    </w:p>
    <w:p>
      <w:pPr>
        <w:spacing w:after="0" w:line="86" w:lineRule="exact"/>
        <w:rPr>
          <w:sz w:val="20"/>
          <w:szCs w:val="20"/>
          <w:color w:val="auto"/>
        </w:rPr>
      </w:pPr>
    </w:p>
    <w:p>
      <w:pPr>
        <w:jc w:val="both"/>
        <w:ind w:left="460"/>
        <w:spacing w:after="0"/>
        <w:tabs>
          <w:tab w:leader="none" w:pos="1780" w:val="left"/>
        </w:tabs>
        <w:rPr>
          <w:sz w:val="20"/>
          <w:szCs w:val="20"/>
          <w:color w:val="auto"/>
        </w:rPr>
      </w:pPr>
      <w:r>
        <w:rPr>
          <w:rFonts w:ascii="Arial" w:cs="Arial" w:eastAsia="Arial" w:hAnsi="Arial"/>
          <w:sz w:val="16"/>
          <w:szCs w:val="16"/>
          <w:b w:val="1"/>
          <w:bCs w:val="1"/>
          <w:color w:val="auto"/>
        </w:rPr>
        <w:t>(20,449)</w:t>
      </w:r>
      <w:r>
        <w:rPr>
          <w:sz w:val="20"/>
          <w:szCs w:val="20"/>
          <w:color w:val="auto"/>
        </w:rPr>
        <w:tab/>
      </w:r>
      <w:r>
        <w:rPr>
          <w:rFonts w:ascii="Arial" w:cs="Arial" w:eastAsia="Arial" w:hAnsi="Arial"/>
          <w:sz w:val="16"/>
          <w:szCs w:val="16"/>
          <w:color w:val="auto"/>
        </w:rPr>
        <w:t>(4,515)</w:t>
      </w:r>
    </w:p>
    <w:p>
      <w:pPr>
        <w:spacing w:after="0" w:line="86" w:lineRule="exact"/>
        <w:rPr>
          <w:sz w:val="20"/>
          <w:szCs w:val="20"/>
          <w:color w:val="auto"/>
        </w:rPr>
      </w:pPr>
    </w:p>
    <w:p>
      <w:pPr>
        <w:ind w:left="560"/>
        <w:spacing w:after="0"/>
        <w:tabs>
          <w:tab w:leader="none" w:pos="1960" w:val="left"/>
        </w:tabs>
        <w:rPr>
          <w:sz w:val="20"/>
          <w:szCs w:val="20"/>
          <w:color w:val="auto"/>
        </w:rPr>
      </w:pPr>
      <w:r>
        <w:rPr>
          <w:rFonts w:ascii="Arial" w:cs="Arial" w:eastAsia="Arial" w:hAnsi="Arial"/>
          <w:sz w:val="16"/>
          <w:szCs w:val="16"/>
          <w:b w:val="1"/>
          <w:bCs w:val="1"/>
          <w:color w:val="auto"/>
        </w:rPr>
        <w:t>(1,004)</w:t>
      </w:r>
      <w:r>
        <w:rPr>
          <w:sz w:val="20"/>
          <w:szCs w:val="20"/>
          <w:color w:val="auto"/>
        </w:rPr>
        <w:tab/>
      </w:r>
      <w:r>
        <w:rPr>
          <w:rFonts w:ascii="Arial" w:cs="Arial" w:eastAsia="Arial" w:hAnsi="Arial"/>
          <w:sz w:val="16"/>
          <w:szCs w:val="16"/>
          <w:color w:val="auto"/>
        </w:rPr>
        <w:t>594</w:t>
      </w:r>
    </w:p>
    <w:p>
      <w:pPr>
        <w:spacing w:after="0" w:line="86" w:lineRule="exact"/>
        <w:rPr>
          <w:sz w:val="20"/>
          <w:szCs w:val="20"/>
          <w:color w:val="auto"/>
        </w:rPr>
      </w:pPr>
    </w:p>
    <w:p>
      <w:pPr>
        <w:jc w:val="both"/>
        <w:ind w:left="600"/>
        <w:spacing w:after="0"/>
        <w:tabs>
          <w:tab w:leader="none" w:pos="1900" w:val="left"/>
        </w:tabs>
        <w:rPr>
          <w:sz w:val="20"/>
          <w:szCs w:val="20"/>
          <w:color w:val="auto"/>
        </w:rPr>
      </w:pPr>
      <w:r>
        <w:rPr>
          <w:rFonts w:ascii="Arial" w:cs="Arial" w:eastAsia="Arial" w:hAnsi="Arial"/>
          <w:sz w:val="16"/>
          <w:szCs w:val="16"/>
          <w:b w:val="1"/>
          <w:bCs w:val="1"/>
          <w:color w:val="auto"/>
        </w:rPr>
        <w:t>2,037</w:t>
      </w:r>
      <w:r>
        <w:rPr>
          <w:sz w:val="20"/>
          <w:szCs w:val="20"/>
          <w:color w:val="auto"/>
        </w:rPr>
        <w:tab/>
      </w:r>
      <w:r>
        <w:rPr>
          <w:rFonts w:ascii="Arial" w:cs="Arial" w:eastAsia="Arial" w:hAnsi="Arial"/>
          <w:sz w:val="16"/>
          <w:szCs w:val="16"/>
          <w:color w:val="auto"/>
        </w:rPr>
        <w:t>(114)</w:t>
      </w:r>
    </w:p>
    <w:p>
      <w:pPr>
        <w:spacing w:after="0" w:line="356" w:lineRule="exact"/>
        <w:rPr>
          <w:sz w:val="20"/>
          <w:szCs w:val="20"/>
          <w:color w:val="auto"/>
        </w:rPr>
      </w:pPr>
    </w:p>
    <w:p>
      <w:pPr>
        <w:jc w:val="both"/>
        <w:ind w:left="460"/>
        <w:spacing w:after="0"/>
        <w:tabs>
          <w:tab w:leader="none" w:pos="1780" w:val="left"/>
        </w:tabs>
        <w:rPr>
          <w:sz w:val="20"/>
          <w:szCs w:val="20"/>
          <w:color w:val="auto"/>
        </w:rPr>
      </w:pPr>
      <w:r>
        <w:rPr>
          <w:rFonts w:ascii="Arial" w:cs="Arial" w:eastAsia="Arial" w:hAnsi="Arial"/>
          <w:sz w:val="16"/>
          <w:szCs w:val="16"/>
          <w:b w:val="1"/>
          <w:bCs w:val="1"/>
          <w:color w:val="auto"/>
        </w:rPr>
        <w:t>(13,888)</w:t>
      </w:r>
      <w:r>
        <w:rPr>
          <w:sz w:val="20"/>
          <w:szCs w:val="20"/>
          <w:color w:val="auto"/>
        </w:rPr>
        <w:tab/>
      </w:r>
      <w:r>
        <w:rPr>
          <w:rFonts w:ascii="Arial" w:cs="Arial" w:eastAsia="Arial" w:hAnsi="Arial"/>
          <w:sz w:val="16"/>
          <w:szCs w:val="16"/>
          <w:color w:val="auto"/>
        </w:rPr>
        <w:t>(7,340)</w:t>
      </w:r>
    </w:p>
    <w:p>
      <w:pPr>
        <w:spacing w:after="0" w:line="86" w:lineRule="exact"/>
        <w:rPr>
          <w:sz w:val="20"/>
          <w:szCs w:val="20"/>
          <w:color w:val="auto"/>
        </w:rPr>
      </w:pPr>
    </w:p>
    <w:p>
      <w:pPr>
        <w:ind w:left="520"/>
        <w:spacing w:after="0"/>
        <w:tabs>
          <w:tab w:leader="none" w:pos="1740" w:val="left"/>
        </w:tabs>
        <w:rPr>
          <w:sz w:val="20"/>
          <w:szCs w:val="20"/>
          <w:color w:val="auto"/>
        </w:rPr>
      </w:pPr>
      <w:r>
        <w:rPr>
          <w:rFonts w:ascii="Arial" w:cs="Arial" w:eastAsia="Arial" w:hAnsi="Arial"/>
          <w:sz w:val="16"/>
          <w:szCs w:val="16"/>
          <w:b w:val="1"/>
          <w:bCs w:val="1"/>
          <w:color w:val="auto"/>
        </w:rPr>
        <w:t>41,749</w:t>
      </w:r>
      <w:r>
        <w:rPr>
          <w:sz w:val="20"/>
          <w:szCs w:val="20"/>
          <w:color w:val="auto"/>
        </w:rPr>
        <w:tab/>
      </w:r>
      <w:r>
        <w:rPr>
          <w:rFonts w:ascii="Arial" w:cs="Arial" w:eastAsia="Arial" w:hAnsi="Arial"/>
          <w:sz w:val="16"/>
          <w:szCs w:val="16"/>
          <w:color w:val="auto"/>
        </w:rPr>
        <w:t>59,741</w:t>
      </w:r>
    </w:p>
    <w:p>
      <w:pPr>
        <w:spacing w:after="0" w:line="86"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(45,930)</w:t>
      </w:r>
      <w:r>
        <w:rPr>
          <w:sz w:val="20"/>
          <w:szCs w:val="20"/>
          <w:color w:val="auto"/>
        </w:rPr>
        <w:tab/>
      </w:r>
      <w:r>
        <w:rPr>
          <w:rFonts w:ascii="Arial" w:cs="Arial" w:eastAsia="Arial" w:hAnsi="Arial"/>
          <w:sz w:val="16"/>
          <w:szCs w:val="16"/>
          <w:color w:val="auto"/>
        </w:rPr>
        <w:t>(28,337)</w:t>
      </w:r>
    </w:p>
    <w:p>
      <w:pPr>
        <w:spacing w:after="0" w:line="86" w:lineRule="exact"/>
        <w:rPr>
          <w:sz w:val="20"/>
          <w:szCs w:val="20"/>
          <w:color w:val="auto"/>
        </w:rPr>
      </w:pPr>
    </w:p>
    <w:p>
      <w:pPr>
        <w:jc w:val="both"/>
        <w:ind w:left="520"/>
        <w:spacing w:after="0"/>
        <w:tabs>
          <w:tab w:leader="none" w:pos="1680" w:val="left"/>
        </w:tabs>
        <w:rPr>
          <w:sz w:val="20"/>
          <w:szCs w:val="20"/>
          <w:color w:val="auto"/>
        </w:rPr>
      </w:pPr>
      <w:r>
        <w:rPr>
          <w:rFonts w:ascii="Arial" w:cs="Arial" w:eastAsia="Arial" w:hAnsi="Arial"/>
          <w:sz w:val="16"/>
          <w:szCs w:val="16"/>
          <w:b w:val="1"/>
          <w:bCs w:val="1"/>
          <w:color w:val="auto"/>
        </w:rPr>
        <w:t>17,695</w:t>
      </w:r>
      <w:r>
        <w:rPr>
          <w:sz w:val="20"/>
          <w:szCs w:val="20"/>
          <w:color w:val="auto"/>
        </w:rPr>
        <w:tab/>
      </w:r>
      <w:r>
        <w:rPr>
          <w:rFonts w:ascii="Arial" w:cs="Arial" w:eastAsia="Arial" w:hAnsi="Arial"/>
          <w:sz w:val="16"/>
          <w:szCs w:val="16"/>
          <w:color w:val="auto"/>
        </w:rPr>
        <w:t>(11,621)</w:t>
      </w:r>
    </w:p>
    <w:p>
      <w:pPr>
        <w:spacing w:after="0" w:line="86" w:lineRule="exact"/>
        <w:rPr>
          <w:sz w:val="20"/>
          <w:szCs w:val="20"/>
          <w:color w:val="auto"/>
        </w:rPr>
      </w:pPr>
    </w:p>
    <w:p>
      <w:pPr>
        <w:jc w:val="both"/>
        <w:ind w:left="520"/>
        <w:spacing w:after="0"/>
        <w:tabs>
          <w:tab w:leader="none" w:pos="1600" w:val="left"/>
        </w:tabs>
        <w:rPr>
          <w:sz w:val="20"/>
          <w:szCs w:val="20"/>
          <w:color w:val="auto"/>
        </w:rPr>
      </w:pPr>
      <w:r>
        <w:rPr>
          <w:rFonts w:ascii="Arial" w:cs="Arial" w:eastAsia="Arial" w:hAnsi="Arial"/>
          <w:sz w:val="16"/>
          <w:szCs w:val="16"/>
          <w:b w:val="1"/>
          <w:bCs w:val="1"/>
          <w:color w:val="auto"/>
        </w:rPr>
        <w:t>17,926</w:t>
      </w:r>
      <w:r>
        <w:rPr>
          <w:sz w:val="20"/>
          <w:szCs w:val="20"/>
          <w:color w:val="auto"/>
        </w:rPr>
        <w:tab/>
      </w:r>
      <w:r>
        <w:rPr>
          <w:rFonts w:ascii="Arial" w:cs="Arial" w:eastAsia="Arial" w:hAnsi="Arial"/>
          <w:sz w:val="16"/>
          <w:szCs w:val="16"/>
          <w:color w:val="auto"/>
        </w:rPr>
        <w:t>(117,452)</w:t>
      </w:r>
    </w:p>
    <w:p>
      <w:pPr>
        <w:spacing w:after="0" w:line="86" w:lineRule="exact"/>
        <w:rPr>
          <w:sz w:val="20"/>
          <w:szCs w:val="20"/>
          <w:color w:val="auto"/>
        </w:rPr>
      </w:pPr>
    </w:p>
    <w:p>
      <w:pPr>
        <w:jc w:val="both"/>
        <w:ind w:left="560"/>
        <w:spacing w:after="0"/>
        <w:tabs>
          <w:tab w:leader="none" w:pos="1680" w:val="left"/>
        </w:tabs>
        <w:rPr>
          <w:sz w:val="20"/>
          <w:szCs w:val="20"/>
          <w:color w:val="auto"/>
        </w:rPr>
      </w:pPr>
      <w:r>
        <w:rPr>
          <w:rFonts w:ascii="Arial" w:cs="Arial" w:eastAsia="Arial" w:hAnsi="Arial"/>
          <w:sz w:val="16"/>
          <w:szCs w:val="16"/>
          <w:b w:val="1"/>
          <w:bCs w:val="1"/>
          <w:color w:val="auto"/>
        </w:rPr>
        <w:t>(9,187)</w:t>
      </w:r>
      <w:r>
        <w:rPr>
          <w:sz w:val="20"/>
          <w:szCs w:val="20"/>
          <w:color w:val="auto"/>
        </w:rPr>
        <w:tab/>
      </w:r>
      <w:r>
        <w:rPr>
          <w:rFonts w:ascii="Arial" w:cs="Arial" w:eastAsia="Arial" w:hAnsi="Arial"/>
          <w:sz w:val="16"/>
          <w:szCs w:val="16"/>
          <w:color w:val="auto"/>
        </w:rPr>
        <w:t>(22,625)</w:t>
      </w:r>
    </w:p>
    <w:p>
      <w:pPr>
        <w:spacing w:after="0" w:line="106" w:lineRule="exact"/>
        <w:rPr>
          <w:sz w:val="20"/>
          <w:szCs w:val="20"/>
          <w:color w:val="auto"/>
        </w:rPr>
      </w:pPr>
    </w:p>
    <w:p>
      <w:pPr>
        <w:ind w:left="1980" w:hanging="1241"/>
        <w:spacing w:after="0"/>
        <w:tabs>
          <w:tab w:leader="none" w:pos="198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272</w:t>
      </w:r>
    </w:p>
    <w:p>
      <w:pPr>
        <w:spacing w:after="0" w:line="79" w:lineRule="exact"/>
        <w:rPr>
          <w:rFonts w:ascii="Arial" w:cs="Arial" w:eastAsia="Arial" w:hAnsi="Arial"/>
          <w:sz w:val="16"/>
          <w:szCs w:val="16"/>
          <w:b w:val="1"/>
          <w:bCs w:val="1"/>
          <w:color w:val="auto"/>
        </w:rPr>
      </w:pPr>
    </w:p>
    <w:p>
      <w:pPr>
        <w:ind w:left="5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46,994</w:t>
      </w:r>
      <w:r>
        <w:rPr>
          <w:rFonts w:ascii="Arial" w:cs="Arial" w:eastAsia="Arial" w:hAnsi="Arial"/>
          <w:sz w:val="16"/>
          <w:szCs w:val="16"/>
          <w:color w:val="auto"/>
        </w:rPr>
        <w:t>(45,871)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-147320</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0"/>
          <w:szCs w:val="20"/>
          <w:color w:val="auto"/>
        </w:rPr>
      </w:pPr>
    </w:p>
    <w:p>
      <w:pPr>
        <w:ind w:left="360"/>
        <w:spacing w:after="0"/>
        <w:tabs>
          <w:tab w:leader="none" w:pos="2060" w:val="left"/>
        </w:tabs>
        <w:rPr>
          <w:sz w:val="20"/>
          <w:szCs w:val="20"/>
          <w:color w:val="auto"/>
        </w:rPr>
      </w:pPr>
      <w:r>
        <w:rPr>
          <w:rFonts w:ascii="Arial" w:cs="Arial" w:eastAsia="Arial" w:hAnsi="Arial"/>
          <w:sz w:val="16"/>
          <w:szCs w:val="16"/>
          <w:b w:val="1"/>
          <w:bCs w:val="1"/>
          <w:color w:val="auto"/>
        </w:rPr>
        <w:t>(198,179)</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460"/>
        <w:spacing w:after="0"/>
        <w:tabs>
          <w:tab w:leader="none" w:pos="2060" w:val="left"/>
        </w:tabs>
        <w:rPr>
          <w:sz w:val="20"/>
          <w:szCs w:val="20"/>
          <w:color w:val="auto"/>
        </w:rPr>
      </w:pPr>
      <w:r>
        <w:rPr>
          <w:rFonts w:ascii="Arial" w:cs="Arial" w:eastAsia="Arial" w:hAnsi="Arial"/>
          <w:sz w:val="16"/>
          <w:szCs w:val="16"/>
          <w:b w:val="1"/>
          <w:bCs w:val="1"/>
          <w:color w:val="auto"/>
        </w:rPr>
        <w:t>(13,271)</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600"/>
        <w:spacing w:after="0"/>
        <w:tabs>
          <w:tab w:leader="none" w:pos="2060" w:val="left"/>
        </w:tabs>
        <w:rPr>
          <w:sz w:val="20"/>
          <w:szCs w:val="20"/>
          <w:color w:val="auto"/>
        </w:rPr>
      </w:pPr>
      <w:r>
        <w:rPr>
          <w:rFonts w:ascii="Arial" w:cs="Arial" w:eastAsia="Arial" w:hAnsi="Arial"/>
          <w:sz w:val="16"/>
          <w:szCs w:val="16"/>
          <w:b w:val="1"/>
          <w:bCs w:val="1"/>
          <w:color w:val="auto"/>
        </w:rPr>
        <w:t>4,392</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(10,690)</w:t>
      </w:r>
      <w:r>
        <w:rPr>
          <w:sz w:val="20"/>
          <w:szCs w:val="20"/>
          <w:color w:val="auto"/>
        </w:rPr>
        <w:tab/>
      </w:r>
      <w:r>
        <w:rPr>
          <w:rFonts w:ascii="Arial" w:cs="Arial" w:eastAsia="Arial" w:hAnsi="Arial"/>
          <w:sz w:val="16"/>
          <w:szCs w:val="16"/>
          <w:color w:val="auto"/>
        </w:rPr>
        <w:t>(47,595)</w:t>
      </w:r>
    </w:p>
    <w:p>
      <w:pPr>
        <w:spacing w:after="0" w:line="106" w:lineRule="exact"/>
        <w:rPr>
          <w:sz w:val="20"/>
          <w:szCs w:val="20"/>
          <w:color w:val="auto"/>
        </w:rPr>
      </w:pPr>
    </w:p>
    <w:p>
      <w:pPr>
        <w:ind w:left="1920" w:hanging="1235"/>
        <w:spacing w:after="0"/>
        <w:tabs>
          <w:tab w:leader="none" w:pos="192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(905)</w:t>
      </w:r>
    </w:p>
    <w:p>
      <w:pPr>
        <w:spacing w:after="0" w:line="66" w:lineRule="exact"/>
        <w:rPr>
          <w:rFonts w:ascii="Arial" w:cs="Arial" w:eastAsia="Arial" w:hAnsi="Arial"/>
          <w:sz w:val="16"/>
          <w:szCs w:val="16"/>
          <w:b w:val="1"/>
          <w:bCs w:val="1"/>
          <w:color w:val="auto"/>
        </w:rPr>
      </w:pPr>
    </w:p>
    <w:p>
      <w:pPr>
        <w:ind w:left="5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21,285</w:t>
      </w:r>
      <w:r>
        <w:rPr>
          <w:rFonts w:ascii="Arial" w:cs="Arial" w:eastAsia="Arial" w:hAnsi="Arial"/>
          <w:sz w:val="15"/>
          <w:szCs w:val="15"/>
          <w:color w:val="auto"/>
        </w:rPr>
        <w:t>(4,331)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both"/>
        <w:ind w:left="360"/>
        <w:spacing w:after="0"/>
        <w:tabs>
          <w:tab w:leader="none" w:pos="1680" w:val="left"/>
        </w:tabs>
        <w:rPr>
          <w:sz w:val="20"/>
          <w:szCs w:val="20"/>
          <w:color w:val="auto"/>
        </w:rPr>
      </w:pPr>
      <w:r>
        <w:rPr>
          <w:rFonts w:ascii="Arial" w:cs="Arial" w:eastAsia="Arial" w:hAnsi="Arial"/>
          <w:sz w:val="16"/>
          <w:szCs w:val="16"/>
          <w:b w:val="1"/>
          <w:bCs w:val="1"/>
          <w:color w:val="auto"/>
        </w:rPr>
        <w:t>(196,852)</w:t>
      </w:r>
      <w:r>
        <w:rPr>
          <w:sz w:val="20"/>
          <w:szCs w:val="20"/>
          <w:color w:val="auto"/>
        </w:rPr>
        <w:tab/>
      </w:r>
      <w:r>
        <w:rPr>
          <w:rFonts w:ascii="Arial" w:cs="Arial" w:eastAsia="Arial" w:hAnsi="Arial"/>
          <w:sz w:val="16"/>
          <w:szCs w:val="16"/>
          <w:color w:val="auto"/>
        </w:rPr>
        <w:t>(52,831)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0"/>
          <w:szCs w:val="20"/>
          <w:color w:val="auto"/>
        </w:rPr>
      </w:pPr>
    </w:p>
    <w:p>
      <w:pPr>
        <w:ind w:left="460"/>
        <w:spacing w:after="0"/>
        <w:tabs>
          <w:tab w:leader="none" w:pos="2060" w:val="left"/>
        </w:tabs>
        <w:rPr>
          <w:sz w:val="20"/>
          <w:szCs w:val="20"/>
          <w:color w:val="auto"/>
        </w:rPr>
      </w:pPr>
      <w:r>
        <w:rPr>
          <w:rFonts w:ascii="Arial" w:cs="Arial" w:eastAsia="Arial" w:hAnsi="Arial"/>
          <w:sz w:val="16"/>
          <w:szCs w:val="16"/>
          <w:b w:val="1"/>
          <w:bCs w:val="1"/>
          <w:color w:val="auto"/>
        </w:rPr>
        <w:t>(81,346)</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jc w:val="both"/>
        <w:ind w:left="560"/>
        <w:spacing w:after="0"/>
        <w:tabs>
          <w:tab w:leader="none" w:pos="1680" w:val="left"/>
        </w:tabs>
        <w:rPr>
          <w:sz w:val="20"/>
          <w:szCs w:val="20"/>
          <w:color w:val="auto"/>
        </w:rPr>
      </w:pPr>
      <w:r>
        <w:rPr>
          <w:rFonts w:ascii="Arial" w:cs="Arial" w:eastAsia="Arial" w:hAnsi="Arial"/>
          <w:sz w:val="16"/>
          <w:szCs w:val="16"/>
          <w:b w:val="1"/>
          <w:bCs w:val="1"/>
          <w:color w:val="auto"/>
        </w:rPr>
        <w:t>(6,938)</w:t>
      </w:r>
      <w:r>
        <w:rPr>
          <w:sz w:val="20"/>
          <w:szCs w:val="20"/>
          <w:color w:val="auto"/>
        </w:rPr>
        <w:tab/>
      </w:r>
      <w:r>
        <w:rPr>
          <w:rFonts w:ascii="Arial" w:cs="Arial" w:eastAsia="Arial" w:hAnsi="Arial"/>
          <w:sz w:val="16"/>
          <w:szCs w:val="16"/>
          <w:color w:val="auto"/>
        </w:rPr>
        <w:t>(15,645)</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(39,343)</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13,427</w:t>
      </w:r>
      <w:r>
        <w:rPr>
          <w:rFonts w:ascii="Arial" w:cs="Arial" w:eastAsia="Arial" w:hAnsi="Arial"/>
          <w:sz w:val="16"/>
          <w:szCs w:val="16"/>
          <w:color w:val="auto"/>
        </w:rPr>
        <w:t>4,606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(74,857)</w:t>
      </w:r>
      <w:r>
        <w:rPr>
          <w:sz w:val="20"/>
          <w:szCs w:val="20"/>
          <w:color w:val="auto"/>
        </w:rPr>
        <w:tab/>
      </w:r>
      <w:r>
        <w:rPr>
          <w:rFonts w:ascii="Arial" w:cs="Arial" w:eastAsia="Arial" w:hAnsi="Arial"/>
          <w:sz w:val="16"/>
          <w:szCs w:val="16"/>
          <w:color w:val="auto"/>
        </w:rPr>
        <w:t>(50,382)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both"/>
        <w:ind w:left="600"/>
        <w:spacing w:after="0"/>
        <w:tabs>
          <w:tab w:leader="none" w:pos="1780" w:val="left"/>
        </w:tabs>
        <w:rPr>
          <w:sz w:val="20"/>
          <w:szCs w:val="20"/>
          <w:color w:val="auto"/>
        </w:rPr>
      </w:pPr>
      <w:r>
        <w:rPr>
          <w:rFonts w:ascii="Arial" w:cs="Arial" w:eastAsia="Arial" w:hAnsi="Arial"/>
          <w:sz w:val="16"/>
          <w:szCs w:val="16"/>
          <w:b w:val="1"/>
          <w:bCs w:val="1"/>
          <w:color w:val="auto"/>
        </w:rPr>
        <w:t>1,095</w:t>
      </w:r>
      <w:r>
        <w:rPr>
          <w:sz w:val="20"/>
          <w:szCs w:val="20"/>
          <w:color w:val="auto"/>
        </w:rPr>
        <w:tab/>
      </w:r>
      <w:r>
        <w:rPr>
          <w:rFonts w:ascii="Arial" w:cs="Arial" w:eastAsia="Arial" w:hAnsi="Arial"/>
          <w:sz w:val="16"/>
          <w:szCs w:val="16"/>
          <w:color w:val="auto"/>
        </w:rPr>
        <w:t>(5,535)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both"/>
        <w:ind w:left="360"/>
        <w:spacing w:after="0"/>
        <w:tabs>
          <w:tab w:leader="none" w:pos="1600" w:val="left"/>
        </w:tabs>
        <w:rPr>
          <w:sz w:val="20"/>
          <w:szCs w:val="20"/>
          <w:color w:val="auto"/>
        </w:rPr>
      </w:pPr>
      <w:r>
        <w:rPr>
          <w:rFonts w:ascii="Arial" w:cs="Arial" w:eastAsia="Arial" w:hAnsi="Arial"/>
          <w:sz w:val="16"/>
          <w:szCs w:val="16"/>
          <w:b w:val="1"/>
          <w:bCs w:val="1"/>
          <w:color w:val="auto"/>
        </w:rPr>
        <w:t>(223,620)</w:t>
      </w:r>
      <w:r>
        <w:rPr>
          <w:sz w:val="20"/>
          <w:szCs w:val="20"/>
          <w:color w:val="auto"/>
        </w:rPr>
        <w:tab/>
      </w:r>
      <w:r>
        <w:rPr>
          <w:rFonts w:ascii="Arial" w:cs="Arial" w:eastAsia="Arial" w:hAnsi="Arial"/>
          <w:sz w:val="16"/>
          <w:szCs w:val="16"/>
          <w:color w:val="auto"/>
        </w:rPr>
        <w:t>(154,619)</w:t>
      </w:r>
    </w:p>
    <w:p>
      <w:pPr>
        <w:spacing w:after="0" w:line="86" w:lineRule="exact"/>
        <w:rPr>
          <w:sz w:val="20"/>
          <w:szCs w:val="20"/>
          <w:color w:val="auto"/>
        </w:rPr>
      </w:pPr>
    </w:p>
    <w:p>
      <w:pPr>
        <w:ind w:left="420"/>
        <w:spacing w:after="0"/>
        <w:tabs>
          <w:tab w:leader="none" w:pos="1640" w:val="left"/>
        </w:tabs>
        <w:rPr>
          <w:sz w:val="20"/>
          <w:szCs w:val="20"/>
          <w:color w:val="auto"/>
        </w:rPr>
      </w:pPr>
      <w:r>
        <w:rPr>
          <w:rFonts w:ascii="Arial" w:cs="Arial" w:eastAsia="Arial" w:hAnsi="Arial"/>
          <w:sz w:val="16"/>
          <w:szCs w:val="16"/>
          <w:b w:val="1"/>
          <w:bCs w:val="1"/>
          <w:color w:val="auto"/>
        </w:rPr>
        <w:t>754,207</w:t>
      </w:r>
      <w:r>
        <w:rPr>
          <w:sz w:val="20"/>
          <w:szCs w:val="20"/>
          <w:color w:val="auto"/>
        </w:rPr>
        <w:tab/>
      </w:r>
      <w:r>
        <w:rPr>
          <w:rFonts w:ascii="Arial" w:cs="Arial" w:eastAsia="Arial" w:hAnsi="Arial"/>
          <w:sz w:val="16"/>
          <w:szCs w:val="16"/>
          <w:color w:val="auto"/>
        </w:rPr>
        <w:t>773,986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spacing w:after="0"/>
        <w:tabs>
          <w:tab w:leader="none" w:pos="400" w:val="left"/>
          <w:tab w:leader="none" w:pos="1240" w:val="left"/>
          <w:tab w:leader="none" w:pos="16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530,587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619,367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48895</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2">
            <w:col w:w="8340" w:space="720"/>
            <w:col w:w="2360"/>
          </w:cols>
          <w:pgMar w:left="240" w:top="711" w:right="239" w:bottom="1440" w:gutter="0" w:footer="0" w:header="0"/>
          <w:type w:val="continuous"/>
        </w:sectPr>
      </w:pPr>
    </w:p>
    <w:bookmarkStart w:id="6" w:name="page7"/>
    <w:bookmarkEnd w:id="6"/>
    <w:p>
      <w:pPr>
        <w:ind w:left="43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five television broadcasting stations. The Company's other business operations include home health and hospice services and manufacturing.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3"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20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months ended March 31, 2016 and 2015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2015.</w:t>
      </w:r>
    </w:p>
    <w:p>
      <w:pPr>
        <w:spacing w:after="0" w:line="13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which includes the reclassification of the results of operations of certain businesses as discontinued operations for all periods presented.</w:t>
      </w:r>
    </w:p>
    <w:p>
      <w:pPr>
        <w:spacing w:after="0" w:line="113"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1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The guidance is effective for interim and fiscal years beginning after December 15, 2017. Early adoption is permitted only as of annual reporting periods beginning after December 15, 2016. The standard permits two implementation approaches, one requiring retrospective application of the new guidance with a restatement of prior years and one requiring prospective application of the new guidance with disclosure of results under the old guidance. The Company is in the process of evaluating the impact of this new guidance on its Condensed Consolidated Financial Statements and believes such evaluation will extend over several future periods because of the significance of the changes to the Company’s policies and business processes.</w:t>
      </w:r>
    </w:p>
    <w:p>
      <w:pPr>
        <w:spacing w:after="0" w:line="13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August 2014, the FASB issued new guidance that requires management to assess the Company’s ability to continue as a going concern and to provide related disclosures in certain circumstances. This guidance is effective for interim and fiscal years ending after December 15, 2016, with early adoption permitted. The Company does not expect this guidance to have an impact on its Condensed Consolidated Financial Statements.</w:t>
      </w:r>
    </w:p>
    <w:p>
      <w:pPr>
        <w:spacing w:after="0" w:line="135"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April 2015, the FASB issued new guidance that simplifies the presentation of debt issuance costs. The new guidance requires that debt issuance costs be reported in the balance sheet as a direct deduction from the gross amount of debt instead of classified as a deferred asset. The guidance is effective for interim and fiscal years beginning after December 15, 2015. The Company adopted the new guidance retrospectively as of January 1, 2016. Therefore, prior periods have been adjusted to reflect this guidance which resulted in the reclassification of $0.1 million of unamortized debt issuance costs related to the Company's 7.25% unsecured notes from deferred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charges and other assets to long-term debt within its Condensed Consolidated Balance Sheet as of December 31, 2015.</w:t>
      </w:r>
    </w:p>
    <w:p>
      <w:pPr>
        <w:spacing w:after="0" w:line="144"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In January 2016, the FASB issued new guidance that substantially revises the recognition, measurement and presentation of financial assets and financial liabilities. The new guidance, among other things, requires, (i) equity investments (except those accounted for under the equity method of accounting or those that result in consolidation of the investee) to be measured at fair value with changes in fair value recognized in net income, with some exceptions, (ii) simplifies the impairment assessment of equity investments without readily determinable fair values by requiring a qualitative assessment to identify impairment, (iii) requires public business entities to use the exit price notion when measuring the fair value of financial instruments for disclosure purposes, (iv) requires separate presentation of financial assets and financial liabilities by measurement category and form of financial asset on the balance sheet or the accompanying notes to the financial statements, and (v) clarifies that an entity should evaluate the need for a valuation allowance on a deferred tax asset related to available-for-sale securities in combination with the entity’s other deferred tax assets. The guidance is effective for interim and fiscal years beginning after December 15, 2017. Early adoption is not permitted. The Company is in the process of evaluating the impact of this new guidance on its Condensed Consolidated Financial Statements.</w:t>
      </w:r>
    </w:p>
    <w:p>
      <w:pPr>
        <w:spacing w:after="0" w:line="136"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February 2016, the FASB issued 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existing guidance for operating leases today. This new guidance supersedes all prior guidance. The guidance is effective for interim and fiscal years beginning after December 15, 2018. Early adoption is permitted. The standard requires lessees and lessors to recognize and measure leases at the beginning of the earliest period presented using a modified retrospective approach. The Company is in the process of evaluating the impact of this new guidance on its Condensed Consolidated Financial Statements.</w:t>
      </w:r>
    </w:p>
    <w:p>
      <w:pPr>
        <w:spacing w:after="0" w:line="136"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In March 2016, the FASB issued new guidance that simplifies the accounting for stock-based compensation. The new guidance (i) requires all excess tax benefits and tax deficiencies to be recognized in the income statement with the tax effects of vested or exercised awards treated as discrete items. Additionally, excess tax benefits will be recognized regardless of whether the benefit reduces taxes payable in the current period, effectively eliminating the APIC pool, (ii) concludes excess tax benefits should be classified as an operating activity in the statement of cash flows, (iii) requires an entity to make an entity-wide accounting policy election to either estimate a forfeiture rate for awards or account for forfeitures as they occur, (iv) changes the threshold for equity classification for cash settlements of awards for withholding requirements to the maximum statutory tax rate in the applicable jurisdiction and (v) concludes cash paid by an employer when directly withholding shares for tax-withholding purposes should be classified as a financing activity in the statement of cash flows. The guidance is effective for interim and fiscal years beginning after December 15, 2016. Early adoption is permitted. The Company is in the process of evaluating the impact of this new guidance on its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44"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b w:val="1"/>
          <w:bCs w:val="1"/>
          <w:color w:val="auto"/>
        </w:rPr>
        <w:t xml:space="preserve">Cable ONE Spin-Off. </w:t>
      </w:r>
      <w:r>
        <w:rPr>
          <w:rFonts w:ascii="Arial" w:cs="Arial" w:eastAsia="Arial" w:hAnsi="Arial"/>
          <w:sz w:val="18"/>
          <w:szCs w:val="18"/>
          <w:color w:val="auto"/>
        </w:rPr>
        <w:t>On July 1, 2015 (the “Distribution Date”), the Company completed the spin-off of Cable One, Inc. (Cable ONE) as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publicly traded company. The transaction was structured as a tax-free spin-off of Cable ONE to the stockholders of the Company as one share of Cable ONE common stock was distributed for every share of Class A and Class B common stock of Graham</w:t>
      </w:r>
    </w:p>
    <w:p>
      <w:pPr>
        <w:spacing w:after="0" w:line="2"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Holdings outstanding on the June 15, 2015, record date. Cable ONE is now an independent public company trading on the New York Stock Exchange under the symbol “CABO”. After the spin, the Company does not beneficially own any shares of Cable ONE common stock.</w:t>
      </w:r>
    </w:p>
    <w:p>
      <w:pPr>
        <w:spacing w:after="0" w:line="120"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The results of operations of Cable ONE are included in the Company’s Condensed Consolidated Statements of Operations as income from discontinued operations, net of tax, for 2015. The Company did not reclassify its Statements of Cash Flows to reflect the various discontinued operations.</w:t>
      </w:r>
    </w:p>
    <w:p>
      <w:pPr>
        <w:spacing w:after="0" w:line="13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333333"/>
        </w:rPr>
        <w:t xml:space="preserve">Cash flows from Cable ONE for the </w:t>
      </w:r>
      <w:r>
        <w:rPr>
          <w:rFonts w:ascii="Arial" w:cs="Arial" w:eastAsia="Arial" w:hAnsi="Arial"/>
          <w:sz w:val="18"/>
          <w:szCs w:val="18"/>
          <w:color w:val="000000"/>
        </w:rPr>
        <w:t>three months ended March 31, 2015 are combined with the cash flows from operations within each of the</w:t>
      </w:r>
      <w:r>
        <w:rPr>
          <w:rFonts w:ascii="Arial" w:cs="Arial" w:eastAsia="Arial" w:hAnsi="Arial"/>
          <w:sz w:val="18"/>
          <w:szCs w:val="18"/>
          <w:color w:val="333333"/>
        </w:rPr>
        <w:t xml:space="preserve"> </w:t>
      </w:r>
      <w:r>
        <w:rPr>
          <w:rFonts w:ascii="Arial" w:cs="Arial" w:eastAsia="Arial" w:hAnsi="Arial"/>
          <w:sz w:val="18"/>
          <w:szCs w:val="18"/>
          <w:color w:val="000000"/>
        </w:rPr>
        <w:t>categories presented. Cash flows from Cable ONE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40" w:type="dxa"/>
            <w:vAlign w:val="bottom"/>
          </w:tcPr>
          <w:p>
            <w:pPr>
              <w:jc w:val="right"/>
              <w:ind w:right="163"/>
              <w:spacing w:after="0"/>
              <w:rPr>
                <w:sz w:val="20"/>
                <w:szCs w:val="20"/>
                <w:color w:val="auto"/>
              </w:rPr>
            </w:pPr>
            <w:r>
              <w:rPr>
                <w:rFonts w:ascii="Arial" w:cs="Arial" w:eastAsia="Arial" w:hAnsi="Arial"/>
                <w:sz w:val="14"/>
                <w:szCs w:val="14"/>
                <w:color w:val="auto"/>
              </w:rPr>
              <w:t>Three Months Ended</w:t>
            </w:r>
          </w:p>
        </w:tc>
      </w:tr>
      <w:tr>
        <w:trPr>
          <w:trHeight w:val="276"/>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color w:val="auto"/>
              </w:rPr>
              <w:t>March 31, 2015</w:t>
            </w:r>
          </w:p>
        </w:tc>
      </w:tr>
      <w:tr>
        <w:trPr>
          <w:trHeight w:val="250"/>
        </w:trPr>
        <w:tc>
          <w:tcPr>
            <w:tcW w:w="63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4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3"/>
              <w:spacing w:after="0"/>
              <w:rPr>
                <w:sz w:val="20"/>
                <w:szCs w:val="20"/>
                <w:color w:val="auto"/>
              </w:rPr>
            </w:pPr>
            <w:r>
              <w:rPr>
                <w:rFonts w:ascii="Arial" w:cs="Arial" w:eastAsia="Arial" w:hAnsi="Arial"/>
                <w:sz w:val="16"/>
                <w:szCs w:val="16"/>
                <w:color w:val="auto"/>
              </w:rPr>
              <w:t>39,216</w:t>
            </w:r>
          </w:p>
        </w:tc>
      </w:tr>
      <w:tr>
        <w:trPr>
          <w:trHeight w:val="270"/>
        </w:trPr>
        <w:tc>
          <w:tcPr>
            <w:tcW w:w="63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(37,409)</w:t>
            </w:r>
          </w:p>
        </w:tc>
      </w:tr>
    </w:tbl>
    <w:p>
      <w:pPr>
        <w:spacing w:after="0" w:line="159"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b w:val="1"/>
          <w:bCs w:val="1"/>
          <w:color w:val="auto"/>
        </w:rPr>
        <w:t xml:space="preserve">Other Discontinued Operations. </w:t>
      </w:r>
      <w:r>
        <w:rPr>
          <w:rFonts w:ascii="Arial" w:cs="Arial" w:eastAsia="Arial" w:hAnsi="Arial"/>
          <w:sz w:val="18"/>
          <w:szCs w:val="18"/>
          <w:color w:val="auto"/>
        </w:rPr>
        <w:t>In the third quarter of 2014, Kaplan completed the sale of three of its schools in China that were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as part of Kaplan International. An additional school in China was sold by Kaplan in January of 2015 that resulted in a pre-tax loss of $0.7 million.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19" w:right="239" w:bottom="1440" w:gutter="0" w:footer="0" w:header="0"/>
        </w:sectPr>
      </w:pPr>
    </w:p>
    <w:bookmarkStart w:id="8" w:name="page9"/>
    <w:bookmarkEnd w:id="8"/>
    <w:p>
      <w:pPr>
        <w:ind w:right="60"/>
        <w:spacing w:after="0" w:line="235" w:lineRule="auto"/>
        <w:rPr>
          <w:sz w:val="20"/>
          <w:szCs w:val="20"/>
          <w:color w:val="auto"/>
        </w:rPr>
      </w:pPr>
      <w:r>
        <w:rPr>
          <w:rFonts w:ascii="Arial" w:cs="Arial" w:eastAsia="Arial" w:hAnsi="Arial"/>
          <w:sz w:val="18"/>
          <w:szCs w:val="18"/>
          <w:color w:val="auto"/>
        </w:rPr>
        <w:t>The results of operations of the schools in China are included in the Company’s Condensed Consolidated Statements of Operations as income from discontinued operations, net of tax, for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income from discontinued operations, net of tax, is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160"/>
              <w:spacing w:after="0"/>
              <w:rPr>
                <w:sz w:val="20"/>
                <w:szCs w:val="20"/>
                <w:color w:val="auto"/>
              </w:rPr>
            </w:pPr>
            <w:r>
              <w:rPr>
                <w:rFonts w:ascii="Arial" w:cs="Arial" w:eastAsia="Arial" w:hAnsi="Arial"/>
                <w:sz w:val="14"/>
                <w:szCs w:val="14"/>
                <w:color w:val="auto"/>
              </w:rPr>
              <w:t>Three Months Ended</w:t>
            </w:r>
          </w:p>
        </w:tc>
      </w:tr>
      <w:tr>
        <w:trPr>
          <w:trHeight w:val="222"/>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March 31, 2015</w:t>
            </w:r>
          </w:p>
        </w:tc>
      </w:tr>
      <w:tr>
        <w:trPr>
          <w:trHeight w:val="223"/>
        </w:trPr>
        <w:tc>
          <w:tcPr>
            <w:tcW w:w="960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198,723</w:t>
            </w:r>
          </w:p>
        </w:tc>
      </w:tr>
      <w:tr>
        <w:trPr>
          <w:trHeight w:val="256"/>
        </w:trPr>
        <w:tc>
          <w:tcPr>
            <w:tcW w:w="960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(161,031)</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80" w:type="dxa"/>
            <w:vAlign w:val="bottom"/>
          </w:tcPr>
          <w:p>
            <w:pPr>
              <w:spacing w:after="0"/>
              <w:rPr>
                <w:sz w:val="19"/>
                <w:szCs w:val="19"/>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37,692</w:t>
            </w:r>
          </w:p>
        </w:tc>
      </w:tr>
      <w:tr>
        <w:trPr>
          <w:trHeight w:val="256"/>
        </w:trPr>
        <w:tc>
          <w:tcPr>
            <w:tcW w:w="9600" w:type="dxa"/>
            <w:vAlign w:val="bottom"/>
          </w:tcPr>
          <w:p>
            <w:pPr>
              <w:ind w:left="40"/>
              <w:spacing w:after="0"/>
              <w:rPr>
                <w:sz w:val="20"/>
                <w:szCs w:val="20"/>
                <w:color w:val="auto"/>
              </w:rPr>
            </w:pPr>
            <w:r>
              <w:rPr>
                <w:rFonts w:ascii="Arial" w:cs="Arial" w:eastAsia="Arial" w:hAnsi="Arial"/>
                <w:sz w:val="16"/>
                <w:szCs w:val="16"/>
                <w:color w:val="auto"/>
              </w:rPr>
              <w:t>Non-operating expense</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Income from discontinued operations</w:t>
            </w:r>
          </w:p>
        </w:tc>
        <w:tc>
          <w:tcPr>
            <w:tcW w:w="180" w:type="dxa"/>
            <w:vAlign w:val="bottom"/>
          </w:tcPr>
          <w:p>
            <w:pPr>
              <w:spacing w:after="0"/>
              <w:rPr>
                <w:sz w:val="19"/>
                <w:szCs w:val="19"/>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37,673</w:t>
            </w:r>
          </w:p>
        </w:tc>
      </w:tr>
      <w:tr>
        <w:trPr>
          <w:trHeight w:val="256"/>
        </w:trPr>
        <w:tc>
          <w:tcPr>
            <w:tcW w:w="96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13,600</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b w:val="1"/>
                <w:bCs w:val="1"/>
                <w:color w:val="auto"/>
              </w:rPr>
              <w:t>Net Income from Discontinued Operations</w:t>
            </w:r>
          </w:p>
        </w:tc>
        <w:tc>
          <w:tcPr>
            <w:tcW w:w="180" w:type="dxa"/>
            <w:vAlign w:val="bottom"/>
          </w:tcPr>
          <w:p>
            <w:pPr>
              <w:spacing w:after="0"/>
              <w:rPr>
                <w:sz w:val="19"/>
                <w:szCs w:val="19"/>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24,073</w:t>
            </w:r>
          </w:p>
        </w:tc>
      </w:tr>
      <w:tr>
        <w:trPr>
          <w:trHeight w:val="243"/>
        </w:trPr>
        <w:tc>
          <w:tcPr>
            <w:tcW w:w="9600" w:type="dxa"/>
            <w:vAlign w:val="bottom"/>
          </w:tcPr>
          <w:p>
            <w:pPr>
              <w:ind w:left="40"/>
              <w:spacing w:after="0"/>
              <w:rPr>
                <w:sz w:val="20"/>
                <w:szCs w:val="20"/>
                <w:color w:val="auto"/>
              </w:rPr>
            </w:pPr>
            <w:r>
              <w:rPr>
                <w:rFonts w:ascii="Arial" w:cs="Arial" w:eastAsia="Arial" w:hAnsi="Arial"/>
                <w:sz w:val="16"/>
                <w:szCs w:val="16"/>
                <w:color w:val="auto"/>
              </w:rPr>
              <w:t>Loss on sale of discontinued operations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(732)</w:t>
            </w:r>
          </w:p>
        </w:tc>
      </w:tr>
      <w:tr>
        <w:trPr>
          <w:trHeight w:val="256"/>
        </w:trPr>
        <w:tc>
          <w:tcPr>
            <w:tcW w:w="9600" w:type="dxa"/>
            <w:vAlign w:val="bottom"/>
          </w:tcPr>
          <w:p>
            <w:pPr>
              <w:ind w:left="40"/>
              <w:spacing w:after="0"/>
              <w:rPr>
                <w:sz w:val="20"/>
                <w:szCs w:val="20"/>
                <w:color w:val="auto"/>
              </w:rPr>
            </w:pPr>
            <w:r>
              <w:rPr>
                <w:rFonts w:ascii="Arial" w:cs="Arial" w:eastAsia="Arial" w:hAnsi="Arial"/>
                <w:sz w:val="16"/>
                <w:szCs w:val="16"/>
                <w:color w:val="auto"/>
              </w:rPr>
              <w:t>Provision for income taxes on disposition of discontinued operations</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r>
      <w:tr>
        <w:trPr>
          <w:trHeight w:val="240"/>
        </w:trPr>
        <w:tc>
          <w:tcPr>
            <w:tcW w:w="960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23,289</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66"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As of March 31, 2016 and December 31, 2015, the Company had commercial paper and money market investments of $395.3 million and $433.0 million, respectively, that are classified as cash, cash equivalents and restricted cash in the Company's Condensed Consolidated Balance Sheets.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323"/>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2015</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3"/>
              <w:spacing w:after="0"/>
              <w:rPr>
                <w:sz w:val="20"/>
                <w:szCs w:val="20"/>
                <w:color w:val="auto"/>
              </w:rPr>
            </w:pPr>
            <w:r>
              <w:rPr>
                <w:rFonts w:ascii="Arial" w:cs="Arial" w:eastAsia="Arial" w:hAnsi="Arial"/>
                <w:sz w:val="16"/>
                <w:szCs w:val="16"/>
                <w:b w:val="1"/>
                <w:bCs w:val="1"/>
                <w:color w:val="auto"/>
              </w:rPr>
              <w:t>261,662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253,062</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20" w:type="dxa"/>
            <w:vAlign w:val="bottom"/>
          </w:tcPr>
          <w:p>
            <w:pPr>
              <w:spacing w:after="0"/>
              <w:rPr>
                <w:sz w:val="23"/>
                <w:szCs w:val="23"/>
                <w:color w:val="auto"/>
              </w:rPr>
            </w:pPr>
          </w:p>
        </w:tc>
        <w:tc>
          <w:tcPr>
            <w:tcW w:w="1180" w:type="dxa"/>
            <w:vAlign w:val="bottom"/>
          </w:tcPr>
          <w:p>
            <w:pPr>
              <w:jc w:val="right"/>
              <w:ind w:right="63"/>
              <w:spacing w:after="0"/>
              <w:rPr>
                <w:sz w:val="20"/>
                <w:szCs w:val="20"/>
                <w:color w:val="auto"/>
              </w:rPr>
            </w:pPr>
            <w:r>
              <w:rPr>
                <w:rFonts w:ascii="Arial" w:cs="Arial" w:eastAsia="Arial" w:hAnsi="Arial"/>
                <w:sz w:val="16"/>
                <w:szCs w:val="16"/>
                <w:b w:val="1"/>
                <w:bCs w:val="1"/>
                <w:color w:val="auto"/>
              </w:rPr>
              <w:t>100,508</w:t>
            </w:r>
          </w:p>
        </w:tc>
        <w:tc>
          <w:tcPr>
            <w:tcW w:w="24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97,741</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losses</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(4,419)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357,751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350,563</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Company settled on $13.3 million of marketable equity securities during the first three months of 2016, of which, $12.9 million was purchased in the first quarter. There were no new investments in marketable equity securities during the first three months of 2015. During the first three months of 2016, the net realized gains from sales of marketable equity securities were $1.8 million. The total proceeds from such sales were $6.0 million, of which, $1.6 million settled in April 2016. There were no sales of marketable equity securities in the first three months of 2015.</w:t>
      </w:r>
    </w:p>
    <w:p>
      <w:pPr>
        <w:spacing w:after="0" w:line="137"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As of March 31, 2016, the Company held an approximate 20% interest in HomeHero and interests in several other affiliates; Residential Healthcare held a 40% interest in Residential Home Health Illinois and a 42.5% interest in Residential Hospice Illinois; and Celtic Healthcare held a 40% interest in the joint venture formed between Celtic Healthcare and Allegheny Health Network (AHN) (see Note 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DISPOSITIONS OF BUSINESSES</w:t>
      </w:r>
    </w:p>
    <w:p>
      <w:pPr>
        <w:spacing w:after="0" w:line="144"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January and February 2016, Kaplan acquired a 100% interest in Mander Portman Woodward, a leading provider of high-quality, bespoke education to U.K. and international students in London, Cambridge and Birmingham; and a 100% interest in Osborne Books, a leading educational publisher of learning resources for accounting qualifications in the U.K. These acquisitions totaled $208.3 million and are included in Kaplan International. In the first three months of 2015, the Company did not make any acquisitions.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19" w:right="239" w:bottom="1440" w:gutter="0" w:footer="0" w:header="0"/>
        </w:sectPr>
      </w:pPr>
    </w:p>
    <w:bookmarkStart w:id="9" w:name="page10"/>
    <w:bookmarkEnd w:id="9"/>
    <w:p>
      <w:pPr>
        <w:ind w:right="300"/>
        <w:spacing w:after="0" w:line="235" w:lineRule="auto"/>
        <w:rPr>
          <w:sz w:val="20"/>
          <w:szCs w:val="20"/>
          <w:color w:val="auto"/>
        </w:rPr>
      </w:pPr>
      <w:r>
        <w:rPr>
          <w:rFonts w:ascii="Arial" w:cs="Arial" w:eastAsia="Arial" w:hAnsi="Arial"/>
          <w:sz w:val="18"/>
          <w:szCs w:val="18"/>
          <w:color w:val="auto"/>
        </w:rPr>
        <w:t>Acquisition-related costs were expensed as incurred and were not significant. The aggregate purchase price of these 2016 acquisitions was allocated as follows on a preliminary basis: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4500" w:type="dxa"/>
            <w:vAlign w:val="bottom"/>
            <w:gridSpan w:val="2"/>
          </w:tcPr>
          <w:p>
            <w:pPr>
              <w:jc w:val="center"/>
              <w:ind w:left="2482"/>
              <w:spacing w:after="0"/>
              <w:rPr>
                <w:sz w:val="20"/>
                <w:szCs w:val="20"/>
                <w:color w:val="auto"/>
              </w:rPr>
            </w:pPr>
            <w:r>
              <w:rPr>
                <w:rFonts w:ascii="Arial" w:cs="Arial" w:eastAsia="Arial" w:hAnsi="Arial"/>
                <w:sz w:val="14"/>
                <w:szCs w:val="14"/>
                <w:b w:val="1"/>
                <w:bCs w:val="1"/>
                <w:color w:val="auto"/>
              </w:rPr>
              <w:t>Weighted Average</w:t>
            </w:r>
          </w:p>
        </w:tc>
        <w:tc>
          <w:tcPr>
            <w:tcW w:w="1300" w:type="dxa"/>
            <w:vAlign w:val="bottom"/>
          </w:tcPr>
          <w:p>
            <w:pPr>
              <w:jc w:val="right"/>
              <w:ind w:right="140"/>
              <w:spacing w:after="0"/>
              <w:rPr>
                <w:sz w:val="20"/>
                <w:szCs w:val="20"/>
                <w:color w:val="auto"/>
              </w:rPr>
            </w:pPr>
            <w:r>
              <w:rPr>
                <w:rFonts w:ascii="Arial" w:cs="Arial" w:eastAsia="Arial" w:hAnsi="Arial"/>
                <w:sz w:val="14"/>
                <w:szCs w:val="14"/>
                <w:b w:val="1"/>
                <w:bCs w:val="1"/>
                <w:color w:val="auto"/>
              </w:rPr>
              <w:t>Purchase Price</w:t>
            </w: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500" w:type="dxa"/>
            <w:vAlign w:val="bottom"/>
            <w:tcBorders>
              <w:bottom w:val="single" w:sz="8" w:color="auto"/>
            </w:tcBorders>
            <w:gridSpan w:val="2"/>
          </w:tcPr>
          <w:p>
            <w:pPr>
              <w:jc w:val="center"/>
              <w:ind w:left="2482"/>
              <w:spacing w:after="0"/>
              <w:rPr>
                <w:sz w:val="20"/>
                <w:szCs w:val="20"/>
                <w:color w:val="auto"/>
              </w:rPr>
            </w:pPr>
            <w:r>
              <w:rPr>
                <w:rFonts w:ascii="Arial" w:cs="Arial" w:eastAsia="Arial" w:hAnsi="Arial"/>
                <w:sz w:val="14"/>
                <w:szCs w:val="14"/>
                <w:b w:val="1"/>
                <w:bCs w:val="1"/>
                <w:color w:val="auto"/>
              </w:rPr>
              <w:t>Life</w:t>
            </w:r>
          </w:p>
        </w:tc>
        <w:tc>
          <w:tcPr>
            <w:tcW w:w="13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Allocation</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4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8,370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6,065</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748</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1,940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Goodwill</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161,399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53,110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4500" w:type="dxa"/>
            <w:vAlign w:val="bottom"/>
            <w:gridSpan w:val="2"/>
          </w:tcPr>
          <w:p>
            <w:pPr>
              <w:ind w:left="3660"/>
              <w:spacing w:after="0"/>
              <w:rPr>
                <w:sz w:val="20"/>
                <w:szCs w:val="20"/>
                <w:color w:val="auto"/>
              </w:rPr>
            </w:pPr>
            <w:r>
              <w:rPr>
                <w:rFonts w:ascii="Arial" w:cs="Arial" w:eastAsia="Arial" w:hAnsi="Arial"/>
                <w:sz w:val="16"/>
                <w:szCs w:val="16"/>
                <w:color w:val="auto"/>
              </w:rPr>
              <w:t>3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4,767</w:t>
            </w:r>
          </w:p>
        </w:tc>
      </w:tr>
      <w:tr>
        <w:trPr>
          <w:trHeight w:val="283"/>
        </w:trPr>
        <w:tc>
          <w:tcPr>
            <w:tcW w:w="562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4320" w:type="dxa"/>
            <w:vAlign w:val="bottom"/>
          </w:tcPr>
          <w:p>
            <w:pPr>
              <w:ind w:left="3660"/>
              <w:spacing w:after="0"/>
              <w:rPr>
                <w:sz w:val="20"/>
                <w:szCs w:val="20"/>
                <w:color w:val="auto"/>
              </w:rPr>
            </w:pPr>
            <w:r>
              <w:rPr>
                <w:rFonts w:ascii="Arial" w:cs="Arial" w:eastAsia="Arial" w:hAnsi="Arial"/>
                <w:sz w:val="16"/>
                <w:szCs w:val="16"/>
                <w:color w:val="auto"/>
              </w:rPr>
              <w:t>5 years</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1,347</w:t>
            </w:r>
          </w:p>
        </w:tc>
      </w:tr>
      <w:tr>
        <w:trPr>
          <w:trHeight w:val="237"/>
        </w:trPr>
        <w:tc>
          <w:tcPr>
            <w:tcW w:w="5620" w:type="dxa"/>
            <w:vAlign w:val="bottom"/>
          </w:tcPr>
          <w:p>
            <w:pPr>
              <w:spacing w:after="0"/>
              <w:rPr>
                <w:sz w:val="20"/>
                <w:szCs w:val="20"/>
                <w:color w:val="auto"/>
              </w:rPr>
            </w:pPr>
          </w:p>
        </w:tc>
        <w:tc>
          <w:tcPr>
            <w:tcW w:w="4500" w:type="dxa"/>
            <w:vAlign w:val="bottom"/>
            <w:gridSpan w:val="2"/>
          </w:tcPr>
          <w:p>
            <w:pPr>
              <w:ind w:left="3660"/>
              <w:spacing w:after="0"/>
              <w:rPr>
                <w:sz w:val="20"/>
                <w:szCs w:val="20"/>
                <w:color w:val="auto"/>
              </w:rPr>
            </w:pPr>
            <w:r>
              <w:rPr>
                <w:rFonts w:ascii="Arial" w:cs="Arial" w:eastAsia="Arial" w:hAnsi="Arial"/>
                <w:sz w:val="16"/>
                <w:szCs w:val="16"/>
                <w:color w:val="auto"/>
              </w:rPr>
              <w:t>3 years</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6,114</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(18,353)</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4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(11,094)</w:t>
            </w:r>
          </w:p>
        </w:tc>
      </w:tr>
      <w:tr>
        <w:trPr>
          <w:trHeight w:val="237"/>
        </w:trPr>
        <w:tc>
          <w:tcPr>
            <w:tcW w:w="5620" w:type="dxa"/>
            <w:vAlign w:val="bottom"/>
          </w:tcPr>
          <w:p>
            <w:pPr>
              <w:spacing w:after="0"/>
              <w:rPr>
                <w:sz w:val="20"/>
                <w:szCs w:val="20"/>
                <w:color w:val="auto"/>
              </w:rPr>
            </w:pPr>
          </w:p>
        </w:tc>
        <w:tc>
          <w:tcPr>
            <w:tcW w:w="4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208,299</w:t>
            </w:r>
          </w:p>
        </w:tc>
      </w:tr>
      <w:tr>
        <w:trPr>
          <w:trHeight w:val="20"/>
        </w:trPr>
        <w:tc>
          <w:tcPr>
            <w:tcW w:w="56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The fair values recorded were based upon preliminary valuations and the estimates and assumptions used in such valuations are subject to change, which could be significant, within the measurement period (up to one year from the acquisition date). The recording of deferred tax assets or liabilities, working capital, and the final amount of residual goodwill are not yet finalized. The Company expects no tax basis of goodwill for income tax purposes from these two acquisitions.</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Condensed Consolidated Statements of Operations include aggregate revenues and operating income for the companies acquired in 2016 of $11.4 million and $3.8 million, respectively, for the first three months of 2016. The following unaudited pro forma financial information presents the Company’s results as if the acquisitions had occurred at the beginning of 2015:</w:t>
      </w:r>
    </w:p>
    <w:p>
      <w:pPr>
        <w:spacing w:after="0" w:line="136"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r>
      <w:tr>
        <w:trPr>
          <w:trHeight w:val="258"/>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b w:val="1"/>
                <w:bCs w:val="1"/>
                <w:color w:val="auto"/>
              </w:rPr>
              <w:t>601,919</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700,310</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b w:val="1"/>
                <w:bCs w:val="1"/>
                <w:color w:val="auto"/>
              </w:rPr>
              <w:t>40,092</w:t>
            </w:r>
          </w:p>
        </w:tc>
        <w:tc>
          <w:tcPr>
            <w:tcW w:w="54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25,574</w:t>
            </w:r>
          </w:p>
        </w:tc>
      </w:tr>
    </w:tbl>
    <w:p>
      <w:pPr>
        <w:spacing w:after="0" w:line="16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They are not the results that would have been realized had these entities been part of the Company during the periods presented and are not necessarily indicative of the Company’s consolidated results of operations in future periods.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November 13, 2015, the Company acquired a 100% interest in Group Dekko, a Garrett, IN-based manufacturer of electrical solutions for applications across three business lines: workspace power solutions, architectural lighting, and electrical components and assemblies, which is included in other businesses. On December 22, 2015, Kaplan acquired a 100% interest in SmartPros, a provider of accredited professional education and training, primarily in accountancy, which is included in Higher Education.</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On July 1, 2015, the Company completed the spin-off of Cable ONE, by way of a distribution of all the issued and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Cable ONE common stock, on a pro rata basis, to the Company's stockholders (see Note 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January 2016, Kaplan completed the sale of Colloquy, which was included in Kaplan Corporate and Other.</w:t>
      </w:r>
    </w:p>
    <w:p>
      <w:pPr>
        <w:spacing w:after="0" w:line="166"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On September 3, 2015, Kaplan completed the sale of substantially all of the assets of its KHE Campuses business, consisting of 38 nationally accredited ground campuses and certain related assets, in exchange for a preferred equity interest in Education Corporation of America (ECA). KHE Campuses schools that have been closed or are in the process of closing are not included in the sale transaction. In connection with the sale agreement, if required by the U.S. Department of Education (ED) in connection with its post-closing review of the transaction, Kaplan</w:t>
      </w:r>
    </w:p>
    <w:p>
      <w:pPr>
        <w:spacing w:after="0" w:line="1"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will provide a letter of credit or other credit support with the ED of up to approximately $45 million; any such letter of credit or other credit support could be drawn by the ED in the event that ECA defaults on its obligations to students.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1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If issued, such letter of credit or other credit support would have a term of two years, after which Kaplan would have no further obligations.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losses related to schools that were sold as part of the ECA transaction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00" w:type="dxa"/>
            <w:vAlign w:val="bottom"/>
          </w:tcPr>
          <w:p>
            <w:pPr>
              <w:jc w:val="right"/>
              <w:ind w:right="163"/>
              <w:spacing w:after="0"/>
              <w:rPr>
                <w:sz w:val="20"/>
                <w:szCs w:val="20"/>
                <w:color w:val="auto"/>
              </w:rPr>
            </w:pPr>
            <w:r>
              <w:rPr>
                <w:rFonts w:ascii="Arial" w:cs="Arial" w:eastAsia="Arial" w:hAnsi="Arial"/>
                <w:sz w:val="14"/>
                <w:szCs w:val="14"/>
                <w:color w:val="auto"/>
              </w:rPr>
              <w:t>Three Months Ended</w:t>
            </w:r>
          </w:p>
        </w:tc>
      </w:tr>
      <w:tr>
        <w:trPr>
          <w:trHeight w:val="178"/>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March 31, 2015</w:t>
            </w:r>
          </w:p>
        </w:tc>
      </w:tr>
      <w:tr>
        <w:trPr>
          <w:trHeight w:val="250"/>
        </w:trPr>
        <w:tc>
          <w:tcPr>
            <w:tcW w:w="5300" w:type="dxa"/>
            <w:vAlign w:val="bottom"/>
          </w:tcPr>
          <w:p>
            <w:pPr>
              <w:ind w:left="40"/>
              <w:spacing w:after="0"/>
              <w:rPr>
                <w:sz w:val="20"/>
                <w:szCs w:val="20"/>
                <w:color w:val="auto"/>
              </w:rPr>
            </w:pPr>
            <w:r>
              <w:rPr>
                <w:rFonts w:ascii="Arial" w:cs="Arial" w:eastAsia="Arial" w:hAnsi="Arial"/>
                <w:sz w:val="16"/>
                <w:szCs w:val="16"/>
                <w:color w:val="auto"/>
              </w:rPr>
              <w:t>Revenue</w:t>
            </w:r>
          </w:p>
        </w:tc>
        <w:tc>
          <w:tcPr>
            <w:tcW w:w="4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61,087</w:t>
            </w:r>
          </w:p>
        </w:tc>
      </w:tr>
      <w:tr>
        <w:trPr>
          <w:trHeight w:val="270"/>
        </w:trPr>
        <w:tc>
          <w:tcPr>
            <w:tcW w:w="530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44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(3,014)</w:t>
            </w:r>
          </w:p>
        </w:tc>
      </w:tr>
    </w:tbl>
    <w:p>
      <w:pPr>
        <w:spacing w:after="0" w:line="167"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Kaplan Higher Education. In the third quarter of 2014, Kaplan completed the sale of three of its schools in China that were previously included as part of Kaplan International. In January 2015, Kaplan completed the sale of an additional school in China.</w:t>
      </w:r>
    </w:p>
    <w:p>
      <w:pPr>
        <w:spacing w:after="0" w:line="115"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January 2015, Celtic and AHN closed on the formation of a joint venture to combine each other’s home health and hospice assets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 Celtic’s revenues from the western Pennsylvania region that are now part of the joint venture made up 29% of total Celtic revenues in 2014.</w:t>
      </w:r>
    </w:p>
    <w:p>
      <w:pPr>
        <w:spacing w:after="0" w:line="138"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 Company’s income from continuing operations excludes Cable ONE and the sold Kaplan China school, which have been reclassified to discontinued operations, net of tax (see Note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66"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Amortization of intangible assets for the three months ended March 31, 2016 and 2015 was $6.3 million and $4.7 million, respectively. Amortization of intangible assets is estimated to be approximately $19 million for the remainder of 2016, $21 million in 2017, $19 million in 2018, $17 million in 2019, $15 million in 2020 and $16 million thereafter.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61"/>
              <w:spacing w:after="0"/>
              <w:rPr>
                <w:sz w:val="20"/>
                <w:szCs w:val="20"/>
                <w:color w:val="auto"/>
              </w:rPr>
            </w:pPr>
            <w:r>
              <w:rPr>
                <w:rFonts w:ascii="Arial" w:cs="Arial" w:eastAsia="Arial" w:hAnsi="Arial"/>
                <w:sz w:val="14"/>
                <w:szCs w:val="14"/>
                <w:b w:val="1"/>
                <w:bCs w:val="1"/>
                <w:color w:val="auto"/>
              </w:rPr>
              <w:t>Television</w:t>
            </w:r>
          </w:p>
        </w:tc>
        <w:tc>
          <w:tcPr>
            <w:tcW w:w="300" w:type="dxa"/>
            <w:vAlign w:val="bottom"/>
          </w:tcPr>
          <w:p>
            <w:pPr>
              <w:spacing w:after="0"/>
              <w:rPr>
                <w:sz w:val="14"/>
                <w:szCs w:val="14"/>
                <w:color w:val="auto"/>
              </w:rPr>
            </w:pPr>
          </w:p>
        </w:tc>
        <w:tc>
          <w:tcPr>
            <w:tcW w:w="1200" w:type="dxa"/>
            <w:vAlign w:val="bottom"/>
          </w:tcPr>
          <w:p>
            <w:pPr>
              <w:jc w:val="right"/>
              <w:ind w:right="441"/>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Broadcasting</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Businesses</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December 31, 2015</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1,006,096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168,345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202,814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1,377,255</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(350,850)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(8,892)</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(359,742)</w:t>
            </w:r>
          </w:p>
        </w:tc>
      </w:tr>
      <w:tr>
        <w:trPr>
          <w:trHeight w:val="251"/>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655,246</w:t>
            </w:r>
          </w:p>
        </w:tc>
        <w:tc>
          <w:tcPr>
            <w:tcW w:w="24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168,345</w:t>
            </w:r>
          </w:p>
        </w:tc>
        <w:tc>
          <w:tcPr>
            <w:tcW w:w="30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193,922</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1,017,513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160,894</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505</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161,399</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2,012</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2,012</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2016</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1,169,002</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168,345</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200,509</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1,537,856</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(350,850)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(6,082)</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(356,932)</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818,152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168,345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194,427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1,180,924</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421"/>
              <w:spacing w:after="0"/>
              <w:rPr>
                <w:sz w:val="20"/>
                <w:szCs w:val="20"/>
                <w:color w:val="auto"/>
              </w:rPr>
            </w:pPr>
            <w:r>
              <w:rPr>
                <w:rFonts w:ascii="Arial" w:cs="Arial" w:eastAsia="Arial" w:hAnsi="Arial"/>
                <w:sz w:val="14"/>
                <w:szCs w:val="14"/>
                <w:b w:val="1"/>
                <w:bCs w:val="1"/>
                <w:color w:val="auto"/>
              </w:rPr>
              <w:t>Higher</w:t>
            </w:r>
          </w:p>
        </w:tc>
        <w:tc>
          <w:tcPr>
            <w:tcW w:w="280" w:type="dxa"/>
            <w:vAlign w:val="bottom"/>
          </w:tcPr>
          <w:p>
            <w:pPr>
              <w:spacing w:after="0"/>
              <w:rPr>
                <w:sz w:val="14"/>
                <w:szCs w:val="14"/>
                <w:color w:val="auto"/>
              </w:rPr>
            </w:pPr>
          </w:p>
        </w:tc>
        <w:tc>
          <w:tcPr>
            <w:tcW w:w="1200" w:type="dxa"/>
            <w:vAlign w:val="bottom"/>
          </w:tcPr>
          <w:p>
            <w:pPr>
              <w:jc w:val="right"/>
              <w:ind w:right="501"/>
              <w:spacing w:after="0"/>
              <w:rPr>
                <w:sz w:val="20"/>
                <w:szCs w:val="20"/>
                <w:color w:val="auto"/>
              </w:rPr>
            </w:pPr>
            <w:r>
              <w:rPr>
                <w:rFonts w:ascii="Arial" w:cs="Arial" w:eastAsia="Arial" w:hAnsi="Arial"/>
                <w:sz w:val="14"/>
                <w:szCs w:val="14"/>
                <w:b w:val="1"/>
                <w:bCs w:val="1"/>
                <w:color w:val="auto"/>
              </w:rPr>
              <w:t>Test</w:t>
            </w:r>
          </w:p>
        </w:tc>
        <w:tc>
          <w:tcPr>
            <w:tcW w:w="240" w:type="dxa"/>
            <w:vAlign w:val="bottom"/>
          </w:tcPr>
          <w:p>
            <w:pPr>
              <w:spacing w:after="0"/>
              <w:rPr>
                <w:sz w:val="14"/>
                <w:szCs w:val="14"/>
                <w:color w:val="auto"/>
              </w:rPr>
            </w:pPr>
          </w:p>
        </w:tc>
        <w:tc>
          <w:tcPr>
            <w:tcW w:w="1200" w:type="dxa"/>
            <w:vAlign w:val="bottom"/>
          </w:tcPr>
          <w:p>
            <w:pPr>
              <w:jc w:val="right"/>
              <w:ind w:right="381"/>
              <w:spacing w:after="0"/>
              <w:rPr>
                <w:sz w:val="20"/>
                <w:szCs w:val="20"/>
                <w:color w:val="auto"/>
              </w:rPr>
            </w:pPr>
            <w:r>
              <w:rPr>
                <w:rFonts w:ascii="Arial" w:cs="Arial" w:eastAsia="Arial" w:hAnsi="Arial"/>
                <w:sz w:val="14"/>
                <w:szCs w:val="14"/>
                <w:b w:val="1"/>
                <w:bCs w:val="1"/>
                <w:color w:val="auto"/>
              </w:rPr>
              <w:t>Kaplan</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Education</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Preparation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International</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December 31, 2015</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392,457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166,098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447,541</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1,006,096</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(248,591)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51"/>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143,866</w:t>
            </w:r>
          </w:p>
        </w:tc>
        <w:tc>
          <w:tcPr>
            <w:tcW w:w="280" w:type="dxa"/>
            <w:vAlign w:val="bottom"/>
          </w:tcPr>
          <w:p>
            <w:pPr>
              <w:spacing w:after="0"/>
              <w:rPr>
                <w:sz w:val="21"/>
                <w:szCs w:val="21"/>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63,839</w:t>
            </w:r>
          </w:p>
        </w:tc>
        <w:tc>
          <w:tcPr>
            <w:tcW w:w="24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447,541</w:t>
            </w:r>
          </w:p>
        </w:tc>
        <w:tc>
          <w:tcPr>
            <w:tcW w:w="4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655,246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160,894</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160,894</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113</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1,899</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2,012</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2016</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392,570</w:t>
            </w:r>
          </w:p>
        </w:tc>
        <w:tc>
          <w:tcPr>
            <w:tcW w:w="280" w:type="dxa"/>
            <w:vAlign w:val="bottom"/>
          </w:tcPr>
          <w:p>
            <w:pPr>
              <w:spacing w:after="0"/>
              <w:rPr>
                <w:sz w:val="23"/>
                <w:szCs w:val="23"/>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166,098</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610,334</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1,169,002</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(248,591)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(350,850)</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143,979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63,839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610,334</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818,152</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19"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March 31, 2016</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2015</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61"/>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5"/>
                <w:szCs w:val="15"/>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20" w:type="dxa"/>
            <w:vAlign w:val="bottom"/>
          </w:tcPr>
          <w:p>
            <w:pPr>
              <w:jc w:val="center"/>
              <w:ind w:left="142"/>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4"/>
                <w:szCs w:val="14"/>
                <w:color w:val="auto"/>
              </w:rPr>
            </w:pPr>
          </w:p>
        </w:tc>
        <w:tc>
          <w:tcPr>
            <w:tcW w:w="800" w:type="dxa"/>
            <w:vAlign w:val="bottom"/>
          </w:tcPr>
          <w:p>
            <w:pPr>
              <w:jc w:val="center"/>
              <w:ind w:right="61"/>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220" w:type="dxa"/>
            <w:vAlign w:val="bottom"/>
          </w:tcPr>
          <w:p>
            <w:pPr>
              <w:jc w:val="center"/>
              <w:ind w:right="161"/>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4"/>
                <w:szCs w:val="14"/>
                <w:color w:val="auto"/>
              </w:rPr>
            </w:pPr>
          </w:p>
        </w:tc>
        <w:tc>
          <w:tcPr>
            <w:tcW w:w="740" w:type="dxa"/>
            <w:vAlign w:val="bottom"/>
          </w:tcPr>
          <w:p>
            <w:pPr>
              <w:jc w:val="center"/>
              <w:ind w:right="12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2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620" w:type="dxa"/>
            <w:vAlign w:val="bottom"/>
          </w:tcPr>
          <w:p>
            <w:pPr>
              <w:jc w:val="center"/>
              <w:ind w:left="14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113,549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21"/>
              <w:spacing w:after="0"/>
              <w:rPr>
                <w:sz w:val="20"/>
                <w:szCs w:val="20"/>
                <w:color w:val="auto"/>
              </w:rPr>
            </w:pPr>
            <w:r>
              <w:rPr>
                <w:rFonts w:ascii="Arial" w:cs="Arial" w:eastAsia="Arial" w:hAnsi="Arial"/>
                <w:sz w:val="16"/>
                <w:szCs w:val="16"/>
                <w:b w:val="1"/>
                <w:bCs w:val="1"/>
                <w:color w:val="auto"/>
              </w:rPr>
              <w:t>44,266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69,283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108,806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40,280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68,526</w:t>
            </w: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620" w:type="dxa"/>
            <w:vAlign w:val="bottom"/>
          </w:tcPr>
          <w:p>
            <w:pPr>
              <w:jc w:val="center"/>
              <w:ind w:left="14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spacing w:after="0"/>
              <w:rPr>
                <w:sz w:val="23"/>
                <w:szCs w:val="23"/>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55,181</w:t>
            </w:r>
          </w:p>
        </w:tc>
        <w:tc>
          <w:tcPr>
            <w:tcW w:w="260" w:type="dxa"/>
            <w:vAlign w:val="bottom"/>
          </w:tcPr>
          <w:p>
            <w:pPr>
              <w:spacing w:after="0"/>
              <w:rPr>
                <w:sz w:val="23"/>
                <w:szCs w:val="23"/>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b w:val="1"/>
                <w:bCs w:val="1"/>
                <w:color w:val="auto"/>
              </w:rPr>
              <w:t>25,384</w:t>
            </w:r>
          </w:p>
        </w:tc>
        <w:tc>
          <w:tcPr>
            <w:tcW w:w="14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29,797</w:t>
            </w:r>
          </w:p>
        </w:tc>
        <w:tc>
          <w:tcPr>
            <w:tcW w:w="1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53,848</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23,941</w:t>
            </w:r>
          </w:p>
        </w:tc>
        <w:tc>
          <w:tcPr>
            <w:tcW w:w="260" w:type="dxa"/>
            <w:vAlign w:val="bottom"/>
          </w:tcPr>
          <w:p>
            <w:pPr>
              <w:spacing w:after="0"/>
              <w:rPr>
                <w:sz w:val="23"/>
                <w:szCs w:val="23"/>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29,907</w:t>
            </w: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620" w:type="dxa"/>
            <w:vAlign w:val="bottom"/>
          </w:tcPr>
          <w:p>
            <w:pPr>
              <w:jc w:val="center"/>
              <w:ind w:left="142"/>
              <w:spacing w:after="0"/>
              <w:rPr>
                <w:sz w:val="20"/>
                <w:szCs w:val="20"/>
                <w:color w:val="auto"/>
              </w:rPr>
            </w:pPr>
            <w:r>
              <w:rPr>
                <w:rFonts w:ascii="Arial" w:cs="Arial" w:eastAsia="Arial" w:hAnsi="Arial"/>
                <w:sz w:val="16"/>
                <w:szCs w:val="16"/>
                <w:b w:val="1"/>
                <w:bCs w:val="1"/>
                <w:color w:val="auto"/>
                <w:w w:val="98"/>
              </w:rPr>
              <w:t>3–5 years</w:t>
            </w:r>
          </w:p>
        </w:tc>
        <w:tc>
          <w:tcPr>
            <w:tcW w:w="140" w:type="dxa"/>
            <w:vAlign w:val="bottom"/>
          </w:tcPr>
          <w:p>
            <w:pPr>
              <w:spacing w:after="0"/>
              <w:rPr>
                <w:sz w:val="23"/>
                <w:szCs w:val="23"/>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4,617</w:t>
            </w:r>
          </w:p>
        </w:tc>
        <w:tc>
          <w:tcPr>
            <w:tcW w:w="260" w:type="dxa"/>
            <w:vAlign w:val="bottom"/>
          </w:tcPr>
          <w:p>
            <w:pPr>
              <w:spacing w:after="0"/>
              <w:rPr>
                <w:sz w:val="23"/>
                <w:szCs w:val="23"/>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b w:val="1"/>
                <w:bCs w:val="1"/>
                <w:color w:val="auto"/>
              </w:rPr>
              <w:t>4,178</w:t>
            </w:r>
          </w:p>
        </w:tc>
        <w:tc>
          <w:tcPr>
            <w:tcW w:w="14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439</w:t>
            </w:r>
          </w:p>
        </w:tc>
        <w:tc>
          <w:tcPr>
            <w:tcW w:w="1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4,617</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4,114</w:t>
            </w:r>
          </w:p>
        </w:tc>
        <w:tc>
          <w:tcPr>
            <w:tcW w:w="260" w:type="dxa"/>
            <w:vAlign w:val="bottom"/>
          </w:tcPr>
          <w:p>
            <w:pPr>
              <w:spacing w:after="0"/>
              <w:rPr>
                <w:sz w:val="23"/>
                <w:szCs w:val="23"/>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620" w:type="dxa"/>
            <w:vAlign w:val="bottom"/>
          </w:tcPr>
          <w:p>
            <w:pPr>
              <w:jc w:val="center"/>
              <w:ind w:left="142"/>
              <w:spacing w:after="0"/>
              <w:rPr>
                <w:sz w:val="20"/>
                <w:szCs w:val="20"/>
                <w:color w:val="auto"/>
              </w:rPr>
            </w:pPr>
            <w:r>
              <w:rPr>
                <w:rFonts w:ascii="Arial" w:cs="Arial" w:eastAsia="Arial" w:hAnsi="Arial"/>
                <w:sz w:val="16"/>
                <w:szCs w:val="16"/>
                <w:b w:val="1"/>
                <w:bCs w:val="1"/>
                <w:color w:val="auto"/>
                <w:w w:val="98"/>
              </w:rPr>
              <w:t>2–5 years</w:t>
            </w:r>
          </w:p>
        </w:tc>
        <w:tc>
          <w:tcPr>
            <w:tcW w:w="140" w:type="dxa"/>
            <w:vAlign w:val="bottom"/>
          </w:tcPr>
          <w:p>
            <w:pPr>
              <w:spacing w:after="0"/>
              <w:rPr>
                <w:sz w:val="23"/>
                <w:szCs w:val="23"/>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1,381</w:t>
            </w:r>
          </w:p>
        </w:tc>
        <w:tc>
          <w:tcPr>
            <w:tcW w:w="260" w:type="dxa"/>
            <w:vAlign w:val="bottom"/>
          </w:tcPr>
          <w:p>
            <w:pPr>
              <w:spacing w:after="0"/>
              <w:rPr>
                <w:sz w:val="23"/>
                <w:szCs w:val="23"/>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b w:val="1"/>
                <w:bCs w:val="1"/>
                <w:color w:val="auto"/>
              </w:rPr>
              <w:t>1,093</w:t>
            </w:r>
          </w:p>
        </w:tc>
        <w:tc>
          <w:tcPr>
            <w:tcW w:w="14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288</w:t>
            </w:r>
          </w:p>
        </w:tc>
        <w:tc>
          <w:tcPr>
            <w:tcW w:w="1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1,381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1,012</w:t>
            </w:r>
          </w:p>
        </w:tc>
        <w:tc>
          <w:tcPr>
            <w:tcW w:w="260" w:type="dxa"/>
            <w:vAlign w:val="bottom"/>
          </w:tcPr>
          <w:p>
            <w:pPr>
              <w:spacing w:after="0"/>
              <w:rPr>
                <w:sz w:val="23"/>
                <w:szCs w:val="23"/>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83"/>
        </w:trPr>
        <w:tc>
          <w:tcPr>
            <w:tcW w:w="3200" w:type="dxa"/>
            <w:vAlign w:val="bottom"/>
          </w:tcPr>
          <w:p>
            <w:pPr>
              <w:ind w:left="180"/>
              <w:spacing w:after="0"/>
              <w:rPr>
                <w:sz w:val="20"/>
                <w:szCs w:val="20"/>
                <w:color w:val="auto"/>
              </w:rPr>
            </w:pPr>
            <w:r>
              <w:rPr>
                <w:rFonts w:ascii="Arial" w:cs="Arial" w:eastAsia="Arial" w:hAnsi="Arial"/>
                <w:sz w:val="16"/>
                <w:szCs w:val="16"/>
                <w:color w:val="auto"/>
              </w:rPr>
              <w:t>Other</w:t>
            </w:r>
          </w:p>
        </w:tc>
        <w:tc>
          <w:tcPr>
            <w:tcW w:w="1620" w:type="dxa"/>
            <w:vAlign w:val="bottom"/>
          </w:tcPr>
          <w:p>
            <w:pPr>
              <w:jc w:val="center"/>
              <w:ind w:left="142"/>
              <w:spacing w:after="0"/>
              <w:rPr>
                <w:sz w:val="20"/>
                <w:szCs w:val="20"/>
                <w:color w:val="auto"/>
              </w:rPr>
            </w:pPr>
            <w:r>
              <w:rPr>
                <w:rFonts w:ascii="Arial" w:cs="Arial" w:eastAsia="Arial" w:hAnsi="Arial"/>
                <w:sz w:val="16"/>
                <w:szCs w:val="16"/>
                <w:b w:val="1"/>
                <w:bCs w:val="1"/>
                <w:color w:val="auto"/>
                <w:w w:val="98"/>
              </w:rPr>
              <w:t>1–7 years</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10,109</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2,995</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7,114</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10,095</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2,209</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7,886</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184,837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77,916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106,921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178,747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71,556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107,191</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20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6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72,945</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21,051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20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834</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834</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73,779</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21,885</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306"/>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7.25% unsecured notes due February 1, 2019 </w:t>
            </w:r>
            <w:r>
              <w:rPr>
                <w:rFonts w:ascii="Arial" w:cs="Arial" w:eastAsia="Arial" w:hAnsi="Arial"/>
                <w:sz w:val="21"/>
                <w:szCs w:val="21"/>
                <w:color w:val="auto"/>
                <w:vertAlign w:val="superscript"/>
              </w:rPr>
              <w:t>(1)</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398,710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398,596</w:t>
            </w:r>
          </w:p>
        </w:tc>
        <w:tc>
          <w:tcPr>
            <w:tcW w:w="0" w:type="dxa"/>
            <w:vAlign w:val="bottom"/>
          </w:tcPr>
          <w:p>
            <w:pPr>
              <w:spacing w:after="0"/>
              <w:rPr>
                <w:sz w:val="1"/>
                <w:szCs w:val="1"/>
                <w:color w:val="auto"/>
              </w:rPr>
            </w:pPr>
          </w:p>
        </w:tc>
      </w:tr>
      <w:tr>
        <w:trPr>
          <w:trHeight w:val="228"/>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1,204</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399,914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399,800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March 31, 2016 and December 31, 2015,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March 31, 2016 is at an interest rate of 6% and matures in 2019.</w:t>
      </w:r>
    </w:p>
    <w:p>
      <w:pPr>
        <w:spacing w:after="0" w:line="144"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On June 29, 2015, the Company entered into a credit agreement (the Credit Agreement) providing for a new U.S. $200 million five-year revolving credit facility (the Facility). The Company may draw on the Facility for general corporate purposes. The Facility will expire on July 1, 2020, unless the Company and the banks agree to extend the term. The Credit Agreement contains terms and conditions, including remedies in the event of a default by the Company, typical of facilities of this type. As of March 31, 2016, the Company is in compliance with all financial covenants.</w:t>
      </w:r>
    </w:p>
    <w:p>
      <w:pPr>
        <w:spacing w:after="0" w:line="13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During the three months ended March 31, 2016 and 2015, the Company had average borrowings outstanding of approximately $ 399.9 million and $434.5 million, respectively, at average annual interest rates of approximately 7.2% and 7.1%, respectively. During the three months ended March 31, 2016 and 2015, the Company incurred net interest expense of $7.4 million and $7.9 million, respectively.</w:t>
      </w:r>
    </w:p>
    <w:p>
      <w:pPr>
        <w:spacing w:after="0" w:line="137"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At March 31, 2016, the fair value of the Company’s 7.25% unsecured notes, based on quoted market prices, totaled $433.1 million, compared with the carrying amount of $398.7 million. At December 31, 2015, the fair value of the Company’s 7.25% unsecured notes, based on quoted market prices, totaled $436.6 million, compared with the carrying amount of $398.6 million. The carrying value of the Company’s other unsecured debt at March 31, 2016 approximates fair value.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1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As of March 31, 2016</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295,407</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295,407</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Commercial paper </w:t>
            </w:r>
            <w:r>
              <w:rPr>
                <w:rFonts w:ascii="Arial" w:cs="Arial" w:eastAsia="Arial" w:hAnsi="Arial"/>
                <w:sz w:val="21"/>
                <w:szCs w:val="21"/>
                <w:b w:val="1"/>
                <w:bCs w:val="1"/>
                <w:color w:val="auto"/>
                <w:vertAlign w:val="superscript"/>
              </w:rPr>
              <w:t>(2)</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99,852</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99,852</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357,751</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357,751</w:t>
            </w:r>
          </w:p>
        </w:tc>
        <w:tc>
          <w:tcPr>
            <w:tcW w:w="0" w:type="dxa"/>
            <w:vAlign w:val="bottom"/>
          </w:tcPr>
          <w:p>
            <w:pPr>
              <w:spacing w:after="0"/>
              <w:rPr>
                <w:sz w:val="1"/>
                <w:szCs w:val="1"/>
                <w:color w:val="auto"/>
              </w:rPr>
            </w:pPr>
          </w:p>
        </w:tc>
      </w:tr>
      <w:tr>
        <w:trPr>
          <w:trHeight w:val="234"/>
        </w:trPr>
        <w:tc>
          <w:tcPr>
            <w:tcW w:w="778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8,222</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18,202</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26,424</w:t>
            </w:r>
          </w:p>
        </w:tc>
        <w:tc>
          <w:tcPr>
            <w:tcW w:w="0" w:type="dxa"/>
            <w:vAlign w:val="bottom"/>
          </w:tcPr>
          <w:p>
            <w:pPr>
              <w:spacing w:after="0"/>
              <w:rPr>
                <w:sz w:val="1"/>
                <w:szCs w:val="1"/>
                <w:color w:val="auto"/>
              </w:rPr>
            </w:pPr>
          </w:p>
        </w:tc>
      </w:tr>
      <w:tr>
        <w:trPr>
          <w:trHeight w:val="258"/>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465,825</w:t>
            </w:r>
          </w:p>
        </w:tc>
        <w:tc>
          <w:tcPr>
            <w:tcW w:w="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313,609</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779,434</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45,138</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45,138</w:t>
            </w:r>
          </w:p>
        </w:tc>
        <w:tc>
          <w:tcPr>
            <w:tcW w:w="0" w:type="dxa"/>
            <w:vAlign w:val="bottom"/>
          </w:tcPr>
          <w:p>
            <w:pPr>
              <w:spacing w:after="0"/>
              <w:rPr>
                <w:sz w:val="1"/>
                <w:szCs w:val="1"/>
                <w:color w:val="auto"/>
              </w:rPr>
            </w:pPr>
          </w:p>
        </w:tc>
      </w:tr>
      <w:tr>
        <w:trPr>
          <w:trHeight w:val="342"/>
        </w:trPr>
        <w:tc>
          <w:tcPr>
            <w:tcW w:w="7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left="561"/>
              <w:spacing w:after="0"/>
              <w:rPr>
                <w:sz w:val="20"/>
                <w:szCs w:val="20"/>
                <w:color w:val="auto"/>
              </w:rPr>
            </w:pPr>
            <w:r>
              <w:rPr>
                <w:rFonts w:ascii="Arial" w:cs="Arial" w:eastAsia="Arial" w:hAnsi="Arial"/>
                <w:sz w:val="14"/>
                <w:szCs w:val="14"/>
                <w:b w:val="1"/>
                <w:bCs w:val="1"/>
                <w:color w:val="auto"/>
              </w:rPr>
              <w:t>As of December 31, 2015</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433,040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433,040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350,563</w:t>
            </w:r>
          </w:p>
        </w:tc>
        <w:tc>
          <w:tcPr>
            <w:tcW w:w="40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350,563</w:t>
            </w:r>
          </w:p>
        </w:tc>
        <w:tc>
          <w:tcPr>
            <w:tcW w:w="0" w:type="dxa"/>
            <w:vAlign w:val="bottom"/>
          </w:tcPr>
          <w:p>
            <w:pPr>
              <w:spacing w:after="0"/>
              <w:rPr>
                <w:sz w:val="1"/>
                <w:szCs w:val="1"/>
                <w:color w:val="auto"/>
              </w:rPr>
            </w:pPr>
          </w:p>
        </w:tc>
      </w:tr>
      <w:tr>
        <w:trPr>
          <w:trHeight w:val="219"/>
        </w:trPr>
        <w:tc>
          <w:tcPr>
            <w:tcW w:w="778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12,822</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16,060</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28,882</w:t>
            </w:r>
          </w:p>
        </w:tc>
        <w:tc>
          <w:tcPr>
            <w:tcW w:w="0" w:type="dxa"/>
            <w:vAlign w:val="bottom"/>
          </w:tcPr>
          <w:p>
            <w:pPr>
              <w:spacing w:after="0"/>
              <w:rPr>
                <w:sz w:val="1"/>
                <w:szCs w:val="1"/>
                <w:color w:val="auto"/>
              </w:rPr>
            </w:pPr>
          </w:p>
        </w:tc>
      </w:tr>
      <w:tr>
        <w:trPr>
          <w:trHeight w:val="258"/>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363,385</w:t>
            </w:r>
          </w:p>
        </w:tc>
        <w:tc>
          <w:tcPr>
            <w:tcW w:w="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449,100</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812,485</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778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48,055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48,055</w:t>
            </w:r>
          </w:p>
        </w:tc>
        <w:tc>
          <w:tcPr>
            <w:tcW w:w="0" w:type="dxa"/>
            <w:vAlign w:val="bottom"/>
          </w:tcPr>
          <w:p>
            <w:pPr>
              <w:spacing w:after="0"/>
              <w:rPr>
                <w:sz w:val="1"/>
                <w:szCs w:val="1"/>
                <w:color w:val="auto"/>
              </w:rPr>
            </w:pPr>
          </w:p>
        </w:tc>
      </w:tr>
      <w:tr>
        <w:trPr>
          <w:trHeight w:val="172"/>
        </w:trPr>
        <w:tc>
          <w:tcPr>
            <w:tcW w:w="7780" w:type="dxa"/>
            <w:vAlign w:val="bottom"/>
          </w:tcPr>
          <w:p>
            <w:pPr>
              <w:spacing w:after="0"/>
              <w:rPr>
                <w:sz w:val="20"/>
                <w:szCs w:val="20"/>
                <w:color w:val="auto"/>
              </w:rPr>
            </w:pPr>
            <w:r>
              <w:rPr>
                <w:rFonts w:ascii="Arial" w:cs="Arial" w:eastAsia="Arial" w:hAnsi="Arial"/>
                <w:sz w:val="14"/>
                <w:szCs w:val="14"/>
                <w:color w:val="auto"/>
              </w:rPr>
              <w:t>____________</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Company's commercial paper investments with original maturities of 90 days or less are included in cash and cash equivalents.</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41" w:lineRule="exact"/>
        <w:rPr>
          <w:rFonts w:ascii="Arial" w:cs="Arial" w:eastAsia="Arial" w:hAnsi="Arial"/>
          <w:sz w:val="14"/>
          <w:szCs w:val="14"/>
          <w:color w:val="auto"/>
        </w:rPr>
      </w:pPr>
    </w:p>
    <w:p>
      <w:pPr>
        <w:ind w:left="420" w:right="420" w:hanging="412"/>
        <w:spacing w:after="0" w:line="239" w:lineRule="auto"/>
        <w:tabs>
          <w:tab w:leader="none" w:pos="4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30" w:lineRule="exact"/>
        <w:rPr>
          <w:rFonts w:ascii="Arial" w:cs="Arial" w:eastAsia="Arial" w:hAnsi="Arial"/>
          <w:sz w:val="14"/>
          <w:szCs w:val="14"/>
          <w:color w:val="auto"/>
        </w:rPr>
      </w:pPr>
    </w:p>
    <w:p>
      <w:pPr>
        <w:ind w:left="420" w:right="40" w:hanging="412"/>
        <w:spacing w:after="0"/>
        <w:tabs>
          <w:tab w:leader="none" w:pos="4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(LOSS) PER SHARE</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7" w:right="239" w:bottom="1440" w:gutter="0" w:footer="0" w:header="0"/>
        </w:sectPr>
      </w:pPr>
    </w:p>
    <w:bookmarkStart w:id="13" w:name="page14"/>
    <w:bookmarkEnd w:id="13"/>
    <w:p>
      <w:pPr>
        <w:ind w:right="60"/>
        <w:spacing w:after="0" w:line="235" w:lineRule="auto"/>
        <w:rPr>
          <w:sz w:val="20"/>
          <w:szCs w:val="20"/>
          <w:color w:val="auto"/>
        </w:rPr>
      </w:pPr>
      <w:r>
        <w:rPr>
          <w:rFonts w:ascii="Arial" w:cs="Arial" w:eastAsia="Arial" w:hAnsi="Arial"/>
          <w:sz w:val="18"/>
          <w:szCs w:val="18"/>
          <w:color w:val="auto"/>
        </w:rPr>
        <w:t>The following reflects the Company's income (loss) from continuing operations and share data used in the basic and diluted earnings (loss) per share computations using the two-class method:</w:t>
      </w:r>
    </w:p>
    <w:p>
      <w:pPr>
        <w:spacing w:after="0" w:line="136"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900" w:type="dxa"/>
            <w:vAlign w:val="bottom"/>
          </w:tcPr>
          <w:p>
            <w:pPr>
              <w:ind w:left="180"/>
              <w:spacing w:after="0"/>
              <w:rPr>
                <w:sz w:val="20"/>
                <w:szCs w:val="20"/>
                <w:color w:val="auto"/>
              </w:rPr>
            </w:pPr>
            <w:r>
              <w:rPr>
                <w:rFonts w:ascii="Arial" w:cs="Arial" w:eastAsia="Arial" w:hAnsi="Arial"/>
                <w:sz w:val="16"/>
                <w:szCs w:val="16"/>
                <w:color w:val="auto"/>
              </w:rPr>
              <w:t>Numerator for basic earnings (loss)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Income (loss) from continuing operations attributable to Graham Holdings Company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37,780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(2,683)</w:t>
            </w:r>
          </w:p>
        </w:tc>
        <w:tc>
          <w:tcPr>
            <w:tcW w:w="0" w:type="dxa"/>
            <w:vAlign w:val="bottom"/>
          </w:tcPr>
          <w:p>
            <w:pPr>
              <w:spacing w:after="0"/>
              <w:rPr>
                <w:sz w:val="1"/>
                <w:szCs w:val="1"/>
                <w:color w:val="auto"/>
              </w:rPr>
            </w:pP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(13,758)</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(30,870)</w:t>
            </w:r>
          </w:p>
        </w:tc>
        <w:tc>
          <w:tcPr>
            <w:tcW w:w="0" w:type="dxa"/>
            <w:vAlign w:val="bottom"/>
          </w:tcPr>
          <w:p>
            <w:pPr>
              <w:spacing w:after="0"/>
              <w:rPr>
                <w:sz w:val="1"/>
                <w:szCs w:val="1"/>
                <w:color w:val="auto"/>
              </w:rPr>
            </w:pPr>
          </w:p>
        </w:tc>
      </w:tr>
      <w:tr>
        <w:trPr>
          <w:trHeight w:val="251"/>
        </w:trPr>
        <w:tc>
          <w:tcPr>
            <w:tcW w:w="8900" w:type="dxa"/>
            <w:vAlign w:val="bottom"/>
          </w:tcPr>
          <w:p>
            <w:pPr>
              <w:ind w:left="280"/>
              <w:spacing w:after="0"/>
              <w:rPr>
                <w:sz w:val="20"/>
                <w:szCs w:val="20"/>
                <w:color w:val="auto"/>
              </w:rPr>
            </w:pPr>
            <w:r>
              <w:rPr>
                <w:rFonts w:ascii="Arial" w:cs="Arial" w:eastAsia="Arial" w:hAnsi="Arial"/>
                <w:sz w:val="16"/>
                <w:szCs w:val="16"/>
                <w:color w:val="auto"/>
              </w:rPr>
              <w:t>Undistributed earnings (loss)</w:t>
            </w:r>
          </w:p>
        </w:tc>
        <w:tc>
          <w:tcPr>
            <w:tcW w:w="280" w:type="dxa"/>
            <w:vAlign w:val="bottom"/>
          </w:tcPr>
          <w:p>
            <w:pPr>
              <w:spacing w:after="0"/>
              <w:rPr>
                <w:sz w:val="21"/>
                <w:szCs w:val="21"/>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24,022</w:t>
            </w:r>
          </w:p>
        </w:tc>
        <w:tc>
          <w:tcPr>
            <w:tcW w:w="42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(33,553)</w:t>
            </w:r>
          </w:p>
        </w:tc>
        <w:tc>
          <w:tcPr>
            <w:tcW w:w="0" w:type="dxa"/>
            <w:vAlign w:val="bottom"/>
          </w:tcPr>
          <w:p>
            <w:pPr>
              <w:spacing w:after="0"/>
              <w:rPr>
                <w:sz w:val="1"/>
                <w:szCs w:val="1"/>
                <w:color w:val="auto"/>
              </w:rPr>
            </w:pPr>
          </w:p>
        </w:tc>
      </w:tr>
      <w:tr>
        <w:trPr>
          <w:trHeight w:val="290"/>
        </w:trPr>
        <w:tc>
          <w:tcPr>
            <w:tcW w:w="890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98.64%</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44"/>
        </w:trPr>
        <w:tc>
          <w:tcPr>
            <w:tcW w:w="8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23,695</w:t>
            </w:r>
          </w:p>
        </w:tc>
        <w:tc>
          <w:tcPr>
            <w:tcW w:w="42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(33,553)</w:t>
            </w:r>
          </w:p>
        </w:tc>
        <w:tc>
          <w:tcPr>
            <w:tcW w:w="0" w:type="dxa"/>
            <w:vAlign w:val="bottom"/>
          </w:tcPr>
          <w:p>
            <w:pPr>
              <w:spacing w:after="0"/>
              <w:rPr>
                <w:sz w:val="1"/>
                <w:szCs w:val="1"/>
                <w:color w:val="auto"/>
              </w:rPr>
            </w:pP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13,574</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30,228</w:t>
            </w:r>
          </w:p>
        </w:tc>
        <w:tc>
          <w:tcPr>
            <w:tcW w:w="0" w:type="dxa"/>
            <w:vAlign w:val="bottom"/>
          </w:tcPr>
          <w:p>
            <w:pPr>
              <w:spacing w:after="0"/>
              <w:rPr>
                <w:sz w:val="1"/>
                <w:szCs w:val="1"/>
                <w:color w:val="auto"/>
              </w:rPr>
            </w:pPr>
          </w:p>
        </w:tc>
      </w:tr>
      <w:tr>
        <w:trPr>
          <w:trHeight w:val="267"/>
        </w:trPr>
        <w:tc>
          <w:tcPr>
            <w:tcW w:w="8900" w:type="dxa"/>
            <w:vAlign w:val="bottom"/>
          </w:tcPr>
          <w:p>
            <w:pPr>
              <w:ind w:left="280"/>
              <w:spacing w:after="0"/>
              <w:rPr>
                <w:sz w:val="20"/>
                <w:szCs w:val="20"/>
                <w:color w:val="auto"/>
              </w:rPr>
            </w:pPr>
            <w:r>
              <w:rPr>
                <w:rFonts w:ascii="Arial" w:cs="Arial" w:eastAsia="Arial" w:hAnsi="Arial"/>
                <w:sz w:val="16"/>
                <w:szCs w:val="16"/>
                <w:color w:val="auto"/>
              </w:rPr>
              <w:t>Numerator for basic earnings (loss)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37,269</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(3,325)</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90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900" w:type="dxa"/>
            <w:vAlign w:val="bottom"/>
          </w:tcPr>
          <w:p>
            <w:pPr>
              <w:ind w:left="180"/>
              <w:spacing w:after="0"/>
              <w:rPr>
                <w:sz w:val="20"/>
                <w:szCs w:val="20"/>
                <w:color w:val="auto"/>
              </w:rPr>
            </w:pPr>
            <w:r>
              <w:rPr>
                <w:rFonts w:ascii="Arial" w:cs="Arial" w:eastAsia="Arial" w:hAnsi="Arial"/>
                <w:sz w:val="16"/>
                <w:szCs w:val="16"/>
                <w:color w:val="auto"/>
              </w:rPr>
              <w:t>Numerator for diluted earnings (loss)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37,271</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(3,325)</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900" w:type="dxa"/>
            <w:vAlign w:val="bottom"/>
          </w:tcPr>
          <w:p>
            <w:pPr>
              <w:ind w:left="180"/>
              <w:spacing w:after="0"/>
              <w:rPr>
                <w:sz w:val="20"/>
                <w:szCs w:val="20"/>
                <w:color w:val="auto"/>
              </w:rPr>
            </w:pPr>
            <w:r>
              <w:rPr>
                <w:rFonts w:ascii="Arial" w:cs="Arial" w:eastAsia="Arial" w:hAnsi="Arial"/>
                <w:sz w:val="16"/>
                <w:szCs w:val="16"/>
                <w:color w:val="auto"/>
              </w:rPr>
              <w:t>Denominator for basic earnings (loss)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3"/>
                <w:szCs w:val="23"/>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5,623</w:t>
            </w:r>
          </w:p>
        </w:tc>
        <w:tc>
          <w:tcPr>
            <w:tcW w:w="420" w:type="dxa"/>
            <w:vAlign w:val="bottom"/>
          </w:tcPr>
          <w:p>
            <w:pPr>
              <w:spacing w:after="0"/>
              <w:rPr>
                <w:sz w:val="23"/>
                <w:szCs w:val="23"/>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5,704</w:t>
            </w:r>
          </w:p>
        </w:tc>
        <w:tc>
          <w:tcPr>
            <w:tcW w:w="0" w:type="dxa"/>
            <w:vAlign w:val="bottom"/>
          </w:tcPr>
          <w:p>
            <w:pPr>
              <w:spacing w:after="0"/>
              <w:rPr>
                <w:sz w:val="1"/>
                <w:szCs w:val="1"/>
                <w:color w:val="auto"/>
              </w:rPr>
            </w:pP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29</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900" w:type="dxa"/>
            <w:vAlign w:val="bottom"/>
          </w:tcPr>
          <w:p>
            <w:pPr>
              <w:ind w:left="180"/>
              <w:spacing w:after="0"/>
              <w:rPr>
                <w:sz w:val="20"/>
                <w:szCs w:val="20"/>
                <w:color w:val="auto"/>
              </w:rPr>
            </w:pPr>
            <w:r>
              <w:rPr>
                <w:rFonts w:ascii="Arial" w:cs="Arial" w:eastAsia="Arial" w:hAnsi="Arial"/>
                <w:sz w:val="16"/>
                <w:szCs w:val="16"/>
                <w:color w:val="auto"/>
              </w:rPr>
              <w:t>Denominator for diluted earnings (loss) per share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5,652</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5,704</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8900" w:type="dxa"/>
            <w:vAlign w:val="bottom"/>
          </w:tcPr>
          <w:p>
            <w:pPr>
              <w:ind w:left="180"/>
              <w:spacing w:after="0"/>
              <w:rPr>
                <w:sz w:val="20"/>
                <w:szCs w:val="20"/>
                <w:color w:val="auto"/>
              </w:rPr>
            </w:pPr>
            <w:r>
              <w:rPr>
                <w:rFonts w:ascii="Arial" w:cs="Arial" w:eastAsia="Arial" w:hAnsi="Arial"/>
                <w:sz w:val="16"/>
                <w:szCs w:val="16"/>
                <w:b w:val="1"/>
                <w:bCs w:val="1"/>
                <w:color w:val="auto"/>
              </w:rPr>
              <w:t>Basic earnings (loss) per share from continuing operations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6.63</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900" w:type="dxa"/>
            <w:vAlign w:val="bottom"/>
          </w:tcPr>
          <w:p>
            <w:pPr>
              <w:ind w:left="180"/>
              <w:spacing w:after="0"/>
              <w:rPr>
                <w:sz w:val="20"/>
                <w:szCs w:val="20"/>
                <w:color w:val="auto"/>
              </w:rPr>
            </w:pPr>
            <w:r>
              <w:rPr>
                <w:rFonts w:ascii="Arial" w:cs="Arial" w:eastAsia="Arial" w:hAnsi="Arial"/>
                <w:sz w:val="16"/>
                <w:szCs w:val="16"/>
                <w:b w:val="1"/>
                <w:bCs w:val="1"/>
                <w:color w:val="auto"/>
              </w:rPr>
              <w:t>Diluted earnings (loss) per share from continuing operations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6.59</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9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20" w:right="260" w:hanging="412"/>
        <w:spacing w:after="0" w:line="239" w:lineRule="auto"/>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 of undistributed losses allocated to common stockholders is 100% in the first quarter of 2015 as participating securities are not contractually obligated to share in losses.</w:t>
      </w:r>
    </w:p>
    <w:p>
      <w:pPr>
        <w:spacing w:after="0" w:line="13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Diluted earnings (loss) per share excludes the following weighted average potential common shares, as the effect would be antidilutive, as computed under the treasury stock method:</w:t>
      </w:r>
    </w:p>
    <w:p>
      <w:pPr>
        <w:spacing w:after="0" w:line="136"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6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r>
      <w:tr>
        <w:trPr>
          <w:trHeight w:val="258"/>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00" w:type="dxa"/>
            <w:vAlign w:val="bottom"/>
            <w:tcBorders>
              <w:bottom w:val="single" w:sz="8" w:color="auto"/>
            </w:tcBorders>
          </w:tcPr>
          <w:p>
            <w:pPr>
              <w:jc w:val="right"/>
              <w:ind w:right="763"/>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916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500" w:type="dxa"/>
            <w:vAlign w:val="bottom"/>
          </w:tcPr>
          <w:p>
            <w:pPr>
              <w:jc w:val="right"/>
              <w:ind w:right="523"/>
              <w:spacing w:after="0"/>
              <w:rPr>
                <w:sz w:val="20"/>
                <w:szCs w:val="20"/>
                <w:color w:val="auto"/>
              </w:rPr>
            </w:pPr>
            <w:r>
              <w:rPr>
                <w:rFonts w:ascii="Arial" w:cs="Arial" w:eastAsia="Arial" w:hAnsi="Arial"/>
                <w:sz w:val="16"/>
                <w:szCs w:val="16"/>
                <w:b w:val="1"/>
                <w:bCs w:val="1"/>
                <w:color w:val="auto"/>
              </w:rPr>
              <w:t>38</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54</w:t>
            </w:r>
          </w:p>
        </w:tc>
      </w:tr>
      <w:tr>
        <w:trPr>
          <w:trHeight w:val="270"/>
        </w:trPr>
        <w:tc>
          <w:tcPr>
            <w:tcW w:w="9160" w:type="dxa"/>
            <w:vAlign w:val="bottom"/>
          </w:tcPr>
          <w:p>
            <w:pPr>
              <w:ind w:left="180"/>
              <w:spacing w:after="0"/>
              <w:rPr>
                <w:sz w:val="20"/>
                <w:szCs w:val="20"/>
                <w:color w:val="auto"/>
              </w:rPr>
            </w:pPr>
            <w:r>
              <w:rPr>
                <w:rFonts w:ascii="Arial" w:cs="Arial" w:eastAsia="Arial" w:hAnsi="Arial"/>
                <w:sz w:val="16"/>
                <w:szCs w:val="16"/>
                <w:color w:val="auto"/>
              </w:rPr>
              <w:t>Weighted average stock options</w:t>
            </w:r>
          </w:p>
        </w:tc>
        <w:tc>
          <w:tcPr>
            <w:tcW w:w="1500" w:type="dxa"/>
            <w:vAlign w:val="bottom"/>
          </w:tcPr>
          <w:p>
            <w:pPr>
              <w:jc w:val="right"/>
              <w:ind w:right="523"/>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33</w:t>
            </w:r>
          </w:p>
        </w:tc>
      </w:tr>
    </w:tbl>
    <w:p>
      <w:pPr>
        <w:spacing w:after="0" w:line="16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diluted earnings per share amounts for the three months ended March 31, 2016 exclude the effects of 102,000 stock options outstanding as their inclusion would have been antidilutive due to a market condition. The diluted loss per share amounts for the three months ended March 31, 2015 exclude the effects of 50,000 stock options outstanding as their inclusion would have been antidilutive due to a market condition. The diluted earnings per share amounts for the three months ended March 31, 2016 exclude the effects of 6,100 restricted stock awards as their inclusion would have been antidilutive due to a performance condition. The diluted loss per share amounts for the three months ended March 31, 2015 exclude the effects of 5,850 restricted stock awards, as their inclusion would have been antidilutive due to a performance condition.</w:t>
      </w:r>
    </w:p>
    <w:p>
      <w:pPr>
        <w:spacing w:after="0" w:line="244" w:lineRule="exact"/>
        <w:rPr>
          <w:sz w:val="20"/>
          <w:szCs w:val="20"/>
          <w:color w:val="auto"/>
        </w:rPr>
      </w:pPr>
    </w:p>
    <w:p>
      <w:pPr>
        <w:ind w:right="1000"/>
        <w:spacing w:after="0" w:line="235" w:lineRule="auto"/>
        <w:rPr>
          <w:sz w:val="20"/>
          <w:szCs w:val="20"/>
          <w:color w:val="auto"/>
        </w:rPr>
      </w:pPr>
      <w:r>
        <w:rPr>
          <w:rFonts w:ascii="Arial" w:cs="Arial" w:eastAsia="Arial" w:hAnsi="Arial"/>
          <w:sz w:val="18"/>
          <w:szCs w:val="18"/>
          <w:color w:val="auto"/>
        </w:rPr>
        <w:t>In the three months ended March 31, 2016 and March 31, 2015, the Company declared regular dividends totaling $2.42 and $5.30,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PLANS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including a portion included in discontinued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consists of the following components: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2015</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5,342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7,252</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13,073</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12,780</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240" w:type="dxa"/>
            <w:vAlign w:val="bottom"/>
          </w:tcPr>
          <w:p>
            <w:pPr>
              <w:spacing w:after="0"/>
              <w:rPr>
                <w:sz w:val="23"/>
                <w:szCs w:val="23"/>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(30,548)</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(31,545)</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74</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(12,059)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(11,432)</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9" w:right="239" w:bottom="854"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719" w:right="239" w:bottom="854" w:gutter="0" w:footer="0" w:header="0"/>
          <w:type w:val="continuous"/>
        </w:sectPr>
      </w:pPr>
    </w:p>
    <w:bookmarkStart w:id="14" w:name="page15"/>
    <w:bookmarkEnd w:id="14"/>
    <w:p>
      <w:pPr>
        <w:ind w:right="320"/>
        <w:spacing w:after="0" w:line="235" w:lineRule="auto"/>
        <w:rPr>
          <w:sz w:val="20"/>
          <w:szCs w:val="20"/>
          <w:color w:val="auto"/>
        </w:rPr>
      </w:pPr>
      <w:r>
        <w:rPr>
          <w:rFonts w:ascii="Arial" w:cs="Arial" w:eastAsia="Arial" w:hAnsi="Arial"/>
          <w:sz w:val="18"/>
          <w:szCs w:val="18"/>
          <w:color w:val="auto"/>
        </w:rPr>
        <w:t>For the three months ended March 31, 2015, the net periodic benefit for the Company's pension plans, as reported above, includes costs of $1.0 million reported in discontinued operations.</w:t>
      </w:r>
    </w:p>
    <w:p>
      <w:pPr>
        <w:spacing w:after="0" w:line="135"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The total cost arising from the Company’s Supplemental Executive Retirement Plan (SERP), including a portion included in discontinued operations, consists of the following components: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2015</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246</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509</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1,096</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1,135</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114</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114</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665</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878</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2,121</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2,636</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For the three months ended March 31, 2015, the net periodic cost for the Company's SERP, as reported above, includes costs of $0.1 million reported in discontinued operations.</w:t>
      </w:r>
    </w:p>
    <w:p>
      <w:pPr>
        <w:spacing w:after="0" w:line="113" w:lineRule="exact"/>
        <w:rPr>
          <w:sz w:val="20"/>
          <w:szCs w:val="20"/>
          <w:color w:val="auto"/>
        </w:rPr>
      </w:pPr>
    </w:p>
    <w:p>
      <w:pPr>
        <w:jc w:val="both"/>
        <w:ind w:right="44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relatively small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stocks and high-quality fixed-income securities that are held by a third-party trustee. The assets of the Company’s pension plan were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7"/>
        </w:trPr>
        <w:tc>
          <w:tcPr>
            <w:tcW w:w="8480" w:type="dxa"/>
            <w:vAlign w:val="bottom"/>
          </w:tcPr>
          <w:p>
            <w:pPr>
              <w:spacing w:after="0"/>
              <w:rPr>
                <w:sz w:val="24"/>
                <w:szCs w:val="24"/>
                <w:color w:val="auto"/>
              </w:rPr>
            </w:pPr>
          </w:p>
        </w:tc>
        <w:tc>
          <w:tcPr>
            <w:tcW w:w="1720" w:type="dxa"/>
            <w:vAlign w:val="bottom"/>
          </w:tcPr>
          <w:p>
            <w:pPr>
              <w:jc w:val="right"/>
              <w:ind w:right="623"/>
              <w:spacing w:after="0"/>
              <w:rPr>
                <w:sz w:val="20"/>
                <w:szCs w:val="20"/>
                <w:color w:val="auto"/>
              </w:rPr>
            </w:pPr>
            <w:r>
              <w:rPr>
                <w:rFonts w:ascii="Arial" w:cs="Arial" w:eastAsia="Arial" w:hAnsi="Arial"/>
                <w:sz w:val="14"/>
                <w:szCs w:val="14"/>
                <w:b w:val="1"/>
                <w:bCs w:val="1"/>
                <w:color w:val="auto"/>
              </w:rPr>
              <w:t>March 31,</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b w:val="1"/>
                <w:bCs w:val="1"/>
                <w:color w:val="auto"/>
              </w:rPr>
              <w:t>2016</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2015</w:t>
            </w:r>
          </w:p>
        </w:tc>
      </w:tr>
      <w:tr>
        <w:trPr>
          <w:trHeight w:val="250"/>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68%</w:t>
            </w:r>
          </w:p>
        </w:tc>
        <w:tc>
          <w:tcPr>
            <w:tcW w:w="12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17%</w:t>
            </w: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15%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March 31, 2016, the managers can invest no more than 24% of the assets in specified international exchanges, at the time the investment is made, and no less than 10% of the assets could be invested in fixed-income securities. None of the assets was managed internally by the Company in the first quarter of 2016.</w:t>
      </w:r>
    </w:p>
    <w:p>
      <w:pPr>
        <w:spacing w:after="0" w:line="13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the second quarter of 2016, the Company plans to begin managing approximately 44% of the pension assets internally, of which the majority will be invested in U.S. Stock Index Funds. The investment goal of the internally managed assets is consistent with the other externally managed assets. The remaining 56% of plan assets will still be managed by the two investment companies.</w:t>
      </w:r>
    </w:p>
    <w:p>
      <w:pPr>
        <w:spacing w:after="0" w:line="137"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March 31, 2016. Types of concentrations that were evaluated include, but are not limited to, investment concentrations in a single entity, type of industry, foreign country and individual fund. At March 31, 2016, the pension plan held common stock in one investment that exceeded 10% of total plan assets, valued at $250.1 million, or 12% of total plan assets. At December 31, 2015, the pension plan held common stock in two investments that exceeded 10% of total plan assets, valued at $562.6 million, or 25% of total plan assets. At December 31, 2015, the pension plan held investments in one foreign country that exceeded 10% of total plan assets, valued at $332.4 million, or 15% of total plan assets.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1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2015</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346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333</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308</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325</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23"/>
                <w:szCs w:val="23"/>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(84)</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(375)</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195</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283</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NON-OPERATING INCOME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is as follows:</w:t>
      </w:r>
    </w:p>
    <w:p>
      <w:pPr>
        <w:spacing w:after="0" w:line="145"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14605</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sale of a business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loss,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formation of joint venture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sale of marketable equity securities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net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Other Non-Operating Income (Expense)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2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2015</w:t>
            </w:r>
          </w:p>
        </w:tc>
      </w:tr>
      <w:tr>
        <w:trPr>
          <w:trHeight w:val="284"/>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18,931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(5,443)</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(6,827)</w:t>
            </w:r>
          </w:p>
        </w:tc>
      </w:tr>
      <w:tr>
        <w:trPr>
          <w:trHeight w:val="270"/>
        </w:trPr>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5,972</w:t>
            </w:r>
          </w:p>
        </w:tc>
      </w:tr>
      <w:tr>
        <w:trPr>
          <w:trHeight w:val="270"/>
        </w:trPr>
        <w:tc>
          <w:tcPr>
            <w:tcW w:w="22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1,754</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75" w:lineRule="exact"/>
        <w:rPr>
          <w:sz w:val="20"/>
          <w:szCs w:val="20"/>
          <w:color w:val="auto"/>
        </w:rPr>
      </w:pPr>
    </w:p>
    <w:p>
      <w:pPr>
        <w:ind w:left="1920" w:hanging="1235"/>
        <w:spacing w:after="0"/>
        <w:tabs>
          <w:tab w:leader="none" w:pos="192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(250)</w:t>
      </w:r>
    </w:p>
    <w:p>
      <w:pPr>
        <w:spacing w:after="0" w:line="7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$15,096   </w:t>
      </w:r>
      <w:r>
        <w:rPr>
          <w:rFonts w:ascii="Arial" w:cs="Arial" w:eastAsia="Arial" w:hAnsi="Arial"/>
          <w:sz w:val="16"/>
          <w:szCs w:val="16"/>
          <w:color w:val="auto"/>
        </w:rPr>
        <w:t>$</w:t>
      </w:r>
      <w:r>
        <w:rPr>
          <w:rFonts w:ascii="Arial" w:cs="Arial" w:eastAsia="Arial" w:hAnsi="Arial"/>
          <w:sz w:val="15"/>
          <w:szCs w:val="15"/>
          <w:color w:val="auto"/>
        </w:rPr>
        <w:t>(1,105)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48895</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-147320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340" w:space="720"/>
            <w:col w:w="2360"/>
          </w:cols>
          <w:pgMar w:left="240" w:top="697"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2016, Kaplan sold Colloquy, which was a part of Kaplan corporate and other, for a gain of $18.9 million.</w:t>
      </w:r>
    </w:p>
    <w:p>
      <w:pPr>
        <w:spacing w:after="0" w:line="144"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January 2015, Celtic contributed assets to a joint venture entered into with AHN in exchange for a 40% equity interest, resulting in the Company recording a $6.0 million gain (see Note 4).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2015</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21"/>
              <w:spacing w:after="0"/>
              <w:rPr>
                <w:sz w:val="20"/>
                <w:szCs w:val="20"/>
                <w:color w:val="auto"/>
              </w:rPr>
            </w:pPr>
            <w:r>
              <w:rPr>
                <w:rFonts w:ascii="Arial" w:cs="Arial" w:eastAsia="Arial" w:hAnsi="Arial"/>
                <w:sz w:val="14"/>
                <w:szCs w:val="14"/>
                <w:b w:val="1"/>
                <w:bCs w:val="1"/>
                <w:color w:val="auto"/>
              </w:rPr>
              <w:t>Before-Tax</w:t>
            </w:r>
          </w:p>
        </w:tc>
        <w:tc>
          <w:tcPr>
            <w:tcW w:w="200" w:type="dxa"/>
            <w:vAlign w:val="bottom"/>
          </w:tcPr>
          <w:p>
            <w:pPr>
              <w:spacing w:after="0"/>
              <w:rPr>
                <w:sz w:val="22"/>
                <w:szCs w:val="22"/>
                <w:color w:val="auto"/>
              </w:rPr>
            </w:pPr>
          </w:p>
        </w:tc>
        <w:tc>
          <w:tcPr>
            <w:tcW w:w="700" w:type="dxa"/>
            <w:vAlign w:val="bottom"/>
          </w:tcPr>
          <w:p>
            <w:pPr>
              <w:jc w:val="right"/>
              <w:ind w:right="102"/>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22"/>
                <w:szCs w:val="22"/>
                <w:color w:val="auto"/>
              </w:rPr>
            </w:pPr>
          </w:p>
        </w:tc>
        <w:tc>
          <w:tcPr>
            <w:tcW w:w="820" w:type="dxa"/>
            <w:vAlign w:val="bottom"/>
          </w:tcPr>
          <w:p>
            <w:pPr>
              <w:jc w:val="right"/>
              <w:ind w:right="10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1000" w:type="dxa"/>
            <w:vAlign w:val="bottom"/>
          </w:tcPr>
          <w:p>
            <w:pPr>
              <w:jc w:val="right"/>
              <w:ind w:right="201"/>
              <w:spacing w:after="0"/>
              <w:rPr>
                <w:sz w:val="20"/>
                <w:szCs w:val="20"/>
                <w:color w:val="auto"/>
              </w:rPr>
            </w:pPr>
            <w:r>
              <w:rPr>
                <w:rFonts w:ascii="Arial" w:cs="Arial" w:eastAsia="Arial" w:hAnsi="Arial"/>
                <w:sz w:val="14"/>
                <w:szCs w:val="14"/>
                <w:color w:val="auto"/>
              </w:rPr>
              <w:t>Before-Tax</w:t>
            </w:r>
          </w:p>
        </w:tc>
        <w:tc>
          <w:tcPr>
            <w:tcW w:w="160" w:type="dxa"/>
            <w:vAlign w:val="bottom"/>
          </w:tcPr>
          <w:p>
            <w:pPr>
              <w:spacing w:after="0"/>
              <w:rPr>
                <w:sz w:val="22"/>
                <w:szCs w:val="22"/>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Income</w:t>
            </w:r>
          </w:p>
        </w:tc>
        <w:tc>
          <w:tcPr>
            <w:tcW w:w="1120" w:type="dxa"/>
            <w:vAlign w:val="bottom"/>
          </w:tcPr>
          <w:p>
            <w:pPr>
              <w:jc w:val="right"/>
              <w:ind w:right="141"/>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960" w:type="dxa"/>
            <w:vAlign w:val="bottom"/>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700" w:type="dxa"/>
            <w:vAlign w:val="bottom"/>
          </w:tcPr>
          <w:p>
            <w:pPr>
              <w:jc w:val="right"/>
              <w:ind w:right="242"/>
              <w:spacing w:after="0"/>
              <w:rPr>
                <w:sz w:val="20"/>
                <w:szCs w:val="20"/>
                <w:color w:val="auto"/>
              </w:rPr>
            </w:pPr>
            <w:r>
              <w:rPr>
                <w:rFonts w:ascii="Arial" w:cs="Arial" w:eastAsia="Arial" w:hAnsi="Arial"/>
                <w:sz w:val="14"/>
                <w:szCs w:val="14"/>
                <w:b w:val="1"/>
                <w:bCs w:val="1"/>
                <w:color w:val="auto"/>
              </w:rPr>
              <w:t>Tax</w:t>
            </w:r>
          </w:p>
        </w:tc>
        <w:tc>
          <w:tcPr>
            <w:tcW w:w="200" w:type="dxa"/>
            <w:vAlign w:val="bottom"/>
          </w:tcPr>
          <w:p>
            <w:pPr>
              <w:spacing w:after="0"/>
              <w:rPr>
                <w:sz w:val="18"/>
                <w:szCs w:val="18"/>
                <w:color w:val="auto"/>
              </w:rPr>
            </w:pPr>
          </w:p>
        </w:tc>
        <w:tc>
          <w:tcPr>
            <w:tcW w:w="820" w:type="dxa"/>
            <w:vAlign w:val="bottom"/>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1000" w:type="dxa"/>
            <w:vAlign w:val="bottom"/>
          </w:tcPr>
          <w:p>
            <w:pPr>
              <w:jc w:val="right"/>
              <w:ind w:right="301"/>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8"/>
                <w:szCs w:val="18"/>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w w:val="94"/>
              </w:rPr>
              <w:t>Tax</w:t>
            </w:r>
          </w:p>
        </w:tc>
        <w:tc>
          <w:tcPr>
            <w:tcW w:w="1120" w:type="dxa"/>
            <w:vAlign w:val="bottom"/>
          </w:tcPr>
          <w:p>
            <w:pPr>
              <w:jc w:val="right"/>
              <w:ind w:right="18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16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3,845</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3,845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(12,088)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   (12,088)</w:t>
            </w:r>
          </w:p>
        </w:tc>
        <w:tc>
          <w:tcPr>
            <w:tcW w:w="0" w:type="dxa"/>
            <w:vAlign w:val="bottom"/>
          </w:tcPr>
          <w:p>
            <w:pPr>
              <w:spacing w:after="0"/>
              <w:rPr>
                <w:sz w:val="1"/>
                <w:szCs w:val="1"/>
                <w:color w:val="auto"/>
              </w:rPr>
            </w:pPr>
          </w:p>
        </w:tc>
      </w:tr>
      <w:tr>
        <w:trPr>
          <w:trHeight w:val="283"/>
        </w:trPr>
        <w:tc>
          <w:tcPr>
            <w:tcW w:w="5160" w:type="dxa"/>
            <w:vAlign w:val="bottom"/>
          </w:tcPr>
          <w:p>
            <w:pPr>
              <w:ind w:left="180"/>
              <w:spacing w:after="0"/>
              <w:rPr>
                <w:sz w:val="20"/>
                <w:szCs w:val="20"/>
                <w:color w:val="auto"/>
              </w:rPr>
            </w:pPr>
            <w:r>
              <w:rPr>
                <w:rFonts w:ascii="Arial" w:cs="Arial" w:eastAsia="Arial" w:hAnsi="Arial"/>
                <w:sz w:val="16"/>
                <w:szCs w:val="16"/>
                <w:color w:val="auto"/>
              </w:rPr>
              <w:t>Adjustment for sale of a business with foreign operations</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3,845</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3,845</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(12,129)</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(12,129)</w:t>
            </w:r>
          </w:p>
        </w:tc>
        <w:tc>
          <w:tcPr>
            <w:tcW w:w="0" w:type="dxa"/>
            <w:vAlign w:val="bottom"/>
          </w:tcPr>
          <w:p>
            <w:pPr>
              <w:spacing w:after="0"/>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color w:val="auto"/>
              </w:rPr>
              <w:t>Unrealized (losses) gains on available-for-sale securities: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Unrealized gains (losses) for the period, net</w:t>
            </w:r>
          </w:p>
        </w:tc>
        <w:tc>
          <w:tcPr>
            <w:tcW w:w="14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343</w:t>
            </w:r>
          </w:p>
        </w:tc>
        <w:tc>
          <w:tcPr>
            <w:tcW w:w="200" w:type="dxa"/>
            <w:vAlign w:val="bottom"/>
          </w:tcPr>
          <w:p>
            <w:pPr>
              <w:spacing w:after="0"/>
              <w:rPr>
                <w:sz w:val="23"/>
                <w:szCs w:val="23"/>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b w:val="1"/>
                <w:bCs w:val="1"/>
                <w:color w:val="auto"/>
              </w:rPr>
              <w:t>(137)</w:t>
            </w:r>
          </w:p>
        </w:tc>
        <w:tc>
          <w:tcPr>
            <w:tcW w:w="20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206</w:t>
            </w:r>
          </w:p>
        </w:tc>
        <w:tc>
          <w:tcPr>
            <w:tcW w:w="200" w:type="dxa"/>
            <w:vAlign w:val="bottom"/>
          </w:tcPr>
          <w:p>
            <w:pPr>
              <w:spacing w:after="0"/>
              <w:rPr>
                <w:sz w:val="23"/>
                <w:szCs w:val="23"/>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(8,878)</w:t>
            </w:r>
          </w:p>
        </w:tc>
        <w:tc>
          <w:tcPr>
            <w:tcW w:w="160" w:type="dxa"/>
            <w:vAlign w:val="bottom"/>
          </w:tcPr>
          <w:p>
            <w:pPr>
              <w:spacing w:after="0"/>
              <w:rPr>
                <w:sz w:val="23"/>
                <w:szCs w:val="23"/>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3,552</w:t>
            </w:r>
          </w:p>
        </w:tc>
        <w:tc>
          <w:tcPr>
            <w:tcW w:w="1120" w:type="dxa"/>
            <w:vAlign w:val="bottom"/>
          </w:tcPr>
          <w:p>
            <w:pPr>
              <w:jc w:val="right"/>
              <w:spacing w:after="0"/>
              <w:rPr>
                <w:sz w:val="20"/>
                <w:szCs w:val="20"/>
                <w:color w:val="auto"/>
              </w:rPr>
            </w:pPr>
            <w:r>
              <w:rPr>
                <w:rFonts w:ascii="Arial" w:cs="Arial" w:eastAsia="Arial" w:hAnsi="Arial"/>
                <w:sz w:val="16"/>
                <w:szCs w:val="16"/>
                <w:color w:val="auto"/>
              </w:rPr>
              <w:t>(5,326)</w:t>
            </w:r>
          </w:p>
        </w:tc>
        <w:tc>
          <w:tcPr>
            <w:tcW w:w="0" w:type="dxa"/>
            <w:vAlign w:val="bottom"/>
          </w:tcPr>
          <w:p>
            <w:pPr>
              <w:spacing w:after="0"/>
              <w:rPr>
                <w:sz w:val="1"/>
                <w:szCs w:val="1"/>
                <w:color w:val="auto"/>
              </w:rPr>
            </w:pPr>
          </w:p>
        </w:tc>
      </w:tr>
      <w:tr>
        <w:trPr>
          <w:trHeight w:val="238"/>
        </w:trPr>
        <w:tc>
          <w:tcPr>
            <w:tcW w:w="5160" w:type="dxa"/>
            <w:vAlign w:val="bottom"/>
          </w:tcPr>
          <w:p>
            <w:pPr>
              <w:ind w:left="180"/>
              <w:spacing w:after="0"/>
              <w:rPr>
                <w:sz w:val="20"/>
                <w:szCs w:val="20"/>
                <w:color w:val="auto"/>
              </w:rPr>
            </w:pPr>
            <w:r>
              <w:rPr>
                <w:rFonts w:ascii="Arial" w:cs="Arial" w:eastAsia="Arial" w:hAnsi="Arial"/>
                <w:sz w:val="16"/>
                <w:szCs w:val="16"/>
                <w:color w:val="auto"/>
              </w:rPr>
              <w:t>Reclassification of realized gain on sale of available-for-sale</w:t>
            </w:r>
          </w:p>
        </w:tc>
        <w:tc>
          <w:tcPr>
            <w:tcW w:w="140" w:type="dxa"/>
            <w:vAlign w:val="bottom"/>
          </w:tcPr>
          <w:p>
            <w:pPr>
              <w:spacing w:after="0"/>
              <w:rPr>
                <w:sz w:val="20"/>
                <w:szCs w:val="20"/>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(1,754)</w:t>
            </w:r>
          </w:p>
        </w:tc>
        <w:tc>
          <w:tcPr>
            <w:tcW w:w="200" w:type="dxa"/>
            <w:vAlign w:val="bottom"/>
          </w:tcPr>
          <w:p>
            <w:pPr>
              <w:spacing w:after="0"/>
              <w:rPr>
                <w:sz w:val="20"/>
                <w:szCs w:val="20"/>
                <w:color w:val="auto"/>
              </w:rPr>
            </w:pPr>
          </w:p>
        </w:tc>
        <w:tc>
          <w:tcPr>
            <w:tcW w:w="70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701</w:t>
            </w:r>
          </w:p>
        </w:tc>
        <w:tc>
          <w:tcPr>
            <w:tcW w:w="200" w:type="dxa"/>
            <w:vAlign w:val="bottom"/>
          </w:tcPr>
          <w:p>
            <w:pPr>
              <w:spacing w:after="0"/>
              <w:rPr>
                <w:sz w:val="20"/>
                <w:szCs w:val="20"/>
                <w:color w:val="auto"/>
              </w:rPr>
            </w:pPr>
          </w:p>
        </w:tc>
        <w:tc>
          <w:tcPr>
            <w:tcW w:w="8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(1,053)</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340"/>
              <w:spacing w:after="0"/>
              <w:rPr>
                <w:sz w:val="20"/>
                <w:szCs w:val="20"/>
                <w:color w:val="auto"/>
              </w:rPr>
            </w:pPr>
            <w:r>
              <w:rPr>
                <w:rFonts w:ascii="Arial" w:cs="Arial" w:eastAsia="Arial" w:hAnsi="Arial"/>
                <w:sz w:val="16"/>
                <w:szCs w:val="16"/>
                <w:color w:val="auto"/>
              </w:rPr>
              <w:t>securities included in net income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(1,411)</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564</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(847)</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(8,878)</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3,552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(5,326)</w:t>
            </w: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697"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line="366" w:lineRule="auto"/>
        <w:rPr>
          <w:sz w:val="20"/>
          <w:szCs w:val="20"/>
          <w:color w:val="auto"/>
        </w:rPr>
      </w:pPr>
      <w:r>
        <w:rPr>
          <w:rFonts w:ascii="Arial" w:cs="Arial" w:eastAsia="Arial" w:hAnsi="Arial"/>
          <w:sz w:val="16"/>
          <w:szCs w:val="16"/>
          <w:color w:val="auto"/>
        </w:rPr>
        <w:t>Amortization of net prior service cost included in net income Amortization of net actuarial gain included in net income</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period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240" w:type="dxa"/>
            <w:vAlign w:val="bottom"/>
          </w:tcPr>
          <w:p>
            <w:pPr>
              <w:jc w:val="right"/>
              <w:ind w:right="219"/>
              <w:spacing w:after="0"/>
              <w:rPr>
                <w:sz w:val="20"/>
                <w:szCs w:val="20"/>
                <w:color w:val="auto"/>
              </w:rPr>
            </w:pPr>
            <w:r>
              <w:rPr>
                <w:rFonts w:ascii="Arial" w:cs="Arial" w:eastAsia="Arial" w:hAnsi="Arial"/>
                <w:sz w:val="16"/>
                <w:szCs w:val="16"/>
                <w:b w:val="1"/>
                <w:bCs w:val="1"/>
                <w:color w:val="auto"/>
              </w:rPr>
              <w:t>104</w:t>
            </w: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(41)</w:t>
            </w: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63</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69</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(27)</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283"/>
        </w:trPr>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290</w:t>
            </w: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(116)</w:t>
            </w: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174</w:t>
            </w: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629</w:t>
            </w: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(252)</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377</w:t>
            </w:r>
          </w:p>
        </w:tc>
      </w:tr>
      <w:tr>
        <w:trPr>
          <w:trHeight w:val="264"/>
        </w:trPr>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394</w:t>
            </w: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(157)</w:t>
            </w: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237</w:t>
            </w: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698</w:t>
            </w: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(279)</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w:t>
            </w:r>
          </w:p>
        </w:tc>
      </w:tr>
      <w:tr>
        <w:trPr>
          <w:trHeight w:val="534"/>
        </w:trPr>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179</w:t>
            </w: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(71)</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w:t>
            </w:r>
          </w:p>
        </w:tc>
      </w:tr>
    </w:tbl>
    <w:p>
      <w:pPr>
        <w:spacing w:after="0" w:line="36" w:lineRule="exact"/>
        <w:rPr>
          <w:sz w:val="20"/>
          <w:szCs w:val="20"/>
          <w:color w:val="auto"/>
        </w:rPr>
      </w:pPr>
    </w:p>
    <w:p>
      <w:pPr>
        <w:sectPr>
          <w:pgSz w:w="11900" w:h="16838" w:orient="portrait"/>
          <w:cols w:equalWidth="0" w:num="2">
            <w:col w:w="4440" w:space="720"/>
            <w:col w:w="6260"/>
          </w:cols>
          <w:pgMar w:left="240" w:top="697" w:right="239" w:bottom="1440" w:gutter="0" w:footer="0" w:header="0"/>
          <w:type w:val="continuous"/>
        </w:sectPr>
      </w:pPr>
    </w:p>
    <w:p>
      <w:pPr>
        <w:ind w:left="40"/>
        <w:spacing w:after="0"/>
        <w:tabs>
          <w:tab w:leader="none" w:pos="5160" w:val="left"/>
          <w:tab w:leader="none" w:pos="5680" w:val="left"/>
          <w:tab w:leader="none" w:pos="6340" w:val="left"/>
          <w:tab w:leader="none" w:pos="6720" w:val="left"/>
          <w:tab w:leader="none" w:pos="7240" w:val="left"/>
          <w:tab w:leader="none" w:pos="7600" w:val="left"/>
          <w:tab w:leader="none" w:pos="8260" w:val="left"/>
          <w:tab w:leader="none" w:pos="8600" w:val="left"/>
          <w:tab w:leader="none" w:pos="9380" w:val="left"/>
          <w:tab w:leader="none" w:pos="9760" w:val="left"/>
          <w:tab w:leader="none" w:pos="10400" w:val="left"/>
          <w:tab w:leader="none" w:pos="10740" w:val="left"/>
        </w:tabs>
        <w:rPr>
          <w:sz w:val="20"/>
          <w:szCs w:val="20"/>
          <w:color w:val="auto"/>
        </w:rPr>
      </w:pPr>
      <w:r>
        <w:rPr>
          <w:rFonts w:ascii="Arial" w:cs="Arial" w:eastAsia="Arial" w:hAnsi="Arial"/>
          <w:sz w:val="16"/>
          <w:szCs w:val="16"/>
          <w:b w:val="1"/>
          <w:bCs w:val="1"/>
          <w:color w:val="auto"/>
        </w:rPr>
        <w:t>Other Comprehensive Income (Loss)</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2,828</w:t>
        <w:tab/>
        <w:t>$</w:t>
      </w:r>
      <w:r>
        <w:rPr>
          <w:sz w:val="20"/>
          <w:szCs w:val="20"/>
          <w:color w:val="auto"/>
        </w:rPr>
        <w:tab/>
      </w:r>
      <w:r>
        <w:rPr>
          <w:rFonts w:ascii="Arial" w:cs="Arial" w:eastAsia="Arial" w:hAnsi="Arial"/>
          <w:sz w:val="16"/>
          <w:szCs w:val="16"/>
          <w:b w:val="1"/>
          <w:bCs w:val="1"/>
          <w:color w:val="auto"/>
        </w:rPr>
        <w:t>407</w:t>
        <w:tab/>
        <w:t>$</w:t>
        <w:tab/>
        <w:t>3,235</w:t>
      </w:r>
      <w:r>
        <w:rPr>
          <w:sz w:val="20"/>
          <w:szCs w:val="20"/>
          <w:color w:val="auto"/>
        </w:rPr>
        <w:tab/>
      </w:r>
      <w:r>
        <w:rPr>
          <w:rFonts w:ascii="Arial" w:cs="Arial" w:eastAsia="Arial" w:hAnsi="Arial"/>
          <w:sz w:val="16"/>
          <w:szCs w:val="16"/>
          <w:color w:val="auto"/>
        </w:rPr>
        <w:t>$</w:t>
        <w:tab/>
        <w:t>(20,130)</w:t>
        <w:tab/>
        <w:t>$</w:t>
      </w:r>
      <w:r>
        <w:rPr>
          <w:sz w:val="20"/>
          <w:szCs w:val="20"/>
          <w:color w:val="auto"/>
        </w:rPr>
        <w:tab/>
      </w:r>
      <w:r>
        <w:rPr>
          <w:rFonts w:ascii="Arial" w:cs="Arial" w:eastAsia="Arial" w:hAnsi="Arial"/>
          <w:sz w:val="16"/>
          <w:szCs w:val="16"/>
          <w:color w:val="auto"/>
        </w:rPr>
        <w:t>3,202</w:t>
        <w:tab/>
        <w:t>$</w:t>
        <w:tab/>
        <w:t>(16,928)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7891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48895</wp:posOffset>
            </wp:positionV>
            <wp:extent cx="39789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697"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on Pensions</w:t>
            </w:r>
          </w:p>
        </w:tc>
        <w:tc>
          <w:tcPr>
            <w:tcW w:w="24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360" w:type="dxa"/>
            <w:vAlign w:val="bottom"/>
          </w:tcPr>
          <w:p>
            <w:pPr>
              <w:jc w:val="center"/>
              <w:ind w:right="122"/>
              <w:spacing w:after="0"/>
              <w:rPr>
                <w:sz w:val="20"/>
                <w:szCs w:val="20"/>
                <w:color w:val="auto"/>
              </w:rPr>
            </w:pPr>
            <w:r>
              <w:rPr>
                <w:rFonts w:ascii="Arial" w:cs="Arial" w:eastAsia="Arial" w:hAnsi="Arial"/>
                <w:sz w:val="14"/>
                <w:szCs w:val="14"/>
                <w:b w:val="1"/>
                <w:bCs w:val="1"/>
                <w:color w:val="auto"/>
              </w:rPr>
              <w:t>Unrealized Gain</w:t>
            </w:r>
          </w:p>
        </w:tc>
        <w:tc>
          <w:tcPr>
            <w:tcW w:w="22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Other</w:t>
            </w:r>
          </w:p>
        </w:tc>
      </w:tr>
      <w:tr>
        <w:trPr>
          <w:trHeight w:val="162"/>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60" w:type="dxa"/>
            <w:vAlign w:val="bottom"/>
          </w:tcPr>
          <w:p>
            <w:pPr>
              <w:jc w:val="center"/>
              <w:ind w:right="122"/>
              <w:spacing w:after="0"/>
              <w:rPr>
                <w:sz w:val="20"/>
                <w:szCs w:val="20"/>
                <w:color w:val="auto"/>
              </w:rPr>
            </w:pPr>
            <w:r>
              <w:rPr>
                <w:rFonts w:ascii="Arial" w:cs="Arial" w:eastAsia="Arial" w:hAnsi="Arial"/>
                <w:sz w:val="14"/>
                <w:szCs w:val="14"/>
                <w:b w:val="1"/>
                <w:bCs w:val="1"/>
                <w:color w:val="auto"/>
              </w:rPr>
              <w:t>on Available-for-</w:t>
            </w:r>
          </w:p>
        </w:tc>
        <w:tc>
          <w:tcPr>
            <w:tcW w:w="22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Sale Securities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Plans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Income</w:t>
            </w:r>
          </w:p>
        </w:tc>
      </w:tr>
      <w:tr>
        <w:trPr>
          <w:trHeight w:val="250"/>
        </w:trPr>
        <w:tc>
          <w:tcPr>
            <w:tcW w:w="5380" w:type="dxa"/>
            <w:vAlign w:val="bottom"/>
          </w:tcPr>
          <w:p>
            <w:pPr>
              <w:ind w:left="40"/>
              <w:spacing w:after="0"/>
              <w:rPr>
                <w:sz w:val="20"/>
                <w:szCs w:val="20"/>
                <w:color w:val="auto"/>
              </w:rPr>
            </w:pPr>
            <w:r>
              <w:rPr>
                <w:rFonts w:ascii="Arial" w:cs="Arial" w:eastAsia="Arial" w:hAnsi="Arial"/>
                <w:sz w:val="16"/>
                <w:szCs w:val="16"/>
                <w:color w:val="auto"/>
              </w:rPr>
              <w:t>Balance as of December 31, 2015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(4,849)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58,500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261,029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314,680</w:t>
            </w:r>
          </w:p>
        </w:tc>
      </w:tr>
      <w:tr>
        <w:trPr>
          <w:trHeight w:val="270"/>
        </w:trPr>
        <w:tc>
          <w:tcPr>
            <w:tcW w:w="538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before reclassifications</w:t>
            </w:r>
          </w:p>
        </w:tc>
        <w:tc>
          <w:tcPr>
            <w:tcW w:w="18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b w:val="1"/>
                <w:bCs w:val="1"/>
                <w:color w:val="auto"/>
              </w:rPr>
              <w:t>3,845</w:t>
            </w:r>
          </w:p>
        </w:tc>
        <w:tc>
          <w:tcPr>
            <w:tcW w:w="220" w:type="dxa"/>
            <w:vAlign w:val="bottom"/>
          </w:tcPr>
          <w:p>
            <w:pPr>
              <w:spacing w:after="0"/>
              <w:rPr>
                <w:sz w:val="23"/>
                <w:szCs w:val="23"/>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b w:val="1"/>
                <w:bCs w:val="1"/>
                <w:color w:val="auto"/>
              </w:rPr>
              <w:t>206</w:t>
            </w:r>
          </w:p>
        </w:tc>
        <w:tc>
          <w:tcPr>
            <w:tcW w:w="220" w:type="dxa"/>
            <w:vAlign w:val="bottom"/>
          </w:tcPr>
          <w:p>
            <w:pPr>
              <w:spacing w:after="0"/>
              <w:rPr>
                <w:sz w:val="23"/>
                <w:szCs w:val="23"/>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b w:val="1"/>
                <w:bCs w:val="1"/>
                <w:color w:val="auto"/>
              </w:rPr>
              <w:t>4,051</w:t>
            </w:r>
          </w:p>
        </w:tc>
      </w:tr>
      <w:tr>
        <w:trPr>
          <w:trHeight w:val="218"/>
        </w:trPr>
        <w:tc>
          <w:tcPr>
            <w:tcW w:w="538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 comprehensive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5380" w:type="dxa"/>
            <w:vAlign w:val="bottom"/>
          </w:tcPr>
          <w:p>
            <w:pPr>
              <w:ind w:left="260"/>
              <w:spacing w:after="0"/>
              <w:rPr>
                <w:sz w:val="20"/>
                <w:szCs w:val="20"/>
                <w:color w:val="auto"/>
              </w:rPr>
            </w:pPr>
            <w:r>
              <w:rPr>
                <w:rFonts w:ascii="Arial" w:cs="Arial" w:eastAsia="Arial" w:hAnsi="Arial"/>
                <w:sz w:val="16"/>
                <w:szCs w:val="16"/>
                <w:b w:val="1"/>
                <w:bCs w:val="1"/>
                <w:color w:val="auto"/>
              </w:rPr>
              <w:t>income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(1,053)</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237</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(816)</w:t>
            </w:r>
          </w:p>
        </w:tc>
      </w:tr>
      <w:tr>
        <w:trPr>
          <w:trHeight w:val="264"/>
        </w:trPr>
        <w:tc>
          <w:tcPr>
            <w:tcW w:w="538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(loss), net of tax</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3,845</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(847)</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237</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3,235</w:t>
            </w:r>
          </w:p>
        </w:tc>
      </w:tr>
      <w:tr>
        <w:trPr>
          <w:trHeight w:val="26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57,653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261,266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317,915</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940" w:type="dxa"/>
            <w:vAlign w:val="bottom"/>
            <w:gridSpan w:val="3"/>
          </w:tcPr>
          <w:p>
            <w:pPr>
              <w:jc w:val="right"/>
              <w:ind w:right="183"/>
              <w:spacing w:after="0"/>
              <w:rPr>
                <w:sz w:val="20"/>
                <w:szCs w:val="20"/>
                <w:color w:val="auto"/>
              </w:rPr>
            </w:pPr>
            <w:r>
              <w:rPr>
                <w:rFonts w:ascii="Arial" w:cs="Arial" w:eastAsia="Arial" w:hAnsi="Arial"/>
                <w:sz w:val="14"/>
                <w:szCs w:val="14"/>
                <w:b w:val="1"/>
                <w:bCs w:val="1"/>
                <w:color w:val="auto"/>
              </w:rPr>
              <w:t>Three Months Ended</w:t>
            </w: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March 31</w:t>
            </w:r>
          </w:p>
        </w:tc>
        <w:tc>
          <w:tcPr>
            <w:tcW w:w="620" w:type="dxa"/>
            <w:vAlign w:val="bottom"/>
            <w:tcBorders>
              <w:bottom w:val="single" w:sz="8" w:color="auto"/>
            </w:tcBorders>
          </w:tcPr>
          <w:p>
            <w:pPr>
              <w:spacing w:after="0"/>
              <w:rPr>
                <w:sz w:val="17"/>
                <w:szCs w:val="17"/>
                <w:color w:val="auto"/>
              </w:rPr>
            </w:pPr>
          </w:p>
        </w:tc>
        <w:tc>
          <w:tcPr>
            <w:tcW w:w="410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Affected Line Item in the Condensed Consolidated</w:t>
            </w:r>
          </w:p>
        </w:tc>
        <w:tc>
          <w:tcPr>
            <w:tcW w:w="0" w:type="dxa"/>
            <w:vAlign w:val="bottom"/>
          </w:tcPr>
          <w:p>
            <w:pPr>
              <w:spacing w:after="0"/>
              <w:rPr>
                <w:sz w:val="1"/>
                <w:szCs w:val="1"/>
                <w:color w:val="auto"/>
              </w:rPr>
            </w:pPr>
          </w:p>
        </w:tc>
      </w:tr>
      <w:tr>
        <w:trPr>
          <w:trHeight w:val="67"/>
        </w:trPr>
        <w:tc>
          <w:tcPr>
            <w:tcW w:w="5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color w:val="auto"/>
              </w:rPr>
              <w:t>2015</w:t>
            </w:r>
          </w:p>
        </w:tc>
        <w:tc>
          <w:tcPr>
            <w:tcW w:w="41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Foreign Currency Translation Adjustments:</w:t>
            </w: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380" w:type="dxa"/>
            <w:vAlign w:val="bottom"/>
          </w:tcPr>
          <w:p>
            <w:pPr>
              <w:ind w:left="180"/>
              <w:spacing w:after="0"/>
              <w:rPr>
                <w:sz w:val="20"/>
                <w:szCs w:val="20"/>
                <w:color w:val="auto"/>
              </w:rPr>
            </w:pPr>
            <w:r>
              <w:rPr>
                <w:rFonts w:ascii="Arial" w:cs="Arial" w:eastAsia="Arial" w:hAnsi="Arial"/>
                <w:sz w:val="16"/>
                <w:szCs w:val="16"/>
                <w:color w:val="auto"/>
              </w:rPr>
              <w:t>Adjustment for sales of businesses with foreign operations</w:t>
            </w:r>
          </w:p>
        </w:tc>
        <w:tc>
          <w:tcPr>
            <w:tcW w:w="640" w:type="dxa"/>
            <w:vAlign w:val="bottom"/>
          </w:tcPr>
          <w:p>
            <w:pPr>
              <w:jc w:val="right"/>
              <w:ind w:right="445"/>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ind w:left="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(41)</w:t>
            </w:r>
          </w:p>
        </w:tc>
        <w:tc>
          <w:tcPr>
            <w:tcW w:w="4100" w:type="dxa"/>
            <w:vAlign w:val="bottom"/>
          </w:tcPr>
          <w:p>
            <w:pPr>
              <w:ind w:left="140"/>
              <w:spacing w:after="0"/>
              <w:rPr>
                <w:sz w:val="20"/>
                <w:szCs w:val="20"/>
                <w:color w:val="auto"/>
              </w:rPr>
            </w:pPr>
            <w:r>
              <w:rPr>
                <w:rFonts w:ascii="Arial" w:cs="Arial" w:eastAsia="Arial" w:hAnsi="Arial"/>
                <w:sz w:val="14"/>
                <w:szCs w:val="14"/>
                <w:color w:val="auto"/>
              </w:rPr>
              <w:t>Income from Discontinued Operations, Net of Tax</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1900" w:h="16838" w:orient="portrait"/>
          <w:cols w:equalWidth="0" w:num="1">
            <w:col w:w="11420"/>
          </w:cols>
          <w:pgMar w:left="240" w:top="719" w:right="239" w:bottom="1440" w:gutter="0" w:footer="0" w:header="0"/>
        </w:sectPr>
      </w:pPr>
    </w:p>
    <w:tbl>
      <w:tblPr>
        <w:tblLayout w:type="fixed"/>
        <w:tblInd w:w="40" w:type="dxa"/>
        <w:tblCellMar>
          <w:top w:w="0" w:type="dxa"/>
          <w:left w:w="0" w:type="dxa"/>
          <w:bottom w:w="0" w:type="dxa"/>
          <w:right w:w="0" w:type="dxa"/>
        </w:tblCellMar>
      </w:tblP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Realized gain for the period</w:t>
            </w: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(1,754)</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5340" w:type="dxa"/>
            <w:vAlign w:val="bottom"/>
          </w:tcPr>
          <w:p>
            <w:pPr>
              <w:spacing w:after="0"/>
              <w:rPr>
                <w:sz w:val="24"/>
                <w:szCs w:val="24"/>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701</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340" w:type="dxa"/>
            <w:vAlign w:val="bottom"/>
          </w:tcPr>
          <w:p>
            <w:pPr>
              <w:spacing w:after="0"/>
              <w:rPr>
                <w:sz w:val="22"/>
                <w:szCs w:val="22"/>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(1,053)</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5340" w:type="dxa"/>
            <w:vAlign w:val="bottom"/>
          </w:tcPr>
          <w:p>
            <w:pPr>
              <w:spacing w:after="0"/>
              <w:rPr>
                <w:sz w:val="20"/>
                <w:szCs w:val="20"/>
                <w:color w:val="auto"/>
              </w:rPr>
            </w:pPr>
            <w:r>
              <w:rPr>
                <w:rFonts w:ascii="Arial" w:cs="Arial" w:eastAsia="Arial" w:hAnsi="Arial"/>
                <w:sz w:val="16"/>
                <w:szCs w:val="16"/>
                <w:b w:val="1"/>
                <w:bCs w:val="1"/>
                <w:color w:val="auto"/>
              </w:rPr>
              <w:t>Pension and Other Postretirement Plans:</w:t>
            </w: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w:t>
            </w: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auto"/>
              </w:rPr>
              <w:t>104</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283"/>
        </w:trPr>
        <w:tc>
          <w:tcPr>
            <w:tcW w:w="534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290</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629</w:t>
            </w:r>
          </w:p>
        </w:tc>
      </w:tr>
      <w:tr>
        <w:trPr>
          <w:trHeight w:val="251"/>
        </w:trPr>
        <w:tc>
          <w:tcPr>
            <w:tcW w:w="5340" w:type="dxa"/>
            <w:vAlign w:val="bottom"/>
          </w:tcPr>
          <w:p>
            <w:pPr>
              <w:spacing w:after="0"/>
              <w:rPr>
                <w:sz w:val="21"/>
                <w:szCs w:val="21"/>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auto"/>
              </w:rPr>
              <w:t>394</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698</w:t>
            </w:r>
          </w:p>
        </w:tc>
      </w:tr>
      <w:tr>
        <w:trPr>
          <w:trHeight w:val="283"/>
        </w:trPr>
        <w:tc>
          <w:tcPr>
            <w:tcW w:w="5340" w:type="dxa"/>
            <w:vAlign w:val="bottom"/>
          </w:tcPr>
          <w:p>
            <w:pPr>
              <w:spacing w:after="0"/>
              <w:rPr>
                <w:sz w:val="24"/>
                <w:szCs w:val="24"/>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(157)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r>
      <w:tr>
        <w:trPr>
          <w:trHeight w:val="264"/>
        </w:trPr>
        <w:tc>
          <w:tcPr>
            <w:tcW w:w="5340" w:type="dxa"/>
            <w:vAlign w:val="bottom"/>
          </w:tcPr>
          <w:p>
            <w:pPr>
              <w:spacing w:after="0"/>
              <w:rPr>
                <w:sz w:val="22"/>
                <w:szCs w:val="22"/>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237</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w:t>
            </w:r>
          </w:p>
        </w:tc>
      </w:tr>
      <w:tr>
        <w:trPr>
          <w:trHeight w:val="251"/>
        </w:trPr>
        <w:tc>
          <w:tcPr>
            <w:tcW w:w="5340" w:type="dxa"/>
            <w:vAlign w:val="bottom"/>
          </w:tcPr>
          <w:p>
            <w:pPr>
              <w:spacing w:after="0"/>
              <w:rPr>
                <w:sz w:val="20"/>
                <w:szCs w:val="20"/>
                <w:color w:val="auto"/>
              </w:rPr>
            </w:pPr>
            <w:r>
              <w:rPr>
                <w:rFonts w:ascii="Arial" w:cs="Arial" w:eastAsia="Arial" w:hAnsi="Arial"/>
                <w:sz w:val="16"/>
                <w:szCs w:val="16"/>
                <w:b w:val="1"/>
                <w:bCs w:val="1"/>
                <w:color w:val="auto"/>
              </w:rPr>
              <w:t>Cash Flow Hedge</w:t>
            </w: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Net of Tax</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Before tax</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Net of Tax</w:t>
      </w:r>
    </w:p>
    <w:p>
      <w:pPr>
        <w:spacing w:after="0" w:line="342" w:lineRule="exact"/>
        <w:rPr>
          <w:sz w:val="20"/>
          <w:szCs w:val="20"/>
          <w:color w:val="auto"/>
        </w:rPr>
      </w:pPr>
    </w:p>
    <w:p>
      <w:pPr>
        <w:sectPr>
          <w:pgSz w:w="11900" w:h="16838" w:orient="portrait"/>
          <w:cols w:equalWidth="0" w:num="2">
            <w:col w:w="7320" w:space="140"/>
            <w:col w:w="3960"/>
          </w:cols>
          <w:pgMar w:left="240" w:top="719" w:right="239" w:bottom="1440" w:gutter="0" w:footer="0" w:header="0"/>
          <w:type w:val="continuous"/>
        </w:sectPr>
      </w:pPr>
    </w:p>
    <w:tbl>
      <w:tblPr>
        <w:tblLayout w:type="fixed"/>
        <w:tblInd w:w="4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132</w:t>
            </w:r>
          </w:p>
        </w:tc>
      </w:tr>
      <w:tr>
        <w:trPr>
          <w:trHeight w:val="283"/>
        </w:trPr>
        <w:tc>
          <w:tcPr>
            <w:tcW w:w="5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64"/>
        </w:trPr>
        <w:tc>
          <w:tcPr>
            <w:tcW w:w="5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w:t>
            </w:r>
          </w:p>
        </w:tc>
      </w:tr>
      <w:tr>
        <w:trPr>
          <w:trHeight w:val="267"/>
        </w:trPr>
        <w:tc>
          <w:tcPr>
            <w:tcW w:w="5340" w:type="dxa"/>
            <w:vAlign w:val="bottom"/>
          </w:tcPr>
          <w:p>
            <w:pPr>
              <w:spacing w:after="0"/>
              <w:rPr>
                <w:sz w:val="20"/>
                <w:szCs w:val="20"/>
                <w:color w:val="auto"/>
              </w:rPr>
            </w:pPr>
            <w:r>
              <w:rPr>
                <w:rFonts w:ascii="Arial" w:cs="Arial" w:eastAsia="Arial" w:hAnsi="Arial"/>
                <w:sz w:val="16"/>
                <w:szCs w:val="16"/>
                <w:b w:val="1"/>
                <w:bCs w:val="1"/>
                <w:color w:val="auto"/>
              </w:rPr>
              <w:t>Total reclassification for the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(816)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457</w:t>
            </w: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Net of Tax</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Net of Tax</w:t>
      </w:r>
    </w:p>
    <w:p>
      <w:pPr>
        <w:spacing w:after="0" w:line="68" w:lineRule="exact"/>
        <w:rPr>
          <w:sz w:val="20"/>
          <w:szCs w:val="20"/>
          <w:color w:val="auto"/>
        </w:rPr>
      </w:pPr>
    </w:p>
    <w:p>
      <w:pPr>
        <w:sectPr>
          <w:pgSz w:w="11900" w:h="16838" w:orient="portrait"/>
          <w:cols w:equalWidth="0" w:num="2">
            <w:col w:w="7320" w:space="140"/>
            <w:col w:w="3960"/>
          </w:cols>
          <w:pgMar w:left="240" w:top="719" w:right="2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w:t>
      </w:r>
    </w:p>
    <w:p>
      <w:pPr>
        <w:spacing w:after="0" w:line="163"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44"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Litigation and Legal Matters. </w:t>
      </w:r>
      <w:r>
        <w:rPr>
          <w:rFonts w:ascii="Arial" w:cs="Arial" w:eastAsia="Arial" w:hAnsi="Arial"/>
          <w:sz w:val="18"/>
          <w:szCs w:val="18"/>
          <w:color w:val="auto"/>
        </w:rPr>
        <w:t>The Company and its subsidiaries are involved in various legal proceedings that arise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business.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39"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 xml:space="preserve">Certain Kaplan subsidiaries are subject to two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 xml:space="preserve">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Carlos Urquilla-Diaz </w:t>
      </w:r>
      <w:r>
        <w:rPr>
          <w:rFonts w:ascii="Arial" w:cs="Arial" w:eastAsia="Arial" w:hAnsi="Arial"/>
          <w:sz w:val="18"/>
          <w:szCs w:val="18"/>
          <w:color w:val="auto"/>
        </w:rPr>
        <w:t>et al</w:t>
      </w:r>
      <w:r>
        <w:rPr>
          <w:rFonts w:ascii="Arial" w:cs="Arial" w:eastAsia="Arial" w:hAnsi="Arial"/>
          <w:sz w:val="18"/>
          <w:szCs w:val="18"/>
          <w:i w:val="1"/>
          <w:iCs w:val="1"/>
          <w:color w:val="auto"/>
        </w:rPr>
        <w:t xml:space="preserve">.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University </w:t>
      </w:r>
      <w:r>
        <w:rPr>
          <w:rFonts w:ascii="Arial" w:cs="Arial" w:eastAsia="Arial" w:hAnsi="Arial"/>
          <w:sz w:val="18"/>
          <w:szCs w:val="18"/>
          <w:color w:val="auto"/>
        </w:rPr>
        <w:t>et al. (unsealed March 25, 2008) and</w:t>
      </w:r>
      <w:r>
        <w:rPr>
          <w:rFonts w:ascii="Arial" w:cs="Arial" w:eastAsia="Arial" w:hAnsi="Arial"/>
          <w:sz w:val="18"/>
          <w:szCs w:val="18"/>
          <w:i w:val="1"/>
          <w:iCs w:val="1"/>
          <w:color w:val="auto"/>
        </w:rPr>
        <w:t xml:space="preserve"> United States of America </w:t>
      </w:r>
      <w:r>
        <w:rPr>
          <w:rFonts w:ascii="Arial" w:cs="Arial" w:eastAsia="Arial" w:hAnsi="Arial"/>
          <w:sz w:val="18"/>
          <w:szCs w:val="18"/>
          <w:color w:val="auto"/>
        </w:rPr>
        <w:t xml:space="preserve">ex rel. </w:t>
      </w:r>
      <w:r>
        <w:rPr>
          <w:rFonts w:ascii="Arial" w:cs="Arial" w:eastAsia="Arial" w:hAnsi="Arial"/>
          <w:sz w:val="18"/>
          <w:szCs w:val="18"/>
          <w:i w:val="1"/>
          <w:iCs w:val="1"/>
          <w:color w:val="auto"/>
        </w:rPr>
        <w:t>Charles Jajdelski</w:t>
      </w:r>
      <w:r>
        <w:rPr>
          <w:rFonts w:ascii="Arial" w:cs="Arial" w:eastAsia="Arial" w:hAnsi="Arial"/>
          <w:sz w:val="18"/>
          <w:szCs w:val="18"/>
          <w:color w:val="auto"/>
        </w:rPr>
        <w:t xml:space="preserve"> v</w:t>
      </w:r>
      <w:r>
        <w:rPr>
          <w:rFonts w:ascii="Arial" w:cs="Arial" w:eastAsia="Arial" w:hAnsi="Arial"/>
          <w:sz w:val="18"/>
          <w:szCs w:val="18"/>
          <w:i w:val="1"/>
          <w:iCs w:val="1"/>
          <w:color w:val="auto"/>
        </w:rPr>
        <w:t>. Kaplan Higher Education Corp</w:t>
      </w:r>
      <w:r>
        <w:rPr>
          <w:rFonts w:ascii="Arial" w:cs="Arial" w:eastAsia="Arial" w:hAnsi="Arial"/>
          <w:sz w:val="18"/>
          <w:szCs w:val="18"/>
          <w:color w:val="auto"/>
        </w:rPr>
        <w:t>. et al. (unsealed January 6, 2009).</w:t>
      </w:r>
    </w:p>
    <w:p>
      <w:pPr>
        <w:spacing w:after="0" w:line="137"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In August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In October 2012, the court entered summary judgment in favor of the Company as to the sole remaining employment claim in the Diaz complaint. In July 2013, the court likewise entered summary judgment in favor of the Company on all remaining claims in the</w:t>
      </w:r>
    </w:p>
    <w:p>
      <w:pPr>
        <w:sectPr>
          <w:pgSz w:w="11900" w:h="16838" w:orient="portrait"/>
          <w:cols w:equalWidth="0" w:num="1">
            <w:col w:w="11420"/>
          </w:cols>
          <w:pgMar w:left="240" w:top="719" w:right="239" w:bottom="1440" w:gutter="0" w:footer="0" w:header="0"/>
          <w:type w:val="continuous"/>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719" w:right="239" w:bottom="1440" w:gutter="0" w:footer="0" w:header="0"/>
          <w:type w:val="continuous"/>
        </w:sectPr>
      </w:pPr>
    </w:p>
    <w:bookmarkStart w:id="17" w:name="page18"/>
    <w:bookmarkEnd w:id="17"/>
    <w:p>
      <w:pPr>
        <w:ind w:right="20"/>
        <w:spacing w:after="0" w:line="223" w:lineRule="auto"/>
        <w:rPr>
          <w:sz w:val="20"/>
          <w:szCs w:val="20"/>
          <w:color w:val="auto"/>
        </w:rPr>
      </w:pPr>
      <w:r>
        <w:rPr>
          <w:rFonts w:ascii="Arial" w:cs="Arial" w:eastAsia="Arial" w:hAnsi="Arial"/>
          <w:sz w:val="18"/>
          <w:szCs w:val="18"/>
          <w:color w:val="auto"/>
        </w:rPr>
        <w:t>Gillespie complaint. Diaz and Gillespie each appealed to the U.S. Court of Appeals for the Eleventh Judicial Court. Arguments on both appeals were heard In February 2015. In March 2015, the court issued a decision affirming the lower court's dismissal of all of Gillespie's claims and three of the four Diaz claims but reversing and remanding on one remaining claim alleging that incentive compensation for admissions representatives was improperly based on enrollment counts. Kaplan filed an answer to Diaz's amended complaint in September 2015 and a renewed motion to dismiss, and a hearing was held in December 2015. In March 2016, the Court denied the motion to dismiss and discovery is proceeding in the case. In February 2016, Gillespie filed a new motion with the District Court alleging that the Court improperly refused to consider a motion to vacate while the case was on appeal; Kaplan filed an opposition to this motion.</w:t>
      </w:r>
    </w:p>
    <w:p>
      <w:pPr>
        <w:spacing w:after="0" w:line="139"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February 2016, Acquire Learning filed a statement of claim against Kaplan Australia and Kaplan Inc. in the Victorian Supreme Court, alleging breaches of warranty in connection with Acquire's September 2015 purchase of Franklyn Scholar from Kaplan Australia, and seeking payment under the indemnity provisions of the sale agreement. The alleged breaches of warranty relate to certain courses which were the subject of Victorian Government Department of Education and Training audits and subsequent repayment demands. Kaplan Australia filed its "Defence and Counterclaim" in April 2016, denying the allegations and bringing claims against Acquire.</w:t>
      </w:r>
    </w:p>
    <w:p>
      <w:pPr>
        <w:spacing w:after="0" w:line="115"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ED has undertaken program reviews at various KHE locations. Currently, there are five open program reviews, four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at campuses that were formerly a part of the KHE Campuses business, including the ED’s final reports on the program reviews at KHE’s Broomall, PA, and Pittsburgh, PA, locations. Kaplan retains responsibility for any financial obligation resulting from the ED program reviews at the KHE Campuses business.</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On February 23, 2015, the ED began a review of Kaplan University. The review will assess Kaplan’s administration of its Title IV, HEA programs and will initially focus on the 2013 to 2014 and 2014 to 2015 award years. On December 17, 2015, Kaplan University received a notice from the ED that it had been placed on provisional certification status until September 30, 2018, in connection with the open and ongoing ED program review. The ED has not notified Kaplan University of any negative findings. However, at this time, Kaplan cannot predict the outcome of this review, when it will be completed or any liability or other limitations that the ED may place on Kaplan University as a result of this review. During the period of provisional certification, Kaplan University must obtain prior ED approval to open a new location, add an educational program, acquire another school or make any other significant change.</w:t>
      </w:r>
    </w:p>
    <w:p>
      <w:pPr>
        <w:spacing w:after="0" w:line="15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19"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13. BUSINESS SEGMENTS</w:t>
      </w:r>
    </w:p>
    <w:p>
      <w:pPr>
        <w:spacing w:after="0" w:line="166" w:lineRule="exact"/>
        <w:rPr>
          <w:sz w:val="20"/>
          <w:szCs w:val="20"/>
          <w:color w:val="auto"/>
        </w:rPr>
      </w:pPr>
    </w:p>
    <w:p>
      <w:pPr>
        <w:ind w:right="920"/>
        <w:spacing w:after="0" w:line="235" w:lineRule="auto"/>
        <w:rPr>
          <w:sz w:val="20"/>
          <w:szCs w:val="20"/>
          <w:color w:val="auto"/>
        </w:rPr>
      </w:pPr>
      <w:r>
        <w:rPr>
          <w:rFonts w:ascii="Arial" w:cs="Arial" w:eastAsia="Arial" w:hAnsi="Arial"/>
          <w:sz w:val="18"/>
          <w:szCs w:val="18"/>
          <w:color w:val="auto"/>
        </w:rPr>
        <w:t>The Company has four reportable segments: Kaplan Higher Education, Kaplan Test Preparation, Kaplan International and television broadcasting.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401,076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500,602</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92,018</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83,564</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108,716</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63,259</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70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601,740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647,425</w:t>
            </w:r>
          </w:p>
        </w:tc>
        <w:tc>
          <w:tcPr>
            <w:tcW w:w="0" w:type="dxa"/>
            <w:vAlign w:val="bottom"/>
          </w:tcPr>
          <w:p>
            <w:pPr>
              <w:spacing w:after="0"/>
              <w:rPr>
                <w:sz w:val="1"/>
                <w:szCs w:val="1"/>
                <w:color w:val="auto"/>
              </w:rPr>
            </w:pPr>
          </w:p>
        </w:tc>
      </w:tr>
      <w:tr>
        <w:trPr>
          <w:trHeight w:val="251"/>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14,488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(22,849)</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41,220</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38,562</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(5,730)</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(5,162)</w:t>
            </w:r>
          </w:p>
        </w:tc>
        <w:tc>
          <w:tcPr>
            <w:tcW w:w="0" w:type="dxa"/>
            <w:vAlign w:val="bottom"/>
          </w:tcPr>
          <w:p>
            <w:pPr>
              <w:spacing w:after="0"/>
              <w:rPr>
                <w:sz w:val="1"/>
                <w:szCs w:val="1"/>
                <w:color w:val="auto"/>
              </w:rPr>
            </w:pPr>
          </w:p>
        </w:tc>
      </w:tr>
      <w:tr>
        <w:trPr>
          <w:trHeight w:val="283"/>
        </w:trPr>
        <w:tc>
          <w:tcPr>
            <w:tcW w:w="8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1,894</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w:t>
            </w: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51,872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8,862</w:t>
            </w:r>
          </w:p>
        </w:tc>
        <w:tc>
          <w:tcPr>
            <w:tcW w:w="0" w:type="dxa"/>
            <w:vAlign w:val="bottom"/>
          </w:tcPr>
          <w:p>
            <w:pPr>
              <w:spacing w:after="0"/>
              <w:rPr>
                <w:sz w:val="1"/>
                <w:szCs w:val="1"/>
                <w:color w:val="auto"/>
              </w:rPr>
            </w:pPr>
          </w:p>
        </w:tc>
      </w:tr>
      <w:tr>
        <w:trPr>
          <w:trHeight w:val="251"/>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Equity in Earnings (Losses) of Affiliates, Net</w:t>
            </w:r>
          </w:p>
        </w:tc>
        <w:tc>
          <w:tcPr>
            <w:tcW w:w="220" w:type="dxa"/>
            <w:vAlign w:val="bottom"/>
          </w:tcPr>
          <w:p>
            <w:pPr>
              <w:spacing w:after="0"/>
              <w:rPr>
                <w:sz w:val="21"/>
                <w:szCs w:val="21"/>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1,004</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70"/>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(7,357)</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(7,942)</w:t>
            </w:r>
          </w:p>
        </w:tc>
        <w:tc>
          <w:tcPr>
            <w:tcW w:w="0" w:type="dxa"/>
            <w:vAlign w:val="bottom"/>
          </w:tcPr>
          <w:p>
            <w:pPr>
              <w:spacing w:after="0"/>
              <w:rPr>
                <w:sz w:val="1"/>
                <w:szCs w:val="1"/>
                <w:color w:val="auto"/>
              </w:rPr>
            </w:pPr>
          </w:p>
        </w:tc>
      </w:tr>
      <w:tr>
        <w:trPr>
          <w:trHeight w:val="283"/>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15,096</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64"/>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60,615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11,103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18,528</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2,377</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3,027</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1,302</w:t>
            </w:r>
          </w:p>
        </w:tc>
        <w:tc>
          <w:tcPr>
            <w:tcW w:w="0" w:type="dxa"/>
            <w:vAlign w:val="bottom"/>
          </w:tcPr>
          <w:p>
            <w:pPr>
              <w:spacing w:after="0"/>
              <w:rPr>
                <w:sz w:val="1"/>
                <w:szCs w:val="1"/>
                <w:color w:val="auto"/>
              </w:rPr>
            </w:pPr>
          </w:p>
        </w:tc>
      </w:tr>
      <w:tr>
        <w:trPr>
          <w:trHeight w:val="283"/>
        </w:trPr>
        <w:tc>
          <w:tcPr>
            <w:tcW w:w="8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254</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16,761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22,197</w:t>
            </w:r>
          </w:p>
        </w:tc>
        <w:tc>
          <w:tcPr>
            <w:tcW w:w="0" w:type="dxa"/>
            <w:vAlign w:val="bottom"/>
          </w:tcPr>
          <w:p>
            <w:pPr>
              <w:spacing w:after="0"/>
              <w:rPr>
                <w:sz w:val="1"/>
                <w:szCs w:val="1"/>
                <w:color w:val="auto"/>
              </w:rPr>
            </w:pPr>
          </w:p>
        </w:tc>
      </w:tr>
      <w:tr>
        <w:trPr>
          <w:trHeight w:val="251"/>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1,681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63</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4,518</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r>
        <w:trPr>
          <w:trHeight w:val="283"/>
        </w:trPr>
        <w:tc>
          <w:tcPr>
            <w:tcW w:w="8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6,262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4,738</w:t>
            </w:r>
          </w:p>
        </w:tc>
        <w:tc>
          <w:tcPr>
            <w:tcW w:w="0" w:type="dxa"/>
            <w:vAlign w:val="bottom"/>
          </w:tcPr>
          <w:p>
            <w:pPr>
              <w:spacing w:after="0"/>
              <w:rPr>
                <w:sz w:val="1"/>
                <w:szCs w:val="1"/>
                <w:color w:val="auto"/>
              </w:rPr>
            </w:pPr>
          </w:p>
        </w:tc>
      </w:tr>
      <w:tr>
        <w:trPr>
          <w:trHeight w:val="251"/>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3,109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3,947</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439</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254</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83"/>
        </w:trPr>
        <w:tc>
          <w:tcPr>
            <w:tcW w:w="8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(15,861)</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(16,938)</w:t>
            </w: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(12,059)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(12,407)</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8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381"/>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Arial" w:cs="Arial" w:eastAsia="Arial" w:hAnsi="Arial"/>
                <w:sz w:val="14"/>
                <w:szCs w:val="14"/>
                <w:color w:val="auto"/>
              </w:rPr>
              <w:t>December 31,</w:t>
            </w:r>
          </w:p>
        </w:tc>
      </w:tr>
      <w:tr>
        <w:trPr>
          <w:trHeight w:val="19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2015</w:t>
            </w:r>
          </w:p>
        </w:tc>
      </w:tr>
      <w:tr>
        <w:trPr>
          <w:trHeight w:val="22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97"/>
        </w:trPr>
        <w:tc>
          <w:tcPr>
            <w:tcW w:w="83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1,419,547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1,454,520</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310,055</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312,243</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697,543</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712,161</w:t>
            </w: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474,944</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484,139</w:t>
            </w:r>
          </w:p>
        </w:tc>
      </w:tr>
      <w:tr>
        <w:trPr>
          <w:trHeight w:val="264"/>
        </w:trPr>
        <w:tc>
          <w:tcPr>
            <w:tcW w:w="834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2,902,089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2,963,063</w:t>
            </w:r>
          </w:p>
        </w:tc>
      </w:tr>
      <w:tr>
        <w:trPr>
          <w:trHeight w:val="25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6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357,751</w:t>
            </w:r>
          </w:p>
        </w:tc>
        <w:tc>
          <w:tcPr>
            <w:tcW w:w="2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350,563</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60,582</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59,229</w:t>
            </w:r>
          </w:p>
        </w:tc>
      </w:tr>
      <w:tr>
        <w:trPr>
          <w:trHeight w:val="28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992,103</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979,970</w:t>
            </w: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4,312,525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4,352,825</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97" w:right="239" w:bottom="36" w:gutter="0" w:footer="0" w:header="0"/>
        </w:sectPr>
      </w:pPr>
    </w:p>
    <w:bookmarkStart w:id="19" w:name="page20"/>
    <w:bookmarkEnd w:id="19"/>
    <w:p>
      <w:pPr>
        <w:jc w:val="center"/>
        <w:ind w:right="-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9019"/>
          </w:cols>
          <w:pgMar w:left="1440" w:top="368"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9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165,549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237,568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66,462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69,226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169,287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192,081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125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1,859</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(347)</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401,076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500,602</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21,306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(2,310)</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(4,334)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4,897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7,717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(9,405)</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(26,857)</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14,488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(22,849)</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4,175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4,828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1,781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2,890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5,060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4,654</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87</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6,156</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11,103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18,528</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1,681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1,507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1,905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2,532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768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775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106</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369</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3,109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3,947</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for the Company’s education division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39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5"/>
                <w:szCs w:val="15"/>
                <w:color w:val="auto"/>
              </w:rPr>
            </w:pPr>
          </w:p>
        </w:tc>
        <w:tc>
          <w:tcPr>
            <w:tcW w:w="1280" w:type="dxa"/>
            <w:vAlign w:val="bottom"/>
          </w:tcPr>
          <w:p>
            <w:pPr>
              <w:jc w:val="right"/>
              <w:ind w:right="222"/>
              <w:spacing w:after="0"/>
              <w:rPr>
                <w:sz w:val="20"/>
                <w:szCs w:val="20"/>
                <w:color w:val="auto"/>
              </w:rPr>
            </w:pPr>
            <w:r>
              <w:rPr>
                <w:rFonts w:ascii="Arial" w:cs="Arial" w:eastAsia="Arial" w:hAnsi="Arial"/>
                <w:sz w:val="14"/>
                <w:szCs w:val="14"/>
                <w:color w:val="auto"/>
              </w:rPr>
              <w:t>December 31,</w:t>
            </w:r>
          </w:p>
        </w:tc>
      </w:tr>
      <w:tr>
        <w:trPr>
          <w:trHeight w:val="196"/>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2015</w:t>
            </w:r>
          </w:p>
        </w:tc>
      </w:tr>
      <w:tr>
        <w:trPr>
          <w:trHeight w:val="250"/>
        </w:trPr>
        <w:tc>
          <w:tcPr>
            <w:tcW w:w="398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4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46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238,885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447,282</w:t>
            </w: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142,501</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134,535</w:t>
            </w: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990,326</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826,475</w:t>
            </w:r>
          </w:p>
        </w:tc>
      </w:tr>
      <w:tr>
        <w:trPr>
          <w:trHeight w:val="283"/>
        </w:trPr>
        <w:tc>
          <w:tcPr>
            <w:tcW w:w="398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4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47,835</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46,228</w:t>
            </w:r>
          </w:p>
        </w:tc>
      </w:tr>
      <w:tr>
        <w:trPr>
          <w:trHeight w:val="264"/>
        </w:trPr>
        <w:tc>
          <w:tcPr>
            <w:tcW w:w="3980" w:type="dxa"/>
            <w:vAlign w:val="bottom"/>
          </w:tcPr>
          <w:p>
            <w:pPr>
              <w:spacing w:after="0"/>
              <w:rPr>
                <w:sz w:val="22"/>
                <w:szCs w:val="22"/>
                <w:color w:val="auto"/>
              </w:rPr>
            </w:pPr>
          </w:p>
        </w:tc>
        <w:tc>
          <w:tcPr>
            <w:tcW w:w="46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1,419,547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1,454,520</w:t>
            </w:r>
          </w:p>
        </w:tc>
      </w:tr>
      <w:tr>
        <w:trPr>
          <w:trHeight w:val="608"/>
        </w:trPr>
        <w:tc>
          <w:tcPr>
            <w:tcW w:w="3980" w:type="dxa"/>
            <w:vAlign w:val="bottom"/>
          </w:tcPr>
          <w:p>
            <w:pPr>
              <w:spacing w:after="0"/>
              <w:rPr>
                <w:sz w:val="24"/>
                <w:szCs w:val="24"/>
                <w:color w:val="auto"/>
              </w:rPr>
            </w:pPr>
          </w:p>
        </w:tc>
        <w:tc>
          <w:tcPr>
            <w:tcW w:w="4360" w:type="dxa"/>
            <w:vAlign w:val="bottom"/>
          </w:tcPr>
          <w:p>
            <w:pPr>
              <w:jc w:val="right"/>
              <w:ind w:right="2436"/>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6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Company reported income from continuing operations attributable to common shares of $37.8 million ($6.59 per share) for the first quarter of 2016, compared to a loss of $2.7 million ($0.58 per share) for the first quarter of 2015. Net income attributable to common shares was $20.6 million ($3.48 per share) for the first quarter of 2015, including $23.3 million ($4.06 per share) in income from discontinued operations. (Refer to “Discontinued Operations” discussion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quarter of 2016:</w:t>
      </w:r>
    </w:p>
    <w:p>
      <w:pPr>
        <w:spacing w:after="0" w:line="144"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$18.9 million non-operating gain arising from the sale of a business (after-tax impact of $11.9 million, or $2.08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$1.8 million gain on the sale of marketable equity securities (after-tax impact of $1.1 million, or $0.19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$5.4 million in non-operating unrealized foreign currency losses (after-tax impact of $3.4 million, or $0.60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from continuing operations for the first quarter of 2015:</w:t>
      </w:r>
    </w:p>
    <w:p>
      <w:pPr>
        <w:spacing w:after="0" w:line="144" w:lineRule="exact"/>
        <w:rPr>
          <w:sz w:val="20"/>
          <w:szCs w:val="20"/>
          <w:color w:val="auto"/>
        </w:rPr>
      </w:pPr>
    </w:p>
    <w:p>
      <w:pPr>
        <w:ind w:left="180" w:right="360" w:hanging="172"/>
        <w:spacing w:after="0" w:line="235"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$10.7 million in restructuring charges and accelerated depreciation at the education division (after-tax impact of $6.8 million, or $1.17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$6.0 million gain on the formation of a joint venture (after-tax impact of $3.6 million, or $0.50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$6.8 million in non-operating unrealized foreign currency losses (after-tax impact of $4.4 million, or $0.75 per share).</w:t>
      </w:r>
    </w:p>
    <w:p>
      <w:pPr>
        <w:spacing w:after="0" w:line="144"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Revenue for the first quarter of 2016 was $ 601.7 million, down 7% from $647.4 million in the first quarter of 2015. Revenues declined at the education division, offset by an increase at the television broadcasting division and in other businesses. The Company reported operating income of $51.9 million for the first quarter of 2016, compared to $8.9 million for the first quarter of 2015. Operating results improved at the education and television broadcasting divisions, offset by a small decline in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jc w:val="both"/>
        <w:ind w:right="60"/>
        <w:spacing w:after="0" w:line="229" w:lineRule="auto"/>
        <w:rPr>
          <w:sz w:val="20"/>
          <w:szCs w:val="20"/>
          <w:color w:val="auto"/>
        </w:rPr>
      </w:pPr>
      <w:r>
        <w:rPr>
          <w:rFonts w:ascii="Arial" w:cs="Arial" w:eastAsia="Arial" w:hAnsi="Arial"/>
          <w:sz w:val="18"/>
          <w:szCs w:val="18"/>
          <w:color w:val="auto"/>
        </w:rPr>
        <w:t>Education division revenue totaled $401.1 million for the first quarter of 2016, down 20% from revenue of $500.6 million for the same period of 2015. Kaplan reported operating income of $14.5 million for the first quarter of 2016, compared to an operating loss of $22.8 million for the first quarter of 2015. Operating results for the first quarter of 2015 included restructuring costs of $10.7 million.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9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 summary of Kaplan’s operating results for the first quarter of 2016 compared to 2015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2015</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1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b w:val="1"/>
                <w:bCs w:val="1"/>
                <w:color w:val="auto"/>
              </w:rPr>
              <w:t>165,549</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237,568</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b w:val="1"/>
                <w:bCs w:val="1"/>
                <w:color w:val="auto"/>
              </w:rPr>
              <w:t>66,462</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69,226</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23"/>
                <w:szCs w:val="23"/>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b w:val="1"/>
                <w:bCs w:val="1"/>
                <w:color w:val="auto"/>
              </w:rPr>
              <w:t>169,287</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192,081</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b w:val="1"/>
                <w:bCs w:val="1"/>
                <w:color w:val="auto"/>
              </w:rPr>
              <w:t>125</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1,859</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83"/>
        </w:trPr>
        <w:tc>
          <w:tcPr>
            <w:tcW w:w="71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(347)</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180" w:type="dxa"/>
            <w:vAlign w:val="bottom"/>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401,076</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500,602</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81"/>
              <w:spacing w:after="0"/>
              <w:rPr>
                <w:sz w:val="20"/>
                <w:szCs w:val="20"/>
                <w:color w:val="auto"/>
              </w:rPr>
            </w:pPr>
            <w:r>
              <w:rPr>
                <w:rFonts w:ascii="Arial" w:cs="Arial" w:eastAsia="Arial" w:hAnsi="Arial"/>
                <w:sz w:val="16"/>
                <w:szCs w:val="16"/>
                <w:b w:val="1"/>
                <w:bCs w:val="1"/>
                <w:color w:val="auto"/>
              </w:rPr>
              <w:t>21,306</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593</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(2,310)</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(4,334)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23"/>
                <w:szCs w:val="23"/>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b w:val="1"/>
                <w:bCs w:val="1"/>
                <w:color w:val="auto"/>
              </w:rPr>
              <w:t>4,897</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7,717</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(7,724)</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(25,350)</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(1,681)</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(1,507)</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3"/>
        </w:trPr>
        <w:tc>
          <w:tcPr>
            <w:tcW w:w="71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180" w:type="dxa"/>
            <w:vAlign w:val="bottom"/>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14,488</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(22,849)</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and other continuing education businesses.</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Since 2012, KHE has closed campuses, consolidated facilities and reduced its workforce. On September 3, 2015, Kaplan completed the sale of substantially all of the remaining assets of its KHE Campuses business. In connection with these and other plans, KHE incurred $2.8 million in restructuring costs in the first quarter of 2015, including severance ($1.1 million), lease obligation losses ($0.9 million), accelerated depreciation ($0.7 million) and other items ($0.1 million).</w:t>
      </w:r>
    </w:p>
    <w:p>
      <w:pPr>
        <w:spacing w:after="0" w:line="135"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KHE results include revenue and operating losses (including restructuring charges) related to all KHE Campuses, those sold or closed, including Mount Washington College and Bauder College,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r>
      <w:tr>
        <w:trPr>
          <w:trHeight w:val="264"/>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9040" w:type="dxa"/>
            <w:vAlign w:val="bottom"/>
          </w:tcPr>
          <w:p>
            <w:pPr>
              <w:ind w:left="4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798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65,307</w:t>
            </w:r>
          </w:p>
        </w:tc>
      </w:tr>
      <w:tr>
        <w:trPr>
          <w:trHeight w:val="270"/>
        </w:trPr>
        <w:tc>
          <w:tcPr>
            <w:tcW w:w="90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(1,192)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(12,288)</w:t>
            </w:r>
          </w:p>
        </w:tc>
      </w:tr>
    </w:tbl>
    <w:p>
      <w:pPr>
        <w:spacing w:after="0" w:line="167"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In the first quarter of 2016, KHE revenue declined 30% due to campus sales and closings, and declines in average enrollments at Kaplan University, reflecting weaker market demand. KHE operating results improved in the first quarter of 2016 due to reduced losses at the KHE Campuses business and lower marketing expenditures at Kaplan University.</w:t>
      </w:r>
    </w:p>
    <w:p>
      <w:pPr>
        <w:spacing w:after="0" w:line="137" w:lineRule="exact"/>
        <w:rPr>
          <w:sz w:val="20"/>
          <w:szCs w:val="20"/>
          <w:color w:val="auto"/>
        </w:rPr>
      </w:pPr>
    </w:p>
    <w:p>
      <w:pPr>
        <w:jc w:val="both"/>
        <w:ind w:right="140"/>
        <w:spacing w:after="0" w:line="229" w:lineRule="auto"/>
        <w:rPr>
          <w:sz w:val="20"/>
          <w:szCs w:val="20"/>
          <w:color w:val="auto"/>
        </w:rPr>
      </w:pPr>
      <w:r>
        <w:rPr>
          <w:rFonts w:ascii="Arial" w:cs="Arial" w:eastAsia="Arial" w:hAnsi="Arial"/>
          <w:sz w:val="18"/>
          <w:szCs w:val="18"/>
          <w:color w:val="auto"/>
        </w:rPr>
        <w:t>New higher education student enrollments at Kaplan University declined 34% in the first quarter of 2016 due to lower demand across Kaplan University programs and a timing shift in the academic calendar in the first quarter of 2016. Total students at Kaplan University were 37,398 at March 31, 2016, down 18% from March 31, 2015.</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enrollments at March 31, 2016 and 2015, by degree and certificate programs,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tcPr>
          <w:p>
            <w:pPr>
              <w:spacing w:after="0"/>
              <w:rPr>
                <w:sz w:val="17"/>
                <w:szCs w:val="17"/>
                <w:color w:val="auto"/>
              </w:rPr>
            </w:pPr>
          </w:p>
        </w:tc>
        <w:tc>
          <w:tcPr>
            <w:tcW w:w="25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As of March 31</w:t>
            </w:r>
          </w:p>
        </w:tc>
      </w:tr>
      <w:tr>
        <w:trPr>
          <w:trHeight w:val="264"/>
        </w:trPr>
        <w:tc>
          <w:tcPr>
            <w:tcW w:w="89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2016</w:t>
            </w: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2015</w:t>
            </w: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460" w:type="dxa"/>
            <w:vAlign w:val="bottom"/>
          </w:tcPr>
          <w:p>
            <w:pPr>
              <w:jc w:val="right"/>
              <w:ind w:right="202"/>
              <w:spacing w:after="0"/>
              <w:rPr>
                <w:sz w:val="20"/>
                <w:szCs w:val="20"/>
                <w:color w:val="auto"/>
              </w:rPr>
            </w:pPr>
            <w:r>
              <w:rPr>
                <w:rFonts w:ascii="Arial" w:cs="Arial" w:eastAsia="Arial" w:hAnsi="Arial"/>
                <w:sz w:val="16"/>
                <w:szCs w:val="16"/>
                <w:b w:val="1"/>
                <w:bCs w:val="1"/>
                <w:color w:val="auto"/>
              </w:rPr>
              <w:t>5.8%</w:t>
            </w: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460" w:type="dxa"/>
            <w:vAlign w:val="bottom"/>
          </w:tcPr>
          <w:p>
            <w:pPr>
              <w:jc w:val="right"/>
              <w:ind w:right="202"/>
              <w:spacing w:after="0"/>
              <w:rPr>
                <w:sz w:val="20"/>
                <w:szCs w:val="20"/>
                <w:color w:val="auto"/>
              </w:rPr>
            </w:pPr>
            <w:r>
              <w:rPr>
                <w:rFonts w:ascii="Arial" w:cs="Arial" w:eastAsia="Arial" w:hAnsi="Arial"/>
                <w:sz w:val="16"/>
                <w:szCs w:val="16"/>
                <w:b w:val="1"/>
                <w:bCs w:val="1"/>
                <w:color w:val="auto"/>
              </w:rPr>
              <w:t>22.1%</w:t>
            </w:r>
          </w:p>
        </w:tc>
        <w:tc>
          <w:tcPr>
            <w:tcW w:w="106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460" w:type="dxa"/>
            <w:vAlign w:val="bottom"/>
          </w:tcPr>
          <w:p>
            <w:pPr>
              <w:jc w:val="right"/>
              <w:ind w:right="202"/>
              <w:spacing w:after="0"/>
              <w:rPr>
                <w:sz w:val="20"/>
                <w:szCs w:val="20"/>
                <w:color w:val="auto"/>
              </w:rPr>
            </w:pPr>
            <w:r>
              <w:rPr>
                <w:rFonts w:ascii="Arial" w:cs="Arial" w:eastAsia="Arial" w:hAnsi="Arial"/>
                <w:sz w:val="16"/>
                <w:szCs w:val="16"/>
                <w:b w:val="1"/>
                <w:bCs w:val="1"/>
                <w:color w:val="auto"/>
              </w:rPr>
              <w:t>50.5%</w:t>
            </w:r>
          </w:p>
        </w:tc>
        <w:tc>
          <w:tcPr>
            <w:tcW w:w="106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83"/>
        </w:trPr>
        <w:tc>
          <w:tcPr>
            <w:tcW w:w="8900" w:type="dxa"/>
            <w:vAlign w:val="bottom"/>
          </w:tcPr>
          <w:p>
            <w:pPr>
              <w:ind w:left="40"/>
              <w:spacing w:after="0"/>
              <w:rPr>
                <w:sz w:val="20"/>
                <w:szCs w:val="20"/>
                <w:color w:val="auto"/>
              </w:rPr>
            </w:pPr>
            <w:r>
              <w:rPr>
                <w:rFonts w:ascii="Arial" w:cs="Arial" w:eastAsia="Arial" w:hAnsi="Arial"/>
                <w:sz w:val="16"/>
                <w:szCs w:val="16"/>
                <w:color w:val="auto"/>
              </w:rPr>
              <w:t>Master’s</w:t>
            </w:r>
          </w:p>
        </w:tc>
        <w:tc>
          <w:tcPr>
            <w:tcW w:w="1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21.6%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r>
        <w:trPr>
          <w:trHeight w:val="264"/>
        </w:trPr>
        <w:tc>
          <w:tcPr>
            <w:tcW w:w="8900" w:type="dxa"/>
            <w:vAlign w:val="bottom"/>
          </w:tcPr>
          <w:p>
            <w:pPr>
              <w:spacing w:after="0"/>
              <w:rPr>
                <w:sz w:val="22"/>
                <w:szCs w:val="22"/>
                <w:color w:val="auto"/>
              </w:rPr>
            </w:pPr>
          </w:p>
        </w:tc>
        <w:tc>
          <w:tcPr>
            <w:tcW w:w="1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100.0%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4% for the first quarter of 2016. Enrollments, excluding the new economy skills training offerings, were down 14% for the first three months of 2016 due primarily to declines in pre-college programs; however, unit prices were generally higher. In comparison, KTP operating results improved in the first quarter of 2016 due to a reduction in operating expenses.</w:t>
      </w:r>
    </w:p>
    <w:p>
      <w:pPr>
        <w:sectPr>
          <w:pgSz w:w="11900" w:h="16838" w:orient="portrait"/>
          <w:cols w:equalWidth="0" w:num="1">
            <w:col w:w="11420"/>
          </w:cols>
          <w:pgMar w:left="240" w:top="719"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719" w:right="239" w:bottom="1440" w:gutter="0" w:footer="0" w:header="0"/>
          <w:type w:val="continuous"/>
        </w:sectPr>
      </w:pPr>
    </w:p>
    <w:bookmarkStart w:id="23" w:name="page24"/>
    <w:bookmarkEnd w:id="23"/>
    <w:p>
      <w:pPr>
        <w:ind w:right="22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January and February 2016, Kaplan acquired Mander Portman Woodward, a leading provider of high-quality, bespoke education to U.K. and international students in London, Cambridge and Birmingham; and Osborne Books, a leading education publisher of learning resources for accounting qualifications in the U.K.</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Kaplan International revenue declined 12% in the first quarter of 2016, of which 4% was due to currency fluctuations. The remaining decrease is due to enrollment declines in English-language and Pathways programs, partially offset by enrollment growth in Singapore and Australia higher education programs. Revenue growth from the acquisitions in the first quarter of 2016 was largely offset by revenue declines due to prior year dispositions. Operating income declined in the first quarter of 2016, due largely to the declines in English-language and Pathways results, partially offset by operating income from newly acquired businesses.</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the first quarter of 2015, Kaplan Corporate recorded $7.6 million in restructuring charges, including accelerated depreciation ($6.5 million) and lease obligation losses ($1.1 million), related to office space managed by Kaplan corporate. In addition to lower restructuring costs, Kaplan corporate expenses also declined due to the benefits from restructuring activities, as well as 2015 spending for the replacement of its human resources system.</w:t>
      </w:r>
    </w:p>
    <w:p>
      <w:pPr>
        <w:spacing w:after="0" w:line="13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the first quarter of 2016, Kaplan sold Colloquy, which was a part of Kaplan corporate and other, for a gain of $18.9 million that is included in other non-operating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Revenue at the television broadcasting division increased 10% to $92.0 million in the first quarter of 2016, from $83.6 million in the same period of 2015; operating income for the first quarter of 2016 increased 7% to $41.2 million, from $38.6 million in the same period of 2015. The revenue increase is due primarily to $4.8 million in increased retransmission revenues and a $2.8 million increase in political advertising revenue. The increase in operating income is due to the revenue increase, offset by higher spending on digital initiatives and increased network fees.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Other businesses is comprised of three manufacturing businesses, including Dekko, a manufacturer of electrical workspace solutions, architectural lighting, and electrical components and assemblies acquired in November 2015; and providers of home health and hospice services. Other businesses also include SocialCode, a provider of marketing solutions on social-media platforms; Slate and Foreign Policy, which publish online and print magazines and websites; and certain other new ventures.</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increase in revenues for the first quarter of 2016 is mostly due to the Dekko acquisition. In the first quarter of 2016, positive operating results from the healthcare and manufacturing businesses were offset by intangibles amortization and losses from publishing, SocialCode and new ventures.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Supplementary information regarding manufacturing results is as follows:</w:t>
      </w:r>
    </w:p>
    <w:p>
      <w:pPr>
        <w:sectPr>
          <w:pgSz w:w="11900" w:h="16838" w:orient="portrait"/>
          <w:cols w:equalWidth="0" w:num="1">
            <w:col w:w="11420"/>
          </w:cols>
          <w:pgMar w:left="240" w:top="7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revenues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16"/>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right="16"/>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26035</wp:posOffset>
            </wp:positionV>
            <wp:extent cx="12261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9" w:lineRule="exact"/>
        <w:rPr>
          <w:sz w:val="20"/>
          <w:szCs w:val="20"/>
          <w:color w:val="auto"/>
        </w:rPr>
      </w:pPr>
    </w:p>
    <w:p>
      <w:pPr>
        <w:jc w:val="center"/>
        <w:ind w:right="16"/>
        <w:spacing w:after="0"/>
        <w:rPr>
          <w:sz w:val="20"/>
          <w:szCs w:val="20"/>
          <w:color w:val="auto"/>
        </w:rPr>
      </w:pPr>
      <w:r>
        <w:rPr>
          <w:rFonts w:ascii="Arial" w:cs="Arial" w:eastAsia="Arial" w:hAnsi="Arial"/>
          <w:sz w:val="14"/>
          <w:szCs w:val="14"/>
          <w:b w:val="1"/>
          <w:bCs w:val="1"/>
          <w:color w:val="auto"/>
        </w:rPr>
        <w:t>2016</w:t>
      </w:r>
    </w:p>
    <w:p>
      <w:pPr>
        <w:spacing w:after="0" w:line="91" w:lineRule="exact"/>
        <w:rPr>
          <w:sz w:val="20"/>
          <w:szCs w:val="20"/>
          <w:color w:val="auto"/>
        </w:rPr>
      </w:pPr>
    </w:p>
    <w:p>
      <w:pPr>
        <w:ind w:left="1304" w:hanging="1304"/>
        <w:spacing w:after="0"/>
        <w:tabs>
          <w:tab w:leader="none" w:pos="1304"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56,675</w:t>
      </w:r>
    </w:p>
    <w:p>
      <w:pPr>
        <w:spacing w:after="0" w:line="86" w:lineRule="exact"/>
        <w:rPr>
          <w:rFonts w:ascii="Arial" w:cs="Arial" w:eastAsia="Arial" w:hAnsi="Arial"/>
          <w:sz w:val="16"/>
          <w:szCs w:val="16"/>
          <w:b w:val="1"/>
          <w:bCs w:val="1"/>
          <w:color w:val="auto"/>
        </w:rPr>
      </w:pPr>
    </w:p>
    <w:p>
      <w:pPr>
        <w:ind w:left="1304"/>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50,848</w:t>
      </w:r>
    </w:p>
    <w:p>
      <w:pPr>
        <w:spacing w:after="0" w:line="86" w:lineRule="exact"/>
        <w:rPr>
          <w:rFonts w:ascii="Arial" w:cs="Arial" w:eastAsia="Arial" w:hAnsi="Arial"/>
          <w:sz w:val="16"/>
          <w:szCs w:val="16"/>
          <w:b w:val="1"/>
          <w:bCs w:val="1"/>
          <w:color w:val="auto"/>
        </w:rPr>
      </w:pPr>
    </w:p>
    <w:p>
      <w:pPr>
        <w:ind w:left="1384"/>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1,873</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auto"/>
        </w:rPr>
        <w:t>2,817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2261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3" w:lineRule="exact"/>
        <w:rPr>
          <w:sz w:val="20"/>
          <w:szCs w:val="20"/>
          <w:color w:val="auto"/>
        </w:rPr>
      </w:pPr>
    </w:p>
    <w:p>
      <w:pPr>
        <w:ind w:left="1384" w:hanging="1384"/>
        <w:spacing w:after="0"/>
        <w:tabs>
          <w:tab w:leader="none" w:pos="1384"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1,137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2261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12261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8796" w:space="720"/>
            <w:col w:w="1904"/>
          </w:cols>
          <w:pgMar w:left="240" w:top="719"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The total pension credit for the Company’s traditional defined benefit plan was $16.0 million and $17.1 million in the first three months of 2016 and 2015,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Without the pension credit, corporate office expenses declined in the first quarter of 2016 due primarily to lower compensation costs.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19"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At March 31, 2016, the Company held interests in a number of home health and hospice joint ventures, and interests in several other affiliates. The Company recorded equity in earnings of affiliates of $1.0 million for the first quarter of 2016, compared to losses of $0.4 million for the first quarter of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recorded total other non-operating income, net, of $15.1 million for the first quarter of 2016, compared to a loss of $ 1.1 million for the first quarter of 2015. The 2016 amounts included an $18.9 million gain on the sale of a business and a $1.8 million gain on the sale of marketable equity securities, offset by $5.4 million in unrealized foreign currency losses and other items. The 2015 amounts included $6.8 million in unrealized foreign currency losses and other items, offset by a $6.0 million gain on the Celtic joint venture transaction.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 incurred net interest expense of $7.4 million for the first quarter of 2016, compared to $ 7.9 million for the same period of 2015. At March 31, 2016, the Company had $399.9 million in borrowings outstanding at an average interest rate of 7.2% and cash, marketable equity securities and other investments of $949.4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three months of 2016 was 37.0%.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On July 1, 2015, the Company completed the spin-off of Cable ONE as an independent, publicly traded company.</w:t>
      </w:r>
    </w:p>
    <w:p>
      <w:pPr>
        <w:spacing w:after="0" w:line="225"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part of Kaplan International. An additional school was sold by Kaplan in January 2015.</w:t>
      </w:r>
    </w:p>
    <w:p>
      <w:pPr>
        <w:spacing w:after="0" w:line="21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loss, if any, on dispositions of these businesses, which have been reclassified to discontinued operations, net of tax, in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66"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The calculation of diluted earnings (loss) per share for the first quarter of 2016 was based on 5,651,655 weighted average shares outstanding, compared to 5,790,768 for the first quarter of 2015. At March 31, 2016, there were 5,634,613 shares outstanding. On May 14, 2015, the Board of Directors authorized the Company to acquire up to 500,000 shares of its Class B common stock; the Company has remaining authorization for 284,008 shares as of March 31,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Higher Education (KHE) Regulatory Matters</w:t>
      </w:r>
    </w:p>
    <w:p>
      <w:pPr>
        <w:spacing w:after="0" w:line="16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In August 2015, the ED announced its intent to begin a new regulatory initiative to determine the acts or omissions by a postsecondary institution that may be used by a borrower as a defense to repayment of certain Title IV loans and the consequences of such borrower defenses for borrowers, institutions, and the ED. In October 2015, the ED solicited nominees for negotiators to serve on a negotiated rulemaking committee to develop proposed regulations to address (1) the procedures to be used by a borrower to establish a defense to repayment; (2) the criteria that the ED will use to identify acts or omissions of an institution that constitute defenses to repayment of Federal Direct Loans, including the creation of a Federal standard; (3) the standards and procedures that the ED will use to determine the liability of the institution for amounts based on borrower defenses; (4) the effect of borrower defenses on institutional capability assessments; and (5) other loan discharges. In addition, the committee may also consider if and how these issues will affect loans made under the Federal Family Education Loan Program. The negotiated rulemaking committee began a series of meetings in January 2016 that were completed in the first quarter of 2016. Although no consensus was reached, the ED is expected to issue draft regulations this summer that would be subject to notice and public comment and to publish final regulations by November 1, 2016, that would take effect the following year. If finalized, such rules could add significant risk to institutional participation in Title IV programs by greatly expanding loan discharges and mandating reimbursement from institutions. The Company cannot predict the ultimate scope and content of the regulations, nor can it predict their impact on KHE.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and Exchanges</w:t>
      </w:r>
    </w:p>
    <w:p>
      <w:pPr>
        <w:spacing w:after="0" w:line="144"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January and February 2016, Kaplan acquired a 100% interest in Mander Portman Woodward, a leading provider of high-quality, bespoke education to U.K. and international students in London, Cambridge and Birmingham; and a 100% interest in Osborne Books, a leading educational publisher of learning resources for accounting qualifications in the U.K. These acquisitions totaled $208.3 million and are included in Kaplan International. In the first three months of 2015, the Company did not make any acquisitions.</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On November 13, 2015, the Company acquired a 100% interest in Group Dekko, a Garrett, IN-based manufacturer of electrical solutions for applications across three business lines: workspace power solutions, architectural lighting, and electrical components and assemblies, which is included in other businesses. On December 22, 2015, Kaplan acquired a 100% interest in SmartPros, a provider of accredited professional education and training, primarily in accountancy, which is included in Higher Education.</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Spin-Off. </w:t>
      </w:r>
      <w:r>
        <w:rPr>
          <w:rFonts w:ascii="Arial" w:cs="Arial" w:eastAsia="Arial" w:hAnsi="Arial"/>
          <w:sz w:val="18"/>
          <w:szCs w:val="18"/>
          <w:color w:val="auto"/>
        </w:rPr>
        <w:t>On July 1, 2015, the Company completed the spin-off of Cable ONE, by way of a distribution of all the issued and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Cable ONE common stock, on a pro rata basis, to the Company's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January 2016, Kaplan completed the sale of Colloquy, which was included in Kaplan Corporate and Other.</w:t>
      </w:r>
    </w:p>
    <w:p>
      <w:pPr>
        <w:spacing w:after="0" w:line="166"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On September 3, 2015, Kaplan completed the sale of substantially all of the assets of its KHE Campuses business, consisting of 38 nationally accredited ground campuses and certain related assets, in exchange for a preferred equity interest in Education Corporation of America (ECA). KHE Campuses schools that have been closed or are in the process of closing are not included in the sale transaction. In connection with the sale agreement, if required by the U.S. Department of Education (ED) in connection with its post-closing review of the transaction, Kaplan</w:t>
      </w:r>
    </w:p>
    <w:p>
      <w:pPr>
        <w:spacing w:after="0" w:line="1"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will provide a letter of credit or other credit support with the ED of up to approximately $45 million; any such letter of credit or other credit support could be drawn by the ED in the event that ECA defaults on its obligations to students. If issued, such letter of credit or other credit support would have a term of two years, after which Kaplan would have no further obligations.</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the third quarter of 2015, Kaplan sold Franklyn Scholar, which was part of Kaplan International. In the second quarter of 2015, the Company sold The Root, a component of Slate, and Kaplan sold two small businesses, Structuralia, which was part of Kaplan International, and Fire and EMS Training, which was part of Kaplan Higher Education. In the third quarter of 2014, Kaplan completed the sale of three of its schools in China that were previously included as part of Kaplan International. In January 2015, Kaplan completed the sale of an additional school in China.</w:t>
      </w:r>
    </w:p>
    <w:p>
      <w:pPr>
        <w:spacing w:after="0" w:line="115"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January 2015, Celtic and AHN closed on the formation of a joint venture to combine each other’s home health and hospice assets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western Pennsylvania region. Although Celtic manages the operations of the joint venture, Celtic holds a 40% interest in the joint venture, so the operating results of the joint venture are not consolidated and the pro rata operating results are included in the Company’s equity in earnings of affiliates. Celtic’s revenues from the western Pennsylvania region that are now part of the joint venture made up 29% of total Celtic revenues in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the first three months of 2016, the Company’s capital expenditures totaled $9.3 million. This amount includes assets acquired during the year, whereas the amounts reflected in the Company's Condensed Statements of Cash Flows are based on cash payments made during the relevant periods. The Company estimates that its capital expenditures will be in the range of $75 million to $85 million in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were $399.9 million and $399.8 million, at March 31, 2016 and December 31, 2015, respectively.</w:t>
      </w:r>
    </w:p>
    <w:p>
      <w:pPr>
        <w:spacing w:after="0" w:line="144"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At March 31, 2016, the Company had cash and cash equivalents, restricted cash and investments in marketable securities and other investments totaling $949.4 million, compared with $1,154.4 million at December 31, 2015. The decrease is largely due to acquisitions and common share repurchases. The Company’s net cash provided by (used in) operating activities, as reported in the Company’s Condensed Consolidated Statements of Cash Flows, was $47.0 million in the first quarter of 2016, compared to $(45.9) million in the first quarter of 2015. The increase is largely due to significant income tax payments made in the first quarter of 2015, offset by the absence of the cable division operating results in the first quarter of 2016.</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97" w:right="259" w:bottom="1440" w:gutter="0" w:footer="0" w:header="0"/>
        </w:sectPr>
      </w:pPr>
    </w:p>
    <w:bookmarkStart w:id="26" w:name="page27"/>
    <w:bookmarkEnd w:id="26"/>
    <w:p>
      <w:pPr>
        <w:ind w:right="180"/>
        <w:spacing w:after="0" w:line="227" w:lineRule="auto"/>
        <w:rPr>
          <w:sz w:val="20"/>
          <w:szCs w:val="20"/>
          <w:color w:val="auto"/>
        </w:rPr>
      </w:pPr>
      <w:r>
        <w:rPr>
          <w:rFonts w:ascii="Arial" w:cs="Arial" w:eastAsia="Arial" w:hAnsi="Arial"/>
          <w:sz w:val="18"/>
          <w:szCs w:val="18"/>
          <w:color w:val="auto"/>
        </w:rPr>
        <w:t>On June 29, 2015, the Company entered into a credit agreement (the Credit Agreement) providing for a new U.S. $200 million five-year revolving credit facility (the Facility). The Company may draw on the Facility for general corporate purposes. The Facility will expire on July 1, 2020, unless the Company and the banks agree to extend the term. The Credit Agreement contains terms and conditions, including remedies in the event of a default by the Company, typical of facilities of this type.</w:t>
      </w:r>
    </w:p>
    <w:p>
      <w:pPr>
        <w:spacing w:after="0" w:line="13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the first quarter of 2016, the Company acquired an additional 169,766 shares of its Class B common stock at a cost of approximately $81.3 million.</w:t>
      </w:r>
    </w:p>
    <w:p>
      <w:pPr>
        <w:spacing w:after="0" w:line="135"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On June 24, 2015, due to the pending Cable spin-off, Moody’s downgraded the Company’s long-term credit ratings from “Baa3” to “Ba1” and the short-term rating from “Prime-3” to “NP”. On July 1, 2015, due to the Cable ONE spin-off, S&amp;P lowered its corporate credit rating from “BBB” to “BB+” and its short-term rating from “A-2” to “B”. In addition, S&amp;P removed the ratings from Credit Watch. In the third quarter of 2015, the Company decided to no longer have the rating agencies provide a short-term rating on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Arial" w:cs="Arial" w:eastAsia="Arial" w:hAnsi="Arial"/>
                <w:sz w:val="14"/>
                <w:szCs w:val="14"/>
                <w:b w:val="1"/>
                <w:bCs w:val="1"/>
                <w:color w:val="auto"/>
              </w:rPr>
              <w:t>Standard</w:t>
            </w:r>
          </w:p>
        </w:tc>
      </w:tr>
      <w:tr>
        <w:trPr>
          <w:trHeight w:val="196"/>
        </w:trPr>
        <w:tc>
          <w:tcPr>
            <w:tcW w:w="9440" w:type="dxa"/>
            <w:vAlign w:val="bottom"/>
            <w:tcBorders>
              <w:bottom w:val="single" w:sz="8" w:color="auto"/>
            </w:tcBorders>
          </w:tcPr>
          <w:p>
            <w:pPr>
              <w:ind w:left="8800"/>
              <w:spacing w:after="0"/>
              <w:rPr>
                <w:sz w:val="20"/>
                <w:szCs w:val="20"/>
                <w:color w:val="auto"/>
              </w:rPr>
            </w:pPr>
            <w:r>
              <w:rPr>
                <w:rFonts w:ascii="Arial" w:cs="Arial" w:eastAsia="Arial" w:hAnsi="Arial"/>
                <w:sz w:val="14"/>
                <w:szCs w:val="14"/>
                <w:b w:val="1"/>
                <w:bCs w:val="1"/>
                <w:color w:val="auto"/>
              </w:rPr>
              <w:t>Moody’s</w:t>
            </w:r>
          </w:p>
        </w:tc>
        <w:tc>
          <w:tcPr>
            <w:tcW w:w="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&amp; Poor’s</w:t>
            </w:r>
          </w:p>
        </w:tc>
      </w:tr>
      <w:tr>
        <w:trPr>
          <w:trHeight w:val="250"/>
        </w:trPr>
        <w:tc>
          <w:tcPr>
            <w:tcW w:w="9440" w:type="dxa"/>
            <w:vAlign w:val="bottom"/>
          </w:tcPr>
          <w:p>
            <w:pPr>
              <w:ind w:left="40"/>
              <w:spacing w:after="0"/>
              <w:rPr>
                <w:sz w:val="20"/>
                <w:szCs w:val="20"/>
                <w:color w:val="auto"/>
              </w:rPr>
            </w:pPr>
            <w:r>
              <w:rPr>
                <w:rFonts w:ascii="Arial" w:cs="Arial" w:eastAsia="Arial" w:hAnsi="Arial"/>
                <w:sz w:val="16"/>
                <w:szCs w:val="16"/>
                <w:color w:val="auto"/>
              </w:rPr>
              <w:t>Long-term</w:t>
            </w:r>
          </w:p>
        </w:tc>
        <w:tc>
          <w:tcPr>
            <w:tcW w:w="640" w:type="dxa"/>
            <w:vAlign w:val="bottom"/>
          </w:tcPr>
          <w:p>
            <w:pPr>
              <w:ind w:left="80"/>
              <w:spacing w:after="0"/>
              <w:rPr>
                <w:sz w:val="20"/>
                <w:szCs w:val="20"/>
                <w:color w:val="auto"/>
              </w:rPr>
            </w:pPr>
            <w:r>
              <w:rPr>
                <w:rFonts w:ascii="Arial" w:cs="Arial" w:eastAsia="Arial" w:hAnsi="Arial"/>
                <w:sz w:val="16"/>
                <w:szCs w:val="16"/>
                <w:color w:val="auto"/>
              </w:rPr>
              <w:t>Ba1</w:t>
            </w:r>
          </w:p>
        </w:tc>
        <w:tc>
          <w:tcPr>
            <w:tcW w:w="1340" w:type="dxa"/>
            <w:vAlign w:val="bottom"/>
          </w:tcPr>
          <w:p>
            <w:pPr>
              <w:ind w:left="1000"/>
              <w:spacing w:after="0"/>
              <w:rPr>
                <w:sz w:val="20"/>
                <w:szCs w:val="20"/>
                <w:color w:val="auto"/>
              </w:rPr>
            </w:pPr>
            <w:r>
              <w:rPr>
                <w:rFonts w:ascii="Arial" w:cs="Arial" w:eastAsia="Arial" w:hAnsi="Arial"/>
                <w:sz w:val="16"/>
                <w:szCs w:val="16"/>
                <w:color w:val="auto"/>
              </w:rPr>
              <w:t>BB+</w:t>
            </w:r>
          </w:p>
        </w:tc>
      </w:tr>
    </w:tbl>
    <w:p>
      <w:pPr>
        <w:spacing w:after="0" w:line="167"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At March 31, 2016 and December 31, 2015, the Company had working capital of $869.7 million and $1,135.6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sufficient liquidity to meet its various cash needs throughout 2016.</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December 31,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2015 Annual Report filed on Form 10-K have not otherwise changed significantly.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66"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March 31, 2016.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1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66"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March 31, 2016 that has materially affected, or is reasonably likely to materially affect, the Company’s internal control over financial reporting.</w:t>
      </w:r>
    </w:p>
    <w:p>
      <w:pPr>
        <w:spacing w:after="0" w:line="11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PART II. OTHER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Purchases of Equity Securities by the Issuer and Affiliated Purchasers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March 31, 2016, the Company purchased shares of its Class B Common Stock as set forth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260" w:type="dxa"/>
            <w:vAlign w:val="bottom"/>
          </w:tcPr>
          <w:p>
            <w:pPr>
              <w:jc w:val="right"/>
              <w:ind w:right="44"/>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480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960" w:type="dxa"/>
            <w:vAlign w:val="bottom"/>
          </w:tcPr>
          <w:p>
            <w:pPr>
              <w:jc w:val="right"/>
              <w:ind w:right="262"/>
              <w:spacing w:after="0"/>
              <w:rPr>
                <w:sz w:val="20"/>
                <w:szCs w:val="20"/>
                <w:color w:val="auto"/>
              </w:rPr>
            </w:pPr>
            <w:r>
              <w:rPr>
                <w:rFonts w:ascii="Arial" w:cs="Arial" w:eastAsia="Arial" w:hAnsi="Arial"/>
                <w:sz w:val="14"/>
                <w:szCs w:val="14"/>
                <w:b w:val="1"/>
                <w:bCs w:val="1"/>
                <w:color w:val="auto"/>
              </w:rPr>
              <w:t>Paid per</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Purchased Under the</w:t>
            </w:r>
          </w:p>
        </w:tc>
      </w:tr>
      <w:tr>
        <w:trPr>
          <w:trHeight w:val="19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26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rPr>
              <w:t>Plan*</w:t>
            </w: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January</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49,853</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462.17</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49,853</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403,921</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February</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118,845</w:t>
            </w:r>
          </w:p>
        </w:tc>
        <w:tc>
          <w:tcPr>
            <w:tcW w:w="30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486.39</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118,845</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285,076</w:t>
            </w:r>
          </w:p>
        </w:tc>
      </w:tr>
      <w:tr>
        <w:trPr>
          <w:trHeight w:val="283"/>
        </w:trPr>
        <w:tc>
          <w:tcPr>
            <w:tcW w:w="4800" w:type="dxa"/>
            <w:vAlign w:val="bottom"/>
          </w:tcPr>
          <w:p>
            <w:pPr>
              <w:ind w:left="40"/>
              <w:spacing w:after="0"/>
              <w:rPr>
                <w:sz w:val="20"/>
                <w:szCs w:val="20"/>
                <w:color w:val="auto"/>
              </w:rPr>
            </w:pPr>
            <w:r>
              <w:rPr>
                <w:rFonts w:ascii="Arial" w:cs="Arial" w:eastAsia="Arial" w:hAnsi="Arial"/>
                <w:sz w:val="16"/>
                <w:szCs w:val="16"/>
                <w:color w:val="auto"/>
              </w:rPr>
              <w:t>March</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1,068</w:t>
            </w:r>
          </w:p>
        </w:tc>
        <w:tc>
          <w:tcPr>
            <w:tcW w:w="300" w:type="dxa"/>
            <w:vAlign w:val="bottom"/>
          </w:tcPr>
          <w:p>
            <w:pPr>
              <w:spacing w:after="0"/>
              <w:rPr>
                <w:sz w:val="24"/>
                <w:szCs w:val="24"/>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468.72</w:t>
            </w: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1,068</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284,008</w:t>
            </w:r>
          </w:p>
        </w:tc>
      </w:tr>
      <w:tr>
        <w:trPr>
          <w:trHeight w:val="237"/>
        </w:trPr>
        <w:tc>
          <w:tcPr>
            <w:tcW w:w="480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169,766</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479.17</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169,766</w:t>
            </w:r>
          </w:p>
        </w:tc>
        <w:tc>
          <w:tcPr>
            <w:tcW w:w="2260" w:type="dxa"/>
            <w:vAlign w:val="bottom"/>
          </w:tcPr>
          <w:p>
            <w:pPr>
              <w:spacing w:after="0"/>
              <w:rPr>
                <w:sz w:val="20"/>
                <w:szCs w:val="20"/>
                <w:color w:val="auto"/>
              </w:rPr>
            </w:pPr>
          </w:p>
        </w:tc>
      </w:tr>
    </w:tbl>
    <w:p>
      <w:pPr>
        <w:spacing w:after="0" w:line="170" w:lineRule="exact"/>
        <w:rPr>
          <w:sz w:val="20"/>
          <w:szCs w:val="20"/>
          <w:color w:val="auto"/>
        </w:rPr>
      </w:pPr>
    </w:p>
    <w:p>
      <w:pPr>
        <w:ind w:firstLine="8"/>
        <w:spacing w:after="0" w:line="237" w:lineRule="auto"/>
        <w:tabs>
          <w:tab w:leader="none" w:pos="1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May 14, 2015 the Company’s Board of Directors authorized the Company to purchase, on the open market or otherwise, up to 500,000 shares of its Class B Common Stock. There is no expiration date for that authorization. All purchases made during the quarter ended March 31, 2016 were open market transactions and some of these shares were purchased under a 10b5-1 plan.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97"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ind w:left="48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920" w:type="dxa"/>
            <w:vAlign w:val="bottom"/>
          </w:tcPr>
          <w:p>
            <w:pPr>
              <w:ind w:left="180"/>
              <w:spacing w:after="0"/>
              <w:rPr>
                <w:sz w:val="20"/>
                <w:szCs w:val="20"/>
                <w:color w:val="auto"/>
              </w:rPr>
            </w:pPr>
            <w:r>
              <w:rPr>
                <w:rFonts w:ascii="Arial" w:cs="Arial" w:eastAsia="Arial" w:hAnsi="Arial"/>
                <w:sz w:val="16"/>
                <w:szCs w:val="16"/>
                <w:color w:val="auto"/>
              </w:rPr>
              <w:t>3.1</w:t>
            </w:r>
          </w:p>
        </w:tc>
        <w:tc>
          <w:tcPr>
            <w:tcW w:w="10500" w:type="dxa"/>
            <w:vAlign w:val="bottom"/>
          </w:tcPr>
          <w:p>
            <w:pPr>
              <w:ind w:left="160"/>
              <w:spacing w:after="0"/>
              <w:rPr>
                <w:sz w:val="20"/>
                <w:szCs w:val="20"/>
                <w:color w:val="auto"/>
              </w:rPr>
            </w:pPr>
            <w:r>
              <w:rPr>
                <w:rFonts w:ascii="Arial" w:cs="Arial" w:eastAsia="Arial" w:hAnsi="Arial"/>
                <w:sz w:val="16"/>
                <w:szCs w:val="16"/>
                <w:color w:val="auto"/>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Annual Report on Form 10-K for the fiscal year ended December 28, 2003).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Amendment, effective November 29, 2013, to the Restated Certificate of Incorporation of the Company (incorporated by reference</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to Exhibit 3.1 to the Company’s current Report on Form 8-K dated November 29, 2013).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3.3</w:t>
            </w:r>
          </w:p>
        </w:tc>
        <w:tc>
          <w:tcPr>
            <w:tcW w:w="10500" w:type="dxa"/>
            <w:vAlign w:val="bottom"/>
          </w:tcPr>
          <w:p>
            <w:pPr>
              <w:ind w:left="160"/>
              <w:spacing w:after="0"/>
              <w:rPr>
                <w:sz w:val="20"/>
                <w:szCs w:val="20"/>
                <w:color w:val="auto"/>
              </w:rPr>
            </w:pPr>
            <w:r>
              <w:rPr>
                <w:rFonts w:ascii="Arial" w:cs="Arial" w:eastAsia="Arial" w:hAnsi="Arial"/>
                <w:sz w:val="16"/>
                <w:szCs w:val="16"/>
                <w:color w:val="auto"/>
              </w:rPr>
              <w:t>By-Laws of the Company as amended and restated through November 29, 2013 (incorporated by reference to Exhibit 3.2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Current Report on Form 8-K dated November 29, 2013).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4.1</w:t>
            </w:r>
          </w:p>
        </w:tc>
        <w:tc>
          <w:tcPr>
            <w:tcW w:w="10500" w:type="dxa"/>
            <w:vAlign w:val="bottom"/>
          </w:tcPr>
          <w:p>
            <w:pPr>
              <w:ind w:left="160"/>
              <w:spacing w:after="0"/>
              <w:rPr>
                <w:sz w:val="20"/>
                <w:szCs w:val="20"/>
                <w:color w:val="auto"/>
              </w:rPr>
            </w:pPr>
            <w:r>
              <w:rPr>
                <w:rFonts w:ascii="Arial" w:cs="Arial" w:eastAsia="Arial" w:hAnsi="Arial"/>
                <w:sz w:val="16"/>
                <w:szCs w:val="16"/>
                <w:color w:val="auto"/>
              </w:rPr>
              <w:t>Second Supplemental Indenture dated January 30, 2009, between the Company and The Bank of New York Mellon Trust Company, N.A., as</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successor to The First National Bank of Chicago, as Trustee (incorporated by reference to Exhibit 10.2 to the Company’s Current Report on</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Form 8-K dated January 30, 2009).</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4.2</w:t>
            </w:r>
          </w:p>
        </w:tc>
        <w:tc>
          <w:tcPr>
            <w:tcW w:w="10500" w:type="dxa"/>
            <w:vAlign w:val="bottom"/>
          </w:tcPr>
          <w:p>
            <w:pPr>
              <w:ind w:left="160"/>
              <w:spacing w:after="0"/>
              <w:rPr>
                <w:sz w:val="20"/>
                <w:szCs w:val="20"/>
                <w:color w:val="auto"/>
              </w:rPr>
            </w:pPr>
            <w:r>
              <w:rPr>
                <w:rFonts w:ascii="Arial" w:cs="Arial" w:eastAsia="Arial" w:hAnsi="Arial"/>
                <w:sz w:val="16"/>
                <w:szCs w:val="16"/>
                <w:color w:val="auto"/>
              </w:rPr>
              <w:t>Five Year Credit Agreement, dated as of June 29, 2015, among the Company, and certain of its domestic subsidiaries as guarantors, the</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several lenders from time to time party thereto, Wells Fargo Bank, National Association, as Administrative Agent and JPMorgan Chase Bank,</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N.A., as Syndication Agent. (incorporated by reference to Exhibit 10.1 to the Company’s Current Report on Form 8-K dated June 29, 2015).</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31.1</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Executive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31.2</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Financial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Section 1350 Certification of the Chief Executive Officer and the Chief Financial Officer.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080" w:right="120" w:hanging="910"/>
        <w:spacing w:after="0" w:line="248" w:lineRule="auto"/>
        <w:tabs>
          <w:tab w:leader="none" w:pos="10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March 31, 2016, formatted in Extensible Business Reporting Language (XBRL): (i) Condensed Consolidated Statements of Operations for the Three Months Ended March 31, 2016 and 2015, (ii) Condensed Consolidated Statements of Comprehensive Income for the Three Months Ended March 31, 2016 and 2015, (iii) Condensed Consolidated Balance Sheets as of March 31, 2016 and December 31, 2015, (iv) Condensed Consolidated Statements of Cash Flows for the Three Months Ended March 31, 2016 and 2015,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17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 Furnished herewith.</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SIGNATURES</w:t>
      </w:r>
    </w:p>
    <w:p>
      <w:pPr>
        <w:spacing w:after="0" w:line="31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5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61"/>
        </w:trPr>
        <w:tc>
          <w:tcPr>
            <w:tcW w:w="3520" w:type="dxa"/>
            <w:vAlign w:val="bottom"/>
          </w:tcPr>
          <w:p>
            <w:pPr>
              <w:spacing w:after="0"/>
              <w:rPr>
                <w:sz w:val="20"/>
                <w:szCs w:val="20"/>
                <w:color w:val="auto"/>
              </w:rPr>
            </w:pPr>
            <w:r>
              <w:rPr>
                <w:rFonts w:ascii="Arial" w:cs="Arial" w:eastAsia="Arial" w:hAnsi="Arial"/>
                <w:sz w:val="18"/>
                <w:szCs w:val="18"/>
                <w:color w:val="auto"/>
              </w:rPr>
              <w:t>Date: May 4, 2016</w:t>
            </w:r>
          </w:p>
        </w:tc>
        <w:tc>
          <w:tcPr>
            <w:tcW w:w="376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76"/>
        </w:trPr>
        <w:tc>
          <w:tcPr>
            <w:tcW w:w="35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Timothy J. O'Shaughnessy,</w:t>
            </w:r>
          </w:p>
        </w:tc>
      </w:tr>
      <w:tr>
        <w:trPr>
          <w:trHeight w:val="162"/>
        </w:trPr>
        <w:tc>
          <w:tcPr>
            <w:tcW w:w="35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President &amp; Chief Executive Officer</w:t>
            </w:r>
          </w:p>
        </w:tc>
      </w:tr>
      <w:tr>
        <w:trPr>
          <w:trHeight w:val="190"/>
        </w:trPr>
        <w:tc>
          <w:tcPr>
            <w:tcW w:w="35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59"/>
        </w:trPr>
        <w:tc>
          <w:tcPr>
            <w:tcW w:w="3520" w:type="dxa"/>
            <w:vAlign w:val="bottom"/>
          </w:tcPr>
          <w:p>
            <w:pPr>
              <w:spacing w:after="0"/>
              <w:rPr>
                <w:sz w:val="20"/>
                <w:szCs w:val="20"/>
                <w:color w:val="auto"/>
              </w:rPr>
            </w:pPr>
            <w:r>
              <w:rPr>
                <w:rFonts w:ascii="Arial" w:cs="Arial" w:eastAsia="Arial" w:hAnsi="Arial"/>
                <w:sz w:val="18"/>
                <w:szCs w:val="18"/>
                <w:color w:val="auto"/>
              </w:rPr>
              <w:t>Date: May 4, 2016</w:t>
            </w:r>
          </w:p>
        </w:tc>
        <w:tc>
          <w:tcPr>
            <w:tcW w:w="376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Hal S. Jones</w:t>
            </w:r>
          </w:p>
        </w:tc>
      </w:tr>
      <w:tr>
        <w:trPr>
          <w:trHeight w:val="176"/>
        </w:trPr>
        <w:tc>
          <w:tcPr>
            <w:tcW w:w="35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Hal S. Jones,</w:t>
            </w:r>
          </w:p>
        </w:tc>
      </w:tr>
      <w:tr>
        <w:trPr>
          <w:trHeight w:val="162"/>
        </w:trPr>
        <w:tc>
          <w:tcPr>
            <w:tcW w:w="35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Senior Vice President-Finance</w:t>
            </w:r>
          </w:p>
        </w:tc>
      </w:tr>
      <w:tr>
        <w:trPr>
          <w:trHeight w:val="190"/>
        </w:trPr>
        <w:tc>
          <w:tcPr>
            <w:tcW w:w="35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620"/>
        </w:trPr>
        <w:tc>
          <w:tcPr>
            <w:tcW w:w="3520" w:type="dxa"/>
            <w:vAlign w:val="bottom"/>
          </w:tcPr>
          <w:p>
            <w:pPr>
              <w:spacing w:after="0"/>
              <w:rPr>
                <w:sz w:val="24"/>
                <w:szCs w:val="24"/>
                <w:color w:val="auto"/>
              </w:rPr>
            </w:pPr>
          </w:p>
        </w:tc>
        <w:tc>
          <w:tcPr>
            <w:tcW w:w="3760" w:type="dxa"/>
            <w:vAlign w:val="bottom"/>
          </w:tcPr>
          <w:p>
            <w:pPr>
              <w:jc w:val="right"/>
              <w:ind w:right="1410"/>
              <w:spacing w:after="0"/>
              <w:rPr>
                <w:sz w:val="20"/>
                <w:szCs w:val="20"/>
                <w:color w:val="auto"/>
              </w:rPr>
            </w:pPr>
            <w:r>
              <w:rPr>
                <w:rFonts w:ascii="Arial" w:cs="Arial" w:eastAsia="Arial" w:hAnsi="Arial"/>
                <w:sz w:val="18"/>
                <w:szCs w:val="18"/>
                <w:color w:val="auto"/>
              </w:rPr>
              <w:t>27</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863"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2016</w:t>
      </w:r>
    </w:p>
    <w:p>
      <w:pPr>
        <w:sectPr>
          <w:pgSz w:w="11900" w:h="16838" w:orient="portrait"/>
          <w:cols w:equalWidth="0" w:num="1">
            <w:col w:w="11420"/>
          </w:cols>
          <w:pgMar w:left="240" w:top="382"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2016</w:t>
      </w:r>
    </w:p>
    <w:p>
      <w:pPr>
        <w:sectPr>
          <w:pgSz w:w="11900" w:h="16838" w:orient="portrait"/>
          <w:cols w:equalWidth="0" w:num="1">
            <w:col w:w="11420"/>
          </w:cols>
          <w:pgMar w:left="240" w:top="382"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March 31, 2016 (the “Report”), Timothy J. O'Shaughnessy, Chief Executive Officer of the Company and Hal S. Jones, Senior Vice President-Finance of the Company, each hereby certifies, pursuant to 18 U.S.C. Section 1350, as adopted pursuant to Section 906 of the Sarbanes-Oxley Act of 2002, that:</w:t>
      </w:r>
    </w:p>
    <w:p>
      <w:pPr>
        <w:spacing w:after="0" w:line="15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2016</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2016</w:t>
      </w: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59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emdash "/>
      <w:numFmt w:val="bullet"/>
      <w:start w:val="1"/>
    </w:lvl>
  </w:abstractNum>
  <w:abstractNum w:abstractNumId="5">
    <w:nsid w:val="519B500D"/>
    <w:multiLevelType w:val="hybridMultilevel"/>
    <w:lvl w:ilvl="0">
      <w:lvlJc w:val="left"/>
      <w:lvlText w:val="%1"/>
      <w:numFmt w:val="decimal"/>
      <w:start w:val="343"/>
    </w:lvl>
  </w:abstractNum>
  <w:abstractNum w:abstractNumId="6">
    <w:nsid w:val="431BD7B7"/>
    <w:multiLevelType w:val="hybridMultilevel"/>
    <w:lvl w:ilvl="0">
      <w:lvlJc w:val="left"/>
      <w:lvlText w:val="%1"/>
      <w:numFmt w:val="decimal"/>
      <w:start w:val="104"/>
    </w:lvl>
  </w:abstractNum>
  <w:abstractNum w:abstractNumId="7">
    <w:nsid w:val="3F2DBA31"/>
    <w:multiLevelType w:val="hybridMultilevel"/>
    <w:lvl w:ilvl="0">
      <w:lvlJc w:val="left"/>
      <w:lvlText w:val="%1"/>
      <w:numFmt w:val="decimal"/>
      <w:start w:val="290"/>
    </w:lvl>
  </w:abstractNum>
  <w:abstractNum w:abstractNumId="8">
    <w:nsid w:val="7C83E458"/>
    <w:multiLevelType w:val="hybridMultilevel"/>
    <w:lvl w:ilvl="0">
      <w:lvlJc w:val="left"/>
      <w:lvlText w:val="%1"/>
      <w:numFmt w:val="decimal"/>
      <w:start w:val="394"/>
    </w:lvl>
  </w:abstractNum>
  <w:abstractNum w:abstractNumId="9">
    <w:nsid w:val="257130A3"/>
    <w:multiLevelType w:val="hybridMultilevel"/>
    <w:lvl w:ilvl="0">
      <w:lvlJc w:val="left"/>
      <w:lvlText w:val="%1"/>
      <w:numFmt w:val="decimal"/>
      <w:start w:val="407"/>
    </w:lvl>
  </w:abstractNum>
  <w:abstractNum w:abstractNumId="10">
    <w:nsid w:val="62BBD95A"/>
    <w:multiLevelType w:val="hybridMultilevel"/>
    <w:lvl w:ilvl="0">
      <w:lvlJc w:val="left"/>
      <w:lvlText w:val="(%1)"/>
      <w:numFmt w:val="decimal"/>
      <w:start w:val="435"/>
    </w:lvl>
  </w:abstractNum>
  <w:abstractNum w:abstractNumId="11">
    <w:nsid w:val="436C6125"/>
    <w:multiLevelType w:val="hybridMultilevel"/>
    <w:lvl w:ilvl="0">
      <w:lvlJc w:val="left"/>
      <w:lvlText w:val="%1"/>
      <w:numFmt w:val="decimal"/>
      <w:start w:val="169"/>
    </w:lvl>
  </w:abstractNum>
  <w:abstractNum w:abstractNumId="12">
    <w:nsid w:val="628C895D"/>
    <w:multiLevelType w:val="hybridMultilevel"/>
    <w:lvl w:ilvl="0">
      <w:lvlJc w:val="left"/>
      <w:lvlText w:val="(%1)"/>
      <w:numFmt w:val="decimal"/>
      <w:start w:val="389"/>
    </w:lvl>
  </w:abstractNum>
  <w:abstractNum w:abstractNumId="13">
    <w:nsid w:val="333AB105"/>
    <w:multiLevelType w:val="hybridMultilevel"/>
    <w:lvl w:ilvl="0">
      <w:lvlJc w:val="left"/>
      <w:lvlText w:val="\emdash "/>
      <w:numFmt w:val="bullet"/>
      <w:start w:val="1"/>
    </w:lvl>
  </w:abstractNum>
  <w:abstractNum w:abstractNumId="14">
    <w:nsid w:val="721DA317"/>
    <w:multiLevelType w:val="hybridMultilevel"/>
    <w:lvl w:ilvl="0">
      <w:lvlJc w:val="left"/>
      <w:lvlText w:val="(%1)"/>
      <w:numFmt w:val="lowerRoman"/>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46"/>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lvl w:ilvl="1">
      <w:lvlJc w:val="left"/>
      <w:lvlText w:val="%2"/>
      <w:numFmt w:val="decimal"/>
      <w:start w:val="10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2019-12-29T11:29:22Z</dcterms:created>
  <dcterms:modified xsi:type="dcterms:W3CDTF">2019-12-29T11:29:22Z</dcterms:modified>
</cp:coreProperties>
</file>