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820" w:type="dxa"/>
            <w:vAlign w:val="bottom"/>
          </w:tcPr>
          <w:p>
            <w:pPr>
              <w:jc w:val="center"/>
              <w:ind w:right="2202"/>
              <w:spacing w:after="0"/>
              <w:rPr>
                <w:sz w:val="20"/>
                <w:szCs w:val="20"/>
                <w:color w:val="auto"/>
              </w:rPr>
            </w:pPr>
            <w:r>
              <w:rPr>
                <w:rFonts w:ascii="Arial" w:cs="Arial" w:eastAsia="Arial" w:hAnsi="Arial"/>
                <w:sz w:val="18"/>
                <w:szCs w:val="18"/>
                <w:b w:val="1"/>
                <w:bCs w:val="1"/>
                <w:color w:val="auto"/>
                <w:w w:val="88"/>
              </w:rPr>
              <w:t>Delaware</w:t>
            </w:r>
          </w:p>
        </w:tc>
        <w:tc>
          <w:tcPr>
            <w:tcW w:w="2840" w:type="dxa"/>
            <w:vAlign w:val="bottom"/>
          </w:tcPr>
          <w:p>
            <w:pPr>
              <w:jc w:val="right"/>
              <w:ind w:right="1662"/>
              <w:spacing w:after="0"/>
              <w:rPr>
                <w:sz w:val="20"/>
                <w:szCs w:val="20"/>
                <w:color w:val="auto"/>
              </w:rPr>
            </w:pPr>
            <w:r>
              <w:rPr>
                <w:rFonts w:ascii="Arial" w:cs="Arial" w:eastAsia="Arial" w:hAnsi="Arial"/>
                <w:sz w:val="18"/>
                <w:szCs w:val="18"/>
                <w:b w:val="1"/>
                <w:bCs w:val="1"/>
                <w:color w:val="auto"/>
              </w:rPr>
              <w:t>1-6714</w:t>
            </w:r>
          </w:p>
        </w:tc>
        <w:tc>
          <w:tcPr>
            <w:tcW w:w="22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3820" w:type="dxa"/>
            <w:vAlign w:val="bottom"/>
          </w:tcPr>
          <w:p>
            <w:pPr>
              <w:jc w:val="center"/>
              <w:ind w:right="22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40" w:type="dxa"/>
            <w:vAlign w:val="bottom"/>
          </w:tcPr>
          <w:p>
            <w:pPr>
              <w:jc w:val="center"/>
              <w:ind w:right="108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820" w:type="dxa"/>
            <w:vAlign w:val="bottom"/>
          </w:tcPr>
          <w:p>
            <w:pPr>
              <w:jc w:val="center"/>
              <w:ind w:right="2202"/>
              <w:spacing w:after="0"/>
              <w:rPr>
                <w:sz w:val="20"/>
                <w:szCs w:val="20"/>
                <w:color w:val="auto"/>
              </w:rPr>
            </w:pPr>
            <w:r>
              <w:rPr>
                <w:rFonts w:ascii="Arial" w:cs="Arial" w:eastAsia="Arial" w:hAnsi="Arial"/>
                <w:sz w:val="14"/>
                <w:szCs w:val="14"/>
                <w:b w:val="1"/>
                <w:bCs w:val="1"/>
                <w:color w:val="auto"/>
                <w:w w:val="87"/>
              </w:rPr>
              <w:t>of incorporation)</w:t>
            </w:r>
          </w:p>
        </w:tc>
        <w:tc>
          <w:tcPr>
            <w:tcW w:w="284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820" w:type="dxa"/>
            <w:vAlign w:val="bottom"/>
          </w:tcPr>
          <w:p>
            <w:pPr>
              <w:jc w:val="center"/>
              <w:ind w:left="1422"/>
              <w:spacing w:after="0"/>
              <w:rPr>
                <w:sz w:val="20"/>
                <w:szCs w:val="20"/>
                <w:color w:val="auto"/>
              </w:rPr>
            </w:pPr>
            <w:r>
              <w:rPr>
                <w:rFonts w:ascii="Arial" w:cs="Arial" w:eastAsia="Arial" w:hAnsi="Arial"/>
                <w:sz w:val="18"/>
                <w:szCs w:val="18"/>
                <w:b w:val="1"/>
                <w:bCs w:val="1"/>
                <w:color w:val="auto"/>
                <w:w w:val="89"/>
              </w:rPr>
              <w:t>1150 15th Street, N.W.</w:t>
            </w:r>
          </w:p>
        </w:tc>
        <w:tc>
          <w:tcPr>
            <w:tcW w:w="28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1"/>
        </w:trPr>
        <w:tc>
          <w:tcPr>
            <w:tcW w:w="3820" w:type="dxa"/>
            <w:vAlign w:val="bottom"/>
          </w:tcPr>
          <w:p>
            <w:pPr>
              <w:jc w:val="center"/>
              <w:ind w:left="1422"/>
              <w:spacing w:after="0"/>
              <w:rPr>
                <w:sz w:val="20"/>
                <w:szCs w:val="20"/>
                <w:color w:val="auto"/>
              </w:rPr>
            </w:pPr>
            <w:r>
              <w:rPr>
                <w:rFonts w:ascii="Arial" w:cs="Arial" w:eastAsia="Arial" w:hAnsi="Arial"/>
                <w:sz w:val="18"/>
                <w:szCs w:val="18"/>
                <w:b w:val="1"/>
                <w:bCs w:val="1"/>
                <w:color w:val="auto"/>
                <w:w w:val="88"/>
              </w:rPr>
              <w:t>Washington, D.C.</w:t>
            </w:r>
          </w:p>
        </w:tc>
        <w:tc>
          <w:tcPr>
            <w:tcW w:w="284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3820" w:type="dxa"/>
            <w:vAlign w:val="bottom"/>
          </w:tcPr>
          <w:p>
            <w:pPr>
              <w:jc w:val="center"/>
              <w:ind w:left="14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84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3, 2007, The Washington Post Company issued a press release announcing the Company’s earnings for the second quarter ended July 1, 2007.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August 3, 2007.</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500" w:val="left"/>
        </w:tabs>
        <w:rPr>
          <w:sz w:val="20"/>
          <w:szCs w:val="20"/>
          <w:color w:val="auto"/>
        </w:rPr>
      </w:pPr>
      <w:r>
        <w:rPr>
          <w:rFonts w:ascii="Arial" w:cs="Arial" w:eastAsia="Arial" w:hAnsi="Arial"/>
          <w:sz w:val="18"/>
          <w:szCs w:val="18"/>
          <w:color w:val="auto"/>
        </w:rPr>
        <w:t>Date August 3, 2007</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August 3, 2007.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Contact:</w:t>
            </w:r>
          </w:p>
        </w:tc>
        <w:tc>
          <w:tcPr>
            <w:tcW w:w="2260" w:type="dxa"/>
            <w:vAlign w:val="bottom"/>
          </w:tcPr>
          <w:p>
            <w:pPr>
              <w:ind w:left="220"/>
              <w:spacing w:after="0"/>
              <w:rPr>
                <w:sz w:val="20"/>
                <w:szCs w:val="20"/>
                <w:color w:val="auto"/>
              </w:rPr>
            </w:pPr>
            <w:r>
              <w:rPr>
                <w:rFonts w:ascii="Arial" w:cs="Arial" w:eastAsia="Arial" w:hAnsi="Arial"/>
                <w:sz w:val="18"/>
                <w:szCs w:val="18"/>
                <w:color w:val="auto"/>
              </w:rPr>
              <w:t>John B. Morse, Jr.</w:t>
            </w:r>
          </w:p>
        </w:tc>
        <w:tc>
          <w:tcPr>
            <w:tcW w:w="502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840" w:type="dxa"/>
            <w:vAlign w:val="bottom"/>
          </w:tcPr>
          <w:p>
            <w:pPr>
              <w:spacing w:after="0"/>
              <w:rPr>
                <w:sz w:val="20"/>
                <w:szCs w:val="20"/>
                <w:color w:val="auto"/>
              </w:rPr>
            </w:pPr>
          </w:p>
        </w:tc>
        <w:tc>
          <w:tcPr>
            <w:tcW w:w="2260" w:type="dxa"/>
            <w:vAlign w:val="bottom"/>
          </w:tcPr>
          <w:p>
            <w:pPr>
              <w:ind w:left="220"/>
              <w:spacing w:after="0"/>
              <w:rPr>
                <w:sz w:val="20"/>
                <w:szCs w:val="20"/>
                <w:color w:val="auto"/>
              </w:rPr>
            </w:pPr>
            <w:r>
              <w:rPr>
                <w:rFonts w:ascii="Arial" w:cs="Arial" w:eastAsia="Arial" w:hAnsi="Arial"/>
                <w:sz w:val="18"/>
                <w:szCs w:val="18"/>
                <w:color w:val="auto"/>
              </w:rPr>
              <w:t>(202) 334-6662</w:t>
            </w:r>
          </w:p>
        </w:tc>
        <w:tc>
          <w:tcPr>
            <w:tcW w:w="50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August 3, 2007</w:t>
            </w:r>
          </w:p>
        </w:tc>
      </w:tr>
      <w:tr>
        <w:trPr>
          <w:trHeight w:val="372"/>
        </w:trPr>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40" w:type="dxa"/>
            <w:vAlign w:val="bottom"/>
            <w:gridSpan w:val="2"/>
          </w:tcPr>
          <w:p>
            <w:pPr>
              <w:jc w:val="center"/>
              <w:ind w:right="133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8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40" w:type="dxa"/>
            <w:vAlign w:val="bottom"/>
            <w:gridSpan w:val="2"/>
          </w:tcPr>
          <w:p>
            <w:pPr>
              <w:jc w:val="center"/>
              <w:ind w:right="1332"/>
              <w:spacing w:after="0"/>
              <w:rPr>
                <w:sz w:val="20"/>
                <w:szCs w:val="20"/>
                <w:color w:val="auto"/>
              </w:rPr>
            </w:pPr>
            <w:r>
              <w:rPr>
                <w:rFonts w:ascii="Arial" w:cs="Arial" w:eastAsia="Arial" w:hAnsi="Arial"/>
                <w:sz w:val="18"/>
                <w:szCs w:val="18"/>
                <w:color w:val="auto"/>
                <w:w w:val="92"/>
              </w:rPr>
              <w:t>SECOND QUARTER EARNINGS</w:t>
            </w:r>
          </w:p>
        </w:tc>
      </w:tr>
    </w:tbl>
    <w:p>
      <w:pPr>
        <w:spacing w:after="0" w:line="15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$68.8 million ($7.19 per share) for its second quarter ended July 1, 2007, compared to net income of $78.7 million ($8.17 per share) for the second quarter of last year.</w:t>
      </w:r>
    </w:p>
    <w:p>
      <w:pPr>
        <w:spacing w:after="0" w:line="132"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Results for the second quarter of 2007 included additional net income tax expense of $9.2 million ($0.97 per share) as the result of a $15.5 million ($1.63 per share) increase in taxes associated with Bowater Mersey Paper Company Limited, the Company’s 49%-owned affiliate based in Canada, and a tax benefit of $6.3 million ($0.66 per share) associated with recent changes in certain state income tax laws. Both of these are non-cash items in the current period, impacting the Company’s long-term net deferred income tax liabilities.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Results for the second quarter of 2006 included charges related to early retirement plan buyouts at The Washington Post newspaper and the corporate office (after-tax impact of $31.4 million, or $3.27 per share) that were largely funded from the assets in the Company’s pension plans. Results for the second quarter of 2006 also included transition costs from Kaplan acquisitions (after-tax impact of $4.8 million, or $0.50 per share), offset by insurance recoveries from cable division losses related to Hurricane Katrina (after-tax impact of $6.4 million, or $0.67 per share) and non-operating gains from the sales of marketable securities (after-tax impact of $19.6 million, or $2.04 per share).</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Revenue for the second quarter of 2007 was $1,046.8 million, up 8% from $969.0 million in the second quarter of 2006. The increase is due mostly to significant revenue growth at the education division, as well as an increase at the cable television division. Revenues were down at the Company’s newspaper publishing, magazine publishing and television broadcasting divisions.</w:t>
      </w:r>
    </w:p>
    <w:p>
      <w:pPr>
        <w:spacing w:after="0" w:line="140"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Operating income increased in the second quarter of 2007 to $125.3 million, from $97.2 million in the second quarter of 2006, due largely to certain unusual items in the second quarter of 2006 including charges of $50.6 million associated with early retirement plan buyouts and charges of $6.9 million associated with transition costs at Kaplan. These were offset by a $9.6 million increase in Kaplan stock compensation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 in the second quarter of 2007 and $10.4 million in insurance recoveries recorded during the second quarter of 2006 from cable division losses related to Hurricane Katrina.</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first six months of 2007, net income totaled $133.2 million ($13.89 per share), compared with $155.6 million ($16.12 per share) for the same period of 2006. Results for the first six months of 2007 included additional net income tax expense of $6.6 million ($0.70 per share) as the result of a $12.9 million ($1.36 per share) increase in taxes associated with Bowater Mersey and a tax benefit of $6.3 million ($0.66 per share) associated with recent changes in certain state income tax laws. Both of these are non-cash items in the current period, impacting the Company’s long-term net deferred income tax liabilities. Also included in the first six months of 2007 is a significant increase in equity in earnings of affiliates primarily from a gain on the sale of land at the Company’s Bowater Mersey affiliate (after-tax impact of $6.5 million, or $0.68 per share). Results for the first half of 2006 included charges related to early retirement plan buyouts (after-tax impact of $31.4 million, or $3.27 per share); transition costs at Kaplan (after-tax impact of $4.8 million, or $0.50 per share); and a charge for the cumulative effect of a change in accounting for Kaplan equity awards (after-tax impact of $5.1 million, or $0.53 per share) in connection with the Company’s adoption of Statement of Financial Accounting Standards No. 123R (SFAS 123R), “Share-Based Payment.” These items were offset by insurance recoveries from cable division losses related to Hurricane Katrina (after-tax impact of $6.4 million, or $0.67 per share) and non-operating gains from the sales of marketable securities (after-tax impact of $19.6 million, or $2.04 per share).</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Revenue for the first half of 2007 was $2,032.4 million, up 6% from $1,917.3 million in the first half of 2006, due to increased revenues at the Company’s education and cable divisions, offset by revenue declines at the Company’s other divisions. Operating income for the first half of 2007 decreased to $217.3 million, from $235.0 million in the first half of 2006, due to declines at the television broadcasting and magazine publishing divisions; a $17.9 million increase in Kaplan stock compensation expense in the first half of 2007; and $10.4 million in insurance recoveries recorded during the second quarter of 2006 from cable division losses related to Hurricane Katrina. These were offset by several unusual items in 2006 including $50.6 million in pre-tax charges associated with early retirement plan buyouts and $6.9 million in transition costs at Kaplan.</w:t>
      </w:r>
    </w:p>
    <w:p>
      <w:pPr>
        <w:spacing w:after="0" w:line="120"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Company’s operating income for the second quarter and first six months of 2007 included $5.8 million and $10.8 million of net pension credits, respectively, compared to $5.7 million and $11.4 million, respectively, for the same periods of 2006, excluding charges related to early retirement programs.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Education division revenue totaled $503.5 million for the second quarter of 2007, a 23% increase over revenue of $409.2 million for the same period of 2006. Excluding revenue from acquired businesses, education division revenue increased 14% for the second quarter of 2007. Kaplan reported operating income for the second quarter of 2007 of $37.5 million, up 11% from $33.9 million in the second quarter of 2006. For the first six months of 2007, education division revenue totaled $979.3 million, a 20% increase over revenue of $818.2 million for the same period of 2006. Excluding revenue from acquired businesses, education division revenue increased 12% for the first six months of 2007. Kaplan reported operating income of $71.9 million for the first six months of 2007, a decline of 17% from $86.5 million for the first six months of 2006.</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second quarter of 2006, Kaplan acquired Tribeca Learning Limited, a leading provider of education to the Australian financial services sector, and incurred $6.9 million in transition costs, which are included in the Professional education results. A summary of Kaplan’s operating results for the second quarter and the first six months of 2007 compared to 2006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89"/>
              </w:rPr>
              <w:t>Second Quarter</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99"/>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9"/>
        </w:trPr>
        <w:tc>
          <w:tcPr>
            <w:tcW w:w="52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229,991</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191,855</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461,715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390,200</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148,519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113,465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282,798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223,284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124,977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103,924</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234,755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204,694</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503,487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409,244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979,268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818,178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22,197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4"/>
          </w:tcPr>
          <w:p>
            <w:pPr>
              <w:ind w:left="440"/>
              <w:spacing w:after="0"/>
              <w:rPr>
                <w:sz w:val="20"/>
                <w:szCs w:val="20"/>
                <w:color w:val="auto"/>
              </w:rPr>
            </w:pPr>
            <w:r>
              <w:rPr>
                <w:rFonts w:ascii="Arial" w:cs="Arial" w:eastAsia="Arial" w:hAnsi="Arial"/>
                <w:sz w:val="18"/>
                <w:szCs w:val="18"/>
                <w:color w:val="auto"/>
              </w:rPr>
              <w:t>Test preparation</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23,923</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40,592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46,055</w:t>
            </w:r>
          </w:p>
        </w:tc>
        <w:tc>
          <w:tcPr>
            <w:tcW w:w="3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620" w:type="dxa"/>
            <w:vAlign w:val="bottom"/>
            <w:gridSpan w:val="3"/>
          </w:tcPr>
          <w:p>
            <w:pPr>
              <w:ind w:left="260"/>
              <w:spacing w:after="0"/>
              <w:rPr>
                <w:sz w:val="20"/>
                <w:szCs w:val="20"/>
                <w:color w:val="auto"/>
              </w:rPr>
            </w:pPr>
            <w:r>
              <w:rPr>
                <w:rFonts w:ascii="Arial" w:cs="Arial" w:eastAsia="Arial" w:hAnsi="Arial"/>
                <w:sz w:val="18"/>
                <w:szCs w:val="18"/>
                <w:color w:val="auto"/>
              </w:rPr>
              <w:t>Operating income, excluding transition costs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13,211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10,187*</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24,291*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Transition costs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13,211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17,420</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 overhead</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(9,870)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(11,232)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(19,699)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(21,342)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4"/>
          </w:tcPr>
          <w:p>
            <w:pPr>
              <w:ind w:left="44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(16,971)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(29,507)</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(7,105)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33,888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measure</w:t>
      </w:r>
    </w:p>
    <w:p>
      <w:pPr>
        <w:spacing w:after="0" w:line="1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Higher education includes all of Kaplan’s post-secondary education businesses in the United States, including fixed-facility colleges as well as online post-secondary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1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career programs. Higher education revenue grew by 20% in the second quarter of 2007 and 18% in the first half of 2007. Enrollments increased 6% to 66,700 at June 30, 2007, compared to 62,700 at June 30, 2006, due to enrollment growth in the online programs. Higher education results for the online programs in the first half of 2007 benefited from increases in both price and demand for higher priced advanced programs. Results at the fixed-facility colleges also benefited from course fee increases, but as previously disclosed, were adversely affected by $2.7 million in lease termination charges in the first quarter of 2007.</w:t>
      </w:r>
    </w:p>
    <w:p>
      <w:pPr>
        <w:spacing w:after="0" w:line="9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Test preparation includes Kaplan’s standardized test preparation and English- language course offerings, as well as the K12 and Score! businesses. Test preparation revenue grew 31% in the second quarter of 2007 and 27% for the first six months of 2007 largely due to the Aspect and PMBR acquisitions made in October 2006. Excluding revenue from acquired businesses, revenue grew 7% in the second quarter of 2007 and 5% in the first six months of 2007 due to overall strength in the traditional test preparation courses, offset by declines in revenue from the K12 and Score! businesses. Operating income for test preparation increased in the second quarter of 2007 due largely to the Aspect and PMBR acquisitions, as well as growth in the traditional test preparation courses, offset by continued weakness from the K12 and Score! businesses. Operating results for the first half of 2007 were down due to weaker results from the K12 and Score! businesses. The K12 results in 2006 included approximately $3.0 million in revenue and operating income related to services provided in prior periods, but for which revenue was not recognized until 2006 when the underlying contracts governing the work were finalized. Score! revenue and operating results are down primarily due to an 11% enrollment decline.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Professional includes Kaplan’s domestic and overseas professional businesses and certain other education businesses outside the United States. Professional revenue grew 20% and 15% in the second quarter and first six months of 2007 largely due to the May 2006 acquisition of Tribeca and the March 2007 acquisition of EduNeering Holdings, Inc., a Princeton, NJ-based provider of knowledge management solutions for organizations in the pharmaceutical, medical device, healthcare, energy and manufacturing sectors. Excluding revenue from acquired businesses, Professional revenue grew 11% in the second quarter of 2007 and 6% in the first six months of 2007. The revenue increases are a result of higher revenues at FTC Kaplan Limited (FTC) due primarily to favorable exchange rates and from growth in the Schweser CFA exam course offerings, offset by continued soft market demand for Professional’s real estate book publishing and real estate course offerings. Operating income increased largely due to the $6.9 million in transition costs in 2006, offset by weakness in Professional’s real estate businesses. FTC operating results are up in the second quarter of 2007, but have declined for the first six months of 2007 due to increases in staffing, occupancy and business development expenses associated with the overall growth in FTC operations.</w:t>
      </w:r>
    </w:p>
    <w:p>
      <w:pPr>
        <w:spacing w:after="0" w:line="120" w:lineRule="exact"/>
        <w:rPr>
          <w:sz w:val="20"/>
          <w:szCs w:val="20"/>
          <w:color w:val="auto"/>
        </w:rPr>
      </w:pPr>
    </w:p>
    <w:p>
      <w:pPr>
        <w:jc w:val="center"/>
        <w:ind w:right="436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ind w:right="3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includes charges for incentive compensation arising from equity awards under the Kaplan stock option plan, which was established for certain members of Kaplan’s management. Kaplan recorded stock compensation expense of $13.0 million and $3.4 million in the second quarter of 2007 and 2006, respectively, and $23.2 million and $5.3 million in the first six months of 2007 and 2006, respectively, related to this plan (excluding stock compensation recorded in the first quarter of 2006 related to a change in accounting discussed below). In addition, Other includes amortization of certain intangibles, which increased due to recent Kaplan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Newspaper publishing division revenue totaled $227.9 million for the second quarter of 2007, a decrease of 7% from $245.6 million in the second quarter of 2006; division revenue decreased 9% to $447.1 million for the first six months of 2007, from $489.0 million for the first six months of 2006. The newspaper division reported operating income of $17.8 million in the second quarter of 2007, compared to an operating loss of $15.4 million for the second quarter of 2006; operating income increased to $32.7 million for the first six months of 2007, compared to $16.7 million for the first six months of 2006. The increase in operating results is due primarily to $46.8 million in pre-tax charges recorded in the second quarter of 2006 associated with early retirement plan buyouts at The Washington Post. Excluding this charge, operating income was down for the second quarter and the first six months of 2007 due to a decline in division revenues, partially offset by a reduction in newspaper division operating expenses, including newsprint expense declines of 22% and 19% for the second quarter and first six months of 2007,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newspaper division operating results for the second quarter and the first six months of 2007 compared to 2006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87"/>
              </w:rPr>
              <w:t>Second Quarter</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227,901</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245,566</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489,038</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3"/>
        </w:trPr>
        <w:tc>
          <w:tcPr>
            <w:tcW w:w="6040" w:type="dxa"/>
            <w:vAlign w:val="bottom"/>
            <w:gridSpan w:val="3"/>
          </w:tcPr>
          <w:p>
            <w:pPr>
              <w:spacing w:after="0"/>
              <w:rPr>
                <w:sz w:val="20"/>
                <w:szCs w:val="20"/>
                <w:color w:val="auto"/>
              </w:rPr>
            </w:pPr>
            <w:r>
              <w:rPr>
                <w:rFonts w:ascii="Arial" w:cs="Arial" w:eastAsia="Arial" w:hAnsi="Arial"/>
                <w:sz w:val="18"/>
                <w:szCs w:val="18"/>
                <w:color w:val="auto"/>
              </w:rPr>
              <w:t>Operating expenses, excluding early retirement program expense</w:t>
            </w: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(210,143)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(214,182)*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(414,371)</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(425,617)*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31,834*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Early retirement program expense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(46,757)</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(46,757)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(15,373)</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Non-GAAP measure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Print advertising revenue at The Post in the second quarter declined 13% to $128.4 million, from $148.3 million in the second quarter of 2006, and decreased 15% to $253.6 million for the first six months of 2007, from $298.1 million in the same period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The declines are due to reductions in real estate, which was a strong category in the first six months of 2006, along with declines in classified, retail and zones. Classified recruitment advertising revenue declined 22% to $13.2 million for the second quarter of 2007, from $16.8 million in the second quarter of 2006, and was down 25% to $28.9 million in the first half of 2007, compared to $38.6 million in the first half of 2006.</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the first six months of 2007, Post daily and Sunday circulation both declined 2.9% compared to the same period of the prior year. For the six months ended July 1, 2007, average daily circulation at The Post totaled 652,200 and average Sunday circulation totaled 920,000.</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11% to $28.2 million for the second quarter of 2007, from $25.3 million for the second quarter of 2006; online revenues increased 11% to $53.2 million in the first six months of 2007, from $48.2 million for the first six months of 2006. Display online advertising revenues grew 13% and 16% for the second quarter and first six months of 2007, respectively. Online classified advertising revenue on washingtonpost.com increased 11% and 8% for the second quarter and first six months of 2007, respectively. A small portion of the Company’s online publishing revenues is included in the magazine publishing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Revenue for the television broadcasting division decreased 1% in the second quarter of 2007 to $87.9 million, from $89.0 million in 2006; operating income for the second quarter of 2007 declined 13% to $35.2 million, from $40.6 million in 2006. The decrease in revenue and operating income is due to a $1.5 million decline in second quarter 2007 political advertising revenue and increased programming expenses.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the first six months of 2007, revenue decreased 4% to $168.7 million, from $174.9 million in 2006; operating income for the first six months of 2007 declined 17% to $64.6 million, from $78.1 million. The decrease in revenue and operating income is due to $6.3 million in incremental winter Olympics-related advertising at the Company’s NBC affiliates in the first quarter of 2006, a $2.3 million decrease in political advertising revenue and increased programming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 for the magazine publishing division totaled $73.4 million for the second quarter of 2007, a 13% decline from $84.2 million for the second quarter of 2006; division revenue totaled $134.7 million for the first six months of 2007, a 15% decrease from $159.0 million for the first six months of 2006. Magazine publishing division results in the second quarter and first six months of 2006 included revenue of $5.6 million and $13.3 million, respectively, from PostNewsweek Tech Media, which was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sold in December 2006. The remainder of the revenue declines is due primarily to a 6% and 9% reduction in advertising revenue for the second quarter and first six months of 2007, respectively, due to fewer ad pages and lower rates at both the Newsweek domestic and international editions, offset by increases at Arthur Frommer’s Budget Travel.</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Operating income totaled $12.9 million in the second quarter of 2007, an increase from $11.2 million for the second quarter of 2006. Magazine publishing division results in the second quarter of 2006 included an operating loss of $0.5 million from PostNewsweek Tech Media. The remainder of the increase in operating income is due to a reduction in subscription and magazine paper costs and an increased pension credit, offset by advertising revenue reductions. Operating income totaled $6.9 million for the first six months of 2007, a decline from $10.3 million in the first six months of 2006. Magazine publishing division results in the first six months of 2006 included operating income of $0.8 million from PostNewsweek Tech Media. The remainder of the decline is due primarily to advertising revenue reductions, offset by lower overall operating costs and an increased pension credit.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Cable division revenue of $154.4 million for the second quarter of 2007 represents a 9% increase over 2006 second quarter revenue of $141.1 million; for the first six months of 2007, revenue increased 10% to $303.4 million, from $276.3 million in the same period of 2006. The 2007 revenue increase is due to continued growth in the division’s cable modem and digital revenues, along with revenues from telephone services. The cable division implemented a $3 monthly rate increase for basic video cable service at most of its systems effective February 1, 2006. The Company does not plan to implement an overall basic video cable rate increase in 2007.</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Cable division operating income declined to $32.1 million in the second quarter of 2007, versus $39.9 million in the second quarter of 2006; cable division operating income for the first six months of 2007 declined to $60.1 million, from $65.3 million for the first six months of 2006. The cable division results in the second quarter of 2006 benefited from $10.4 million in insurance recoveries from cable division losses related to Hurricane Katrina. Excluding the insurance recoveries, cable division operating income increased in the second quarter and first six months of 2007 due to the division’s revenue growth, offset by higher depreciation expense and increases in technical and telephony costs.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June 30, 2007, Revenue Generating Units (RGUs) grew 9% due to continued growth in high-speed data subscribers and increases in the basic video and digital video subscriber categories. The cable division began offering telephone service on a very limited basis in the second quarter of 2006; as of June 30, 2007, telephone service is being offered in all or part of systems representing 82% of homes passed. A summary of RGUs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8"/>
        </w:trPr>
        <w:tc>
          <w:tcPr>
            <w:tcW w:w="8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Cable Television Division Subscribers</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696,673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Digital</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220,557</w:t>
            </w:r>
          </w:p>
        </w:tc>
        <w:tc>
          <w:tcPr>
            <w:tcW w:w="860" w:type="dxa"/>
            <w:vAlign w:val="bottom"/>
          </w:tcPr>
          <w:p>
            <w:pPr>
              <w:jc w:val="right"/>
              <w:spacing w:after="0"/>
              <w:rPr>
                <w:sz w:val="20"/>
                <w:szCs w:val="20"/>
                <w:color w:val="auto"/>
              </w:rPr>
            </w:pPr>
            <w:r>
              <w:rPr>
                <w:rFonts w:ascii="Arial" w:cs="Arial" w:eastAsia="Arial" w:hAnsi="Arial"/>
                <w:sz w:val="18"/>
                <w:szCs w:val="18"/>
                <w:color w:val="auto"/>
              </w:rPr>
              <w:t>211,158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316,357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23,990</w:t>
            </w: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1,257,577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Office</w:t>
      </w:r>
    </w:p>
    <w:p>
      <w:pPr>
        <w:spacing w:after="0" w:line="9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corporate office operating expenses decreased to $10.3 million and $19.0 million for the second quarter and first six months of 2007, respectively, from $13.0 million and $22.0 million for the second quarter and first six months of 2006, respectively. The decrease is due to $3.8 million in pre-tax charges recorded in the second quarter of 2006 associated with early retirement plan buyouts at the corporate office.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equity in losses of affiliates for the second quarter of 2007 was $0.1 million, compared to losses of $0.6 million for the second quarter of 2006. For the first six months of 2007, the Company’s equity in earnings of affiliates totaled $8.9 million, compared to losses of $0.7 million for the same period of 2006. In the first quarter of 2007, the equity in earnings of affiliates included a gain of $8.9 million on the sale of land at the Company’s Bowater Mersey Paper Company Limited affiliate. The Company holds a 49% interest in Bowater Mersey Paper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 recorded other non-operating income, net, of $4.3 million for the second quarter of 2007, compared to non-operating income, net, of $33.7 million in the second quarter of 2006. The second quarter 2007 non-operating income, net, includes $3.8 million in foreign currency gains. The second quarter 2006 non-operating income, net, includes $31.6 million in pre-tax gains related to sales of marketable securities and $2.3 million in foreign currency gains.</w:t>
      </w:r>
    </w:p>
    <w:p>
      <w:pPr>
        <w:spacing w:after="0" w:line="8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recorded other non-operating income, net, of $5.1 million for the first six months of 2007, compared to other non-operating income, net, of $33.5 million for the same period of the prior year. The 2007 non-operating income includes $4.6 million in foreign currency gains. The 2006 non-operating income includes pre-tax gains of $31.6 million related to sales of marketable securities and foreign currency gains of $2.9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Interest Expense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incurred net interest expense of $3.5 million and $6.1 million for the second quarter and first six months of 2007, respectively, compared to $3.9 million and $8.6 million for the same periods of 2006. At July 1, 2007, the Company had $405.6 million in borrowings outstanding at an average interest rate of 5.5%.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effective tax rate for the second quarter of 2007 was 45.4%, compared to 38.0% for the second quarter of 2006. As previously discussed, results for the second quarter of 2007 included an additional $15.5 million in income tax expense related to Bowater Mersey, the Company’s 49%-owned affiliate based in Canada. The Company previously recorded 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investment should be recorded at a 35% tax rate. $12.9 million of the expense relates to 2006 and prior years; $2.6 million of the expense relates to the first quarter of 2007. The Company concluded that these charges are not material to the Company’s financial position or results of operations for 2007 and prior years, based on its consideration of quantitative and qualitative factors. Also included in the second quarter of 2007 is a $6.3 million income tax benefit related to a change in certain state income tax laws enacted in the second quarter of 2007. Both of these are non-cash items in the current period, impacting the Company’s long-term net deferred income tax liabilities. Excluding the impact of these items, the effective tax rate for the second quarter of 2007 was 38.0%.</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effective tax rate for the first six months of 2007 was 40.8%, compared to 38.0% for the first six months of 2006. As previously discussed, results for the first six months of 2007 included an additional $12.9 million in income tax expense related to the Company’s Bowater Mersey affiliate and a $6.3 million income tax benefit related to a change in certain state income tax laws enacted in the second quarter of 2007. Excluding the impact of these items, the effective tax rate for the first six months of 2007 was 38.0%.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 w:name="page14"/>
    <w:bookmarkEnd w:id="1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calculation of diluted earnings per share for the second quarter and first six months of 2007 was based on 9,536,132 and 9,542,040 weighted average shares outstanding, respectively, compared to 9,613,269 and 9,609,735, respectively, for the second quarter and first six months of 2006. The Company repurchased 20,506 shares of its Class B common stock at a cost of $15.6 million during the first half of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1,046,773</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969,041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(863,139)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(820,946)</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(4,314)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(1,378)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97,205</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(562)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expense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(6,159)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(6,439)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33,701</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126,016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126,444</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78,744</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stock</w:t>
            </w:r>
          </w:p>
        </w:tc>
        <w:tc>
          <w:tcPr>
            <w:tcW w:w="2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2"/>
        </w:trPr>
        <w:tc>
          <w:tcPr>
            <w:tcW w:w="5680" w:type="dxa"/>
            <w:vAlign w:val="bottom"/>
            <w:gridSpan w:val="2"/>
            <w:vMerge w:val="continue"/>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68,586</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78,499</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9,501,817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9,575,020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9,536,132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9,613,269</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2,032,381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1,917,321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(1,700,571)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(1,581,053)</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(107,509)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(98,537)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(7,046)</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(2,767)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217,255</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234,964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8,948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(12,084)</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(12,698)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225,246</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259,193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133,246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160,693</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133,246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155,618</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132,531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154,882</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16.71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9,507,564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9,572,639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9,542,040</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9,609,735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Year-to-Date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503,487</w:t>
            </w:r>
          </w:p>
        </w:tc>
        <w:tc>
          <w:tcPr>
            <w:tcW w:w="2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409,244</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979,268</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818,178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447,055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87,863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88,970</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168,697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174,884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154,421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141,095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303,396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276,270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1,046,773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969,041</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2,032,381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1,917,321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465,939</w:t>
            </w:r>
          </w:p>
        </w:tc>
        <w:tc>
          <w:tcPr>
            <w:tcW w:w="2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375,356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907,377</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731,645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260,939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472,374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48,379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104,083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96,743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122,324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101,214</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243,280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210,962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921,513</w:t>
            </w: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871,836</w:t>
            </w: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1,815,126</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1,682,357</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17,758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(15,373)</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16,664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12,914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11,214</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10,346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(10,260)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(12,996)</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(18,981)</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(22,028)</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125,260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217,255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9,566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18,810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17,756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54,060</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49,512</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107,509</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98,537</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7,046</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(1,748)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(1,318)</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5,764</w:t>
            </w:r>
          </w:p>
        </w:tc>
        <w:tc>
          <w:tcPr>
            <w:tcW w:w="280" w:type="dxa"/>
            <w:vAlign w:val="bottom"/>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(43,977)</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10,799</w:t>
            </w:r>
          </w:p>
        </w:tc>
        <w:tc>
          <w:tcPr>
            <w:tcW w:w="26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(38,289)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2019-12-13T08:11:27Z</dcterms:created>
  <dcterms:modified xsi:type="dcterms:W3CDTF">2019-12-13T08:11:27Z</dcterms:modified>
</cp:coreProperties>
</file>