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PubMatic,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Graham Holdings Company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3,398,904.00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3,398,904.00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3,398,904.00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reference to #11, the percentage ownership is calculated based upon an aggregate of 38,180,751 shares of Class A common stock outstanding as of April 30, 2026, as reported in PubMatic, Inc.'s Form 10-Q filed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PubMatic,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601 Marshall Street, Redwood City, California, 94063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Graham Holdings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1812 North Moore Street, Suite 2100, Arlington, VA 22209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Graham Holdings Company is incorporated in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3,398,904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3,398,904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3,398,904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Graham Holdings Company</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Nicole Maddrey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Nicole Maddrey, Senior Vice President, Secretary, General Counsel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4034</Characters>
  <CharactersWithSpaces>4803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