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This report (including all exhibits)</w:t>
      </w:r>
    </w:p>
    <w:p>
      <w:pPr>
        <w:spacing w:after="0" w:line="2"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consists of a total of 14 pages, of which this</w:t>
      </w:r>
    </w:p>
    <w:p>
      <w:pPr>
        <w:spacing w:after="0" w:line="2" w:lineRule="exact"/>
        <w:rPr>
          <w:sz w:val="24"/>
          <w:szCs w:val="24"/>
          <w:color w:val="auto"/>
        </w:rPr>
      </w:pPr>
    </w:p>
    <w:p>
      <w:pPr>
        <w:ind w:left="1342"/>
        <w:spacing w:after="0"/>
        <w:tabs>
          <w:tab w:leader="none" w:pos="3122" w:val="left"/>
        </w:tabs>
        <w:rPr>
          <w:sz w:val="20"/>
          <w:szCs w:val="20"/>
          <w:color w:val="auto"/>
        </w:rPr>
      </w:pPr>
      <w:r>
        <w:rPr>
          <w:rFonts w:ascii="Courier New" w:cs="Courier New" w:eastAsia="Courier New" w:hAnsi="Courier New"/>
          <w:sz w:val="16"/>
          <w:szCs w:val="16"/>
          <w:color w:val="auto"/>
        </w:rPr>
        <w:t>page is number 1.</w:t>
      </w:r>
      <w:r>
        <w:rPr>
          <w:sz w:val="20"/>
          <w:szCs w:val="20"/>
          <w:color w:val="auto"/>
        </w:rPr>
        <w:tab/>
      </w:r>
      <w:r>
        <w:rPr>
          <w:rFonts w:ascii="Courier New" w:cs="Courier New" w:eastAsia="Courier New" w:hAnsi="Courier New"/>
          <w:sz w:val="15"/>
          <w:szCs w:val="15"/>
          <w:color w:val="auto"/>
        </w:rPr>
        <w:t>The exhibit index is on page 12.</w:t>
      </w:r>
    </w:p>
    <w:p>
      <w:pPr>
        <w:spacing w:after="0" w:line="369"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762"/>
        <w:spacing w:after="0"/>
        <w:tabs>
          <w:tab w:leader="none" w:pos="4262"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200" w:lineRule="exact"/>
        <w:rPr>
          <w:sz w:val="24"/>
          <w:szCs w:val="24"/>
          <w:color w:val="auto"/>
        </w:rPr>
      </w:pPr>
    </w:p>
    <w:p>
      <w:pPr>
        <w:spacing w:after="0" w:line="35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For the Quarterly</w:t>
      </w:r>
    </w:p>
    <w:p>
      <w:pPr>
        <w:sectPr>
          <w:pgSz w:w="11900" w:h="16838" w:orient="portrait"/>
          <w:cols w:equalWidth="0" w:num="1">
            <w:col w:w="10221"/>
          </w:cols>
          <w:pgMar w:left="238" w:top="237" w:right="1440" w:bottom="1440" w:gutter="0" w:footer="0" w:header="0"/>
        </w:sectPr>
      </w:pP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Period Ended</w:t>
      </w:r>
    </w:p>
    <w:p>
      <w:pPr>
        <w:spacing w:after="0" w:line="20" w:lineRule="exact"/>
        <w:rPr>
          <w:sz w:val="24"/>
          <w:szCs w:val="24"/>
          <w:color w:val="auto"/>
        </w:rPr>
      </w:pPr>
      <w:r>
        <w:rPr>
          <w:sz w:val="24"/>
          <w:szCs w:val="24"/>
          <w:color w:val="auto"/>
        </w:rPr>
        <w:br w:type="column"/>
      </w:r>
    </w:p>
    <w:p>
      <w:pPr>
        <w:ind w:left="660"/>
        <w:spacing w:after="0"/>
        <w:tabs>
          <w:tab w:leader="none" w:pos="2180" w:val="left"/>
        </w:tabs>
        <w:rPr>
          <w:sz w:val="20"/>
          <w:szCs w:val="20"/>
          <w:color w:val="auto"/>
        </w:rPr>
      </w:pPr>
      <w:r>
        <w:rPr>
          <w:rFonts w:ascii="Courier New" w:cs="Courier New" w:eastAsia="Courier New" w:hAnsi="Courier New"/>
          <w:sz w:val="16"/>
          <w:szCs w:val="16"/>
          <w:color w:val="auto"/>
        </w:rPr>
        <w:t>June 30, 1996</w:t>
      </w:r>
      <w:r>
        <w:rPr>
          <w:sz w:val="20"/>
          <w:szCs w:val="20"/>
          <w:color w:val="auto"/>
        </w:rPr>
        <w:tab/>
      </w:r>
      <w:r>
        <w:rPr>
          <w:rFonts w:ascii="Courier New" w:cs="Courier New" w:eastAsia="Courier New" w:hAnsi="Courier New"/>
          <w:sz w:val="15"/>
          <w:szCs w:val="15"/>
          <w:color w:val="auto"/>
        </w:rPr>
        <w:t>Commission File Number 1-6714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1142" w:space="0"/>
            <w:col w:w="9079"/>
          </w:cols>
          <w:pgMar w:left="238" w:top="237" w:right="1440" w:bottom="1440" w:gutter="0" w:footer="0" w:header="0"/>
          <w:type w:val="continuous"/>
        </w:sectPr>
      </w:pPr>
    </w:p>
    <w:p>
      <w:pPr>
        <w:spacing w:after="0" w:line="177"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THE WASHINGTON POST COMPANY</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10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52" w:lineRule="exact"/>
        <w:rPr>
          <w:sz w:val="24"/>
          <w:szCs w:val="24"/>
          <w:color w:val="auto"/>
        </w:rPr>
      </w:pPr>
    </w:p>
    <w:p>
      <w:pPr>
        <w:ind w:left="1802"/>
        <w:spacing w:after="0"/>
        <w:tabs>
          <w:tab w:leader="none" w:pos="4942" w:val="left"/>
        </w:tabs>
        <w:rPr>
          <w:sz w:val="20"/>
          <w:szCs w:val="20"/>
          <w:color w:val="auto"/>
        </w:rPr>
      </w:pPr>
      <w:r>
        <w:rPr>
          <w:rFonts w:ascii="Courier New" w:cs="Courier New" w:eastAsia="Courier New" w:hAnsi="Courier New"/>
          <w:sz w:val="16"/>
          <w:szCs w:val="16"/>
          <w:color w:val="auto"/>
        </w:rPr>
        <w:t>Delaware</w:t>
      </w:r>
      <w:r>
        <w:rPr>
          <w:sz w:val="20"/>
          <w:szCs w:val="20"/>
          <w:color w:val="auto"/>
        </w:rPr>
        <w:tab/>
      </w:r>
      <w:r>
        <w:rPr>
          <w:rFonts w:ascii="Courier New" w:cs="Courier New" w:eastAsia="Courier New" w:hAnsi="Courier New"/>
          <w:sz w:val="15"/>
          <w:szCs w:val="15"/>
          <w:color w:val="auto"/>
        </w:rPr>
        <w:t>53-0182885</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 --------------------------------------------------------------------------------</w:t>
      </w:r>
    </w:p>
    <w:p>
      <w:pPr>
        <w:spacing w:after="0" w:line="11" w:lineRule="exact"/>
        <w:rPr>
          <w:sz w:val="24"/>
          <w:szCs w:val="24"/>
          <w:color w:val="auto"/>
        </w:rPr>
      </w:pPr>
    </w:p>
    <w:p>
      <w:pPr>
        <w:ind w:left="862"/>
        <w:spacing w:after="0"/>
        <w:tabs>
          <w:tab w:leader="none" w:pos="4942" w:val="left"/>
        </w:tabs>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2" w:lineRule="exact"/>
        <w:rPr>
          <w:sz w:val="24"/>
          <w:szCs w:val="24"/>
          <w:color w:val="auto"/>
        </w:rPr>
      </w:pPr>
    </w:p>
    <w:p>
      <w:pPr>
        <w:ind w:left="862"/>
        <w:spacing w:after="0"/>
        <w:tabs>
          <w:tab w:leader="none" w:pos="4942" w:val="left"/>
        </w:tabs>
        <w:rPr>
          <w:sz w:val="20"/>
          <w:szCs w:val="20"/>
          <w:color w:val="auto"/>
        </w:rPr>
      </w:pPr>
      <w:r>
        <w:rPr>
          <w:rFonts w:ascii="Courier New" w:cs="Courier New" w:eastAsia="Courier New" w:hAnsi="Courier New"/>
          <w:sz w:val="16"/>
          <w:szCs w:val="16"/>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69" w:lineRule="exact"/>
        <w:rPr>
          <w:sz w:val="24"/>
          <w:szCs w:val="24"/>
          <w:color w:val="auto"/>
        </w:rPr>
      </w:pPr>
    </w:p>
    <w:p>
      <w:pPr>
        <w:ind w:left="582"/>
        <w:spacing w:after="0"/>
        <w:tabs>
          <w:tab w:leader="none" w:pos="3502" w:val="left"/>
          <w:tab w:leader="none" w:pos="5802" w:val="left"/>
        </w:tabs>
        <w:rPr>
          <w:sz w:val="20"/>
          <w:szCs w:val="20"/>
          <w:color w:val="auto"/>
        </w:rPr>
      </w:pPr>
      <w:r>
        <w:rPr>
          <w:rFonts w:ascii="Courier New" w:cs="Courier New" w:eastAsia="Courier New" w:hAnsi="Courier New"/>
          <w:sz w:val="16"/>
          <w:szCs w:val="16"/>
          <w:color w:val="auto"/>
        </w:rPr>
        <w:t>1150 15th Street, N.W.</w:t>
      </w:r>
      <w:r>
        <w:rPr>
          <w:sz w:val="20"/>
          <w:szCs w:val="20"/>
          <w:color w:val="auto"/>
        </w:rPr>
        <w:tab/>
      </w: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 --------------------------------------------------------------------------------</w:t>
      </w:r>
    </w:p>
    <w:p>
      <w:pPr>
        <w:spacing w:after="0" w:line="11" w:lineRule="exact"/>
        <w:rPr>
          <w:sz w:val="24"/>
          <w:szCs w:val="24"/>
          <w:color w:val="auto"/>
        </w:rPr>
      </w:pPr>
    </w:p>
    <w:p>
      <w:pPr>
        <w:ind w:left="862"/>
        <w:spacing w:after="0"/>
        <w:tabs>
          <w:tab w:leader="none" w:pos="5702"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69" w:lineRule="exact"/>
        <w:rPr>
          <w:sz w:val="24"/>
          <w:szCs w:val="24"/>
          <w:color w:val="auto"/>
        </w:rPr>
      </w:pPr>
    </w:p>
    <w:p>
      <w:pPr>
        <w:ind w:left="3522" w:hanging="566"/>
        <w:spacing w:after="0"/>
        <w:tabs>
          <w:tab w:leader="none" w:pos="352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334-6000</w:t>
      </w:r>
    </w:p>
    <w:p>
      <w:pPr>
        <w:spacing w:after="0" w:line="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0" w:lineRule="exact"/>
        <w:rPr>
          <w:rFonts w:ascii="Courier New" w:cs="Courier New" w:eastAsia="Courier New" w:hAnsi="Courier New"/>
          <w:sz w:val="15"/>
          <w:szCs w:val="15"/>
          <w:color w:val="auto"/>
        </w:rPr>
      </w:pPr>
    </w:p>
    <w:p>
      <w:pPr>
        <w:ind w:left="11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52"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Indicate by check mark</w:t>
            </w:r>
          </w:p>
        </w:tc>
        <w:tc>
          <w:tcPr>
            <w:tcW w:w="2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whether the registrant</w:t>
            </w:r>
          </w:p>
        </w:tc>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(1) has filed all</w:t>
            </w:r>
          </w:p>
        </w:tc>
      </w:tr>
      <w:tr>
        <w:trPr>
          <w:trHeight w:val="183"/>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w w:val="98"/>
              </w:rPr>
              <w:t>reports required to be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filed by</w:t>
            </w:r>
          </w:p>
        </w:tc>
        <w:tc>
          <w:tcPr>
            <w:tcW w:w="2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Section 13 or 15(d) of</w:t>
            </w:r>
          </w:p>
        </w:tc>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the Securities Exchange</w:t>
            </w:r>
          </w:p>
        </w:tc>
      </w:tr>
      <w:tr>
        <w:trPr>
          <w:trHeight w:val="183"/>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w w:val="98"/>
              </w:rPr>
              <w:t>Act of 1934 during the</w:t>
            </w: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preceding 12 months (or for</w:t>
            </w: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such shorter period that the</w:t>
            </w:r>
          </w:p>
        </w:tc>
      </w:tr>
      <w:tr>
        <w:trPr>
          <w:trHeight w:val="18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registrant was required to file</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such reports), and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w w:val="98"/>
              </w:rPr>
              <w:t>has been subject to such</w:t>
            </w:r>
          </w:p>
        </w:tc>
      </w:tr>
      <w:tr>
        <w:trPr>
          <w:trHeight w:val="183"/>
        </w:trPr>
        <w:tc>
          <w:tcPr>
            <w:tcW w:w="4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filing requirements for the past 90 days.  Yes   X</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w w:val="93"/>
              </w:rPr>
              <w:t>No</w:t>
            </w: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r>
      <w:tr>
        <w:trPr>
          <w:trHeight w:val="183"/>
        </w:trPr>
        <w:tc>
          <w:tcPr>
            <w:tcW w:w="2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40" w:type="dxa"/>
            <w:vAlign w:val="bottom"/>
            <w:gridSpan w:val="2"/>
          </w:tcPr>
          <w:p>
            <w:pPr>
              <w:ind w:left="148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820" w:type="dxa"/>
            <w:vAlign w:val="bottom"/>
          </w:tcPr>
          <w:p>
            <w:pPr>
              <w:jc w:val="right"/>
              <w:ind w:right="1081"/>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4820" w:type="dxa"/>
            <w:vAlign w:val="bottom"/>
            <w:gridSpan w:val="3"/>
          </w:tcPr>
          <w:p>
            <w:pPr>
              <w:jc w:val="right"/>
              <w:ind w:right="361"/>
              <w:spacing w:after="0"/>
              <w:rPr>
                <w:sz w:val="20"/>
                <w:szCs w:val="20"/>
                <w:color w:val="auto"/>
              </w:rPr>
            </w:pPr>
            <w:r>
              <w:rPr>
                <w:rFonts w:ascii="Courier New" w:cs="Courier New" w:eastAsia="Courier New" w:hAnsi="Courier New"/>
                <w:sz w:val="16"/>
                <w:szCs w:val="16"/>
                <w:color w:val="auto"/>
              </w:rPr>
              <w:t>Shares outstanding at August 5, 1996:</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7"/>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A Common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1,804,250</w:t>
            </w:r>
          </w:p>
        </w:tc>
        <w:tc>
          <w:tcPr>
            <w:tcW w:w="1820" w:type="dxa"/>
            <w:vAlign w:val="bottom"/>
          </w:tcPr>
          <w:p>
            <w:pPr>
              <w:jc w:val="right"/>
              <w:ind w:right="1081"/>
              <w:spacing w:after="0"/>
              <w:rPr>
                <w:sz w:val="20"/>
                <w:szCs w:val="20"/>
                <w:color w:val="auto"/>
              </w:rPr>
            </w:pPr>
            <w:r>
              <w:rPr>
                <w:rFonts w:ascii="Courier New" w:cs="Courier New" w:eastAsia="Courier New" w:hAnsi="Courier New"/>
                <w:sz w:val="16"/>
                <w:szCs w:val="16"/>
                <w:color w:val="auto"/>
              </w:rPr>
              <w:t>Shares</w:t>
            </w:r>
          </w:p>
        </w:tc>
      </w:tr>
      <w:tr>
        <w:trPr>
          <w:trHeight w:val="183"/>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B Common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9,149,783</w:t>
            </w:r>
          </w:p>
        </w:tc>
        <w:tc>
          <w:tcPr>
            <w:tcW w:w="1820" w:type="dxa"/>
            <w:vAlign w:val="bottom"/>
          </w:tcPr>
          <w:p>
            <w:pPr>
              <w:jc w:val="right"/>
              <w:ind w:right="1081"/>
              <w:spacing w:after="0"/>
              <w:rPr>
                <w:sz w:val="20"/>
                <w:szCs w:val="20"/>
                <w:color w:val="auto"/>
              </w:rPr>
            </w:pPr>
            <w:r>
              <w:rPr>
                <w:rFonts w:ascii="Courier New" w:cs="Courier New" w:eastAsia="Courier New" w:hAnsi="Courier New"/>
                <w:sz w:val="16"/>
                <w:szCs w:val="16"/>
                <w:color w:val="auto"/>
              </w:rPr>
              <w:t>Shares</w:t>
            </w:r>
          </w:p>
        </w:tc>
      </w:tr>
    </w:tbl>
    <w:p>
      <w:pPr>
        <w:sectPr>
          <w:pgSz w:w="11900" w:h="16838" w:orient="portrait"/>
          <w:cols w:equalWidth="0" w:num="1">
            <w:col w:w="10221"/>
          </w:cols>
          <w:pgMar w:left="238" w:top="237"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140" w:type="dxa"/>
            <w:vAlign w:val="bottom"/>
          </w:tcPr>
          <w:p>
            <w:pPr>
              <w:ind w:left="620"/>
              <w:spacing w:after="0"/>
              <w:rPr>
                <w:sz w:val="20"/>
                <w:szCs w:val="20"/>
                <w:color w:val="auto"/>
              </w:rPr>
            </w:pPr>
            <w:r>
              <w:rPr>
                <w:rFonts w:ascii="Courier New" w:cs="Courier New" w:eastAsia="Courier New" w:hAnsi="Courier New"/>
                <w:sz w:val="16"/>
                <w:szCs w:val="16"/>
                <w:color w:val="auto"/>
              </w:rPr>
              <w:t>THE WASHINGTON POST COMPANY</w:t>
            </w:r>
          </w:p>
        </w:tc>
        <w:tc>
          <w:tcPr>
            <w:tcW w:w="440" w:type="dxa"/>
            <w:vAlign w:val="bottom"/>
          </w:tcPr>
          <w:p>
            <w:pPr>
              <w:spacing w:after="0"/>
              <w:rPr>
                <w:sz w:val="15"/>
                <w:szCs w:val="15"/>
                <w:color w:val="auto"/>
              </w:rPr>
            </w:pPr>
          </w:p>
        </w:tc>
      </w:tr>
      <w:tr>
        <w:trPr>
          <w:trHeight w:val="367"/>
        </w:trPr>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40" w:type="dxa"/>
            <w:vAlign w:val="bottom"/>
          </w:tcPr>
          <w:p>
            <w:pPr>
              <w:ind w:left="1100"/>
              <w:spacing w:after="0"/>
              <w:rPr>
                <w:sz w:val="20"/>
                <w:szCs w:val="20"/>
                <w:color w:val="auto"/>
              </w:rPr>
            </w:pPr>
            <w:r>
              <w:rPr>
                <w:rFonts w:ascii="Courier New" w:cs="Courier New" w:eastAsia="Courier New" w:hAnsi="Courier New"/>
                <w:sz w:val="16"/>
                <w:szCs w:val="16"/>
                <w:color w:val="auto"/>
              </w:rPr>
              <w:t>INDEX TO FORM 10-Q</w:t>
            </w:r>
          </w:p>
        </w:tc>
        <w:tc>
          <w:tcPr>
            <w:tcW w:w="440" w:type="dxa"/>
            <w:vAlign w:val="bottom"/>
          </w:tcPr>
          <w:p>
            <w:pPr>
              <w:spacing w:after="0"/>
              <w:rPr>
                <w:sz w:val="24"/>
                <w:szCs w:val="24"/>
                <w:color w:val="auto"/>
              </w:rPr>
            </w:pPr>
          </w:p>
        </w:tc>
      </w:tr>
      <w:tr>
        <w:trPr>
          <w:trHeight w:val="734"/>
        </w:trPr>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PAGE</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FINANCIAL</w:t>
            </w:r>
          </w:p>
        </w:tc>
        <w:tc>
          <w:tcPr>
            <w:tcW w:w="5140" w:type="dxa"/>
            <w:vAlign w:val="bottom"/>
          </w:tcPr>
          <w:p>
            <w:pPr>
              <w:ind w:left="40"/>
              <w:spacing w:after="0"/>
              <w:rPr>
                <w:sz w:val="20"/>
                <w:szCs w:val="20"/>
                <w:color w:val="auto"/>
              </w:rPr>
            </w:pPr>
            <w:r>
              <w:rPr>
                <w:rFonts w:ascii="Courier New" w:cs="Courier New" w:eastAsia="Courier New" w:hAnsi="Courier New"/>
                <w:sz w:val="16"/>
                <w:szCs w:val="16"/>
                <w:color w:val="auto"/>
              </w:rPr>
              <w:t>INFORMATION</w:t>
            </w:r>
          </w:p>
        </w:tc>
        <w:tc>
          <w:tcPr>
            <w:tcW w:w="440" w:type="dxa"/>
            <w:vAlign w:val="bottom"/>
          </w:tcPr>
          <w:p>
            <w:pPr>
              <w:spacing w:after="0"/>
              <w:rPr>
                <w:sz w:val="15"/>
                <w:szCs w:val="15"/>
                <w:color w:val="auto"/>
              </w:rPr>
            </w:pP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Financial</w:t>
            </w:r>
          </w:p>
        </w:tc>
        <w:tc>
          <w:tcPr>
            <w:tcW w:w="5140" w:type="dxa"/>
            <w:vAlign w:val="bottom"/>
          </w:tcPr>
          <w:p>
            <w:pPr>
              <w:ind w:left="40"/>
              <w:spacing w:after="0"/>
              <w:rPr>
                <w:sz w:val="20"/>
                <w:szCs w:val="20"/>
                <w:color w:val="auto"/>
              </w:rPr>
            </w:pPr>
            <w:r>
              <w:rPr>
                <w:rFonts w:ascii="Courier New" w:cs="Courier New" w:eastAsia="Courier New" w:hAnsi="Courier New"/>
                <w:sz w:val="16"/>
                <w:szCs w:val="16"/>
                <w:color w:val="auto"/>
              </w:rPr>
              <w:t>Statements</w:t>
            </w:r>
          </w:p>
        </w:tc>
        <w:tc>
          <w:tcPr>
            <w:tcW w:w="440" w:type="dxa"/>
            <w:vAlign w:val="bottom"/>
          </w:tcPr>
          <w:p>
            <w:pPr>
              <w:spacing w:after="0"/>
              <w:rPr>
                <w:sz w:val="24"/>
                <w:szCs w:val="24"/>
                <w:color w:val="auto"/>
              </w:rPr>
            </w:pPr>
          </w:p>
        </w:tc>
      </w:tr>
      <w:tr>
        <w:trPr>
          <w:trHeight w:val="367"/>
        </w:trPr>
        <w:tc>
          <w:tcPr>
            <w:tcW w:w="8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Condensed</w:t>
            </w:r>
          </w:p>
        </w:tc>
        <w:tc>
          <w:tcPr>
            <w:tcW w:w="514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Income</w:t>
            </w:r>
          </w:p>
        </w:tc>
        <w:tc>
          <w:tcPr>
            <w:tcW w:w="44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61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(Unaudited) for the Thirteen and Twenty-six</w:t>
            </w:r>
          </w:p>
        </w:tc>
        <w:tc>
          <w:tcPr>
            <w:tcW w:w="44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61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Weeks Ended June 30, 1996 and</w:t>
            </w:r>
          </w:p>
        </w:tc>
        <w:tc>
          <w:tcPr>
            <w:tcW w:w="44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1000" w:type="dxa"/>
            <w:vAlign w:val="bottom"/>
          </w:tcPr>
          <w:p>
            <w:pPr>
              <w:ind w:left="560"/>
              <w:spacing w:after="0"/>
              <w:rPr>
                <w:sz w:val="20"/>
                <w:szCs w:val="20"/>
                <w:color w:val="auto"/>
              </w:rPr>
            </w:pPr>
            <w:r>
              <w:rPr>
                <w:rFonts w:ascii="Courier New" w:cs="Courier New" w:eastAsia="Courier New" w:hAnsi="Courier New"/>
                <w:sz w:val="16"/>
                <w:szCs w:val="16"/>
                <w:color w:val="auto"/>
              </w:rPr>
              <w:t>July</w:t>
            </w:r>
          </w:p>
        </w:tc>
        <w:tc>
          <w:tcPr>
            <w:tcW w:w="5140" w:type="dxa"/>
            <w:vAlign w:val="bottom"/>
          </w:tcPr>
          <w:p>
            <w:pPr>
              <w:ind w:left="40"/>
              <w:spacing w:after="0"/>
              <w:rPr>
                <w:sz w:val="20"/>
                <w:szCs w:val="20"/>
                <w:color w:val="auto"/>
              </w:rPr>
            </w:pPr>
            <w:r>
              <w:rPr>
                <w:rFonts w:ascii="Courier New" w:cs="Courier New" w:eastAsia="Courier New" w:hAnsi="Courier New"/>
                <w:sz w:val="16"/>
                <w:szCs w:val="16"/>
                <w:color w:val="auto"/>
                <w:w w:val="99"/>
              </w:rPr>
              <w:t>2, 1995 . . . . . . . . . . . . . . . . . . . . . . .</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  3</w:t>
            </w:r>
          </w:p>
        </w:tc>
      </w:tr>
      <w:tr>
        <w:trPr>
          <w:trHeight w:val="367"/>
        </w:trPr>
        <w:tc>
          <w:tcPr>
            <w:tcW w:w="8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Condensed</w:t>
            </w:r>
          </w:p>
        </w:tc>
        <w:tc>
          <w:tcPr>
            <w:tcW w:w="5140" w:type="dxa"/>
            <w:vAlign w:val="bottom"/>
          </w:tcPr>
          <w:p>
            <w:pPr>
              <w:ind w:left="40"/>
              <w:spacing w:after="0"/>
              <w:rPr>
                <w:sz w:val="20"/>
                <w:szCs w:val="20"/>
                <w:color w:val="auto"/>
              </w:rPr>
            </w:pPr>
            <w:r>
              <w:rPr>
                <w:rFonts w:ascii="Courier New" w:cs="Courier New" w:eastAsia="Courier New" w:hAnsi="Courier New"/>
                <w:sz w:val="16"/>
                <w:szCs w:val="16"/>
                <w:color w:val="auto"/>
              </w:rPr>
              <w:t>Consolidated Balance Sheets (Unaudited)</w:t>
            </w:r>
          </w:p>
        </w:tc>
        <w:tc>
          <w:tcPr>
            <w:tcW w:w="44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614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at June 30, 1996 and December 31, 1995 . . . . . . . . . .</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  4</w:t>
            </w:r>
          </w:p>
        </w:tc>
      </w:tr>
      <w:tr>
        <w:trPr>
          <w:trHeight w:val="367"/>
        </w:trPr>
        <w:tc>
          <w:tcPr>
            <w:tcW w:w="86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Condensed</w:t>
            </w:r>
          </w:p>
        </w:tc>
        <w:tc>
          <w:tcPr>
            <w:tcW w:w="514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Cash Flows</w:t>
            </w:r>
          </w:p>
        </w:tc>
        <w:tc>
          <w:tcPr>
            <w:tcW w:w="44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61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(Unaudited) for the Twenty-six Weeks Ended</w:t>
            </w:r>
          </w:p>
        </w:tc>
        <w:tc>
          <w:tcPr>
            <w:tcW w:w="440" w:type="dxa"/>
            <w:vAlign w:val="bottom"/>
          </w:tcPr>
          <w:p>
            <w:pPr>
              <w:spacing w:after="0"/>
              <w:rPr>
                <w:sz w:val="15"/>
                <w:szCs w:val="15"/>
                <w:color w:val="auto"/>
              </w:rPr>
            </w:pPr>
          </w:p>
        </w:tc>
      </w:tr>
      <w:tr>
        <w:trPr>
          <w:trHeight w:val="183"/>
        </w:trPr>
        <w:tc>
          <w:tcPr>
            <w:tcW w:w="860" w:type="dxa"/>
            <w:vAlign w:val="bottom"/>
          </w:tcPr>
          <w:p>
            <w:pPr>
              <w:spacing w:after="0"/>
              <w:rPr>
                <w:sz w:val="15"/>
                <w:szCs w:val="15"/>
                <w:color w:val="auto"/>
              </w:rPr>
            </w:pPr>
          </w:p>
        </w:tc>
        <w:tc>
          <w:tcPr>
            <w:tcW w:w="1000" w:type="dxa"/>
            <w:vAlign w:val="bottom"/>
          </w:tcPr>
          <w:p>
            <w:pPr>
              <w:ind w:left="560"/>
              <w:spacing w:after="0"/>
              <w:rPr>
                <w:sz w:val="20"/>
                <w:szCs w:val="20"/>
                <w:color w:val="auto"/>
              </w:rPr>
            </w:pPr>
            <w:r>
              <w:rPr>
                <w:rFonts w:ascii="Courier New" w:cs="Courier New" w:eastAsia="Courier New" w:hAnsi="Courier New"/>
                <w:sz w:val="16"/>
                <w:szCs w:val="16"/>
                <w:color w:val="auto"/>
              </w:rPr>
              <w:t>June</w:t>
            </w:r>
          </w:p>
        </w:tc>
        <w:tc>
          <w:tcPr>
            <w:tcW w:w="5140" w:type="dxa"/>
            <w:vAlign w:val="bottom"/>
          </w:tcPr>
          <w:p>
            <w:pPr>
              <w:ind w:left="40"/>
              <w:spacing w:after="0"/>
              <w:rPr>
                <w:sz w:val="20"/>
                <w:szCs w:val="20"/>
                <w:color w:val="auto"/>
              </w:rPr>
            </w:pPr>
            <w:r>
              <w:rPr>
                <w:rFonts w:ascii="Courier New" w:cs="Courier New" w:eastAsia="Courier New" w:hAnsi="Courier New"/>
                <w:sz w:val="16"/>
                <w:szCs w:val="16"/>
                <w:color w:val="auto"/>
                <w:w w:val="99"/>
              </w:rPr>
              <w:t>30, 1996 and July 2, 1995 . . . . . . . . . . . . . .</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  5</w:t>
            </w:r>
          </w:p>
        </w:tc>
      </w:tr>
      <w:tr>
        <w:trPr>
          <w:trHeight w:val="367"/>
        </w:trPr>
        <w:tc>
          <w:tcPr>
            <w:tcW w:w="860" w:type="dxa"/>
            <w:vAlign w:val="bottom"/>
          </w:tcPr>
          <w:p>
            <w:pPr>
              <w:spacing w:after="0"/>
              <w:rPr>
                <w:sz w:val="24"/>
                <w:szCs w:val="24"/>
                <w:color w:val="auto"/>
              </w:rPr>
            </w:pPr>
          </w:p>
        </w:tc>
        <w:tc>
          <w:tcPr>
            <w:tcW w:w="6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44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614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(Unaudited)  . . . . . . . . . . . . . . . . . . . . . . .</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  6</w:t>
            </w: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Management's Discussion and Analysis of Results of</w:t>
            </w:r>
          </w:p>
        </w:tc>
        <w:tc>
          <w:tcPr>
            <w:tcW w:w="44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614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Operations and Financial Condition . . . . . . . . . . . .</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  7</w:t>
            </w: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INFORMATION</w:t>
            </w:r>
          </w:p>
        </w:tc>
        <w:tc>
          <w:tcPr>
            <w:tcW w:w="440" w:type="dxa"/>
            <w:vAlign w:val="bottom"/>
          </w:tcPr>
          <w:p>
            <w:pPr>
              <w:spacing w:after="0"/>
              <w:rPr>
                <w:sz w:val="24"/>
                <w:szCs w:val="24"/>
                <w:color w:val="auto"/>
              </w:rPr>
            </w:pP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61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Exhibits and Reports on Form 8-K  . . . . . . . . . . . . . . .</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 12</w:t>
            </w:r>
          </w:p>
        </w:tc>
      </w:tr>
    </w:tbl>
    <w:p>
      <w:pPr>
        <w:spacing w:after="0" w:line="18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5"/>
          <w:szCs w:val="15"/>
          <w:color w:val="auto"/>
        </w:rPr>
        <w:t>. . . . . . . . . . . . . . . . . . . . . . . . . . . . . . . . 13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27 (Electronic Filing Only)</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jc w:val="right"/>
              <w:ind w:right="1081"/>
              <w:spacing w:after="0"/>
              <w:rPr>
                <w:sz w:val="20"/>
                <w:szCs w:val="20"/>
                <w:color w:val="auto"/>
              </w:rPr>
            </w:pPr>
            <w:r>
              <w:rPr>
                <w:rFonts w:ascii="Courier New" w:cs="Courier New" w:eastAsia="Courier New" w:hAnsi="Courier New"/>
                <w:sz w:val="16"/>
                <w:szCs w:val="16"/>
                <w:color w:val="auto"/>
              </w:rPr>
              <w:t>3.</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424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424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 (Unaudited)</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734"/>
        </w:trPr>
        <w:tc>
          <w:tcPr>
            <w:tcW w:w="8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Thirteen Weeks Ended</w:t>
            </w:r>
          </w:p>
        </w:tc>
        <w:tc>
          <w:tcPr>
            <w:tcW w:w="274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Twenty-six Weeks Ended</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68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June 30,</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July 2,</w:t>
            </w:r>
          </w:p>
        </w:tc>
        <w:tc>
          <w:tcPr>
            <w:tcW w:w="156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June 30,</w:t>
            </w:r>
          </w:p>
        </w:tc>
        <w:tc>
          <w:tcPr>
            <w:tcW w:w="11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July 2,</w:t>
            </w:r>
          </w:p>
        </w:tc>
      </w:tr>
      <w:tr>
        <w:trPr>
          <w:trHeight w:val="183"/>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9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16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1995</w:t>
            </w:r>
          </w:p>
        </w:tc>
        <w:tc>
          <w:tcPr>
            <w:tcW w:w="56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1996</w:t>
            </w:r>
          </w:p>
        </w:tc>
        <w:tc>
          <w:tcPr>
            <w:tcW w:w="540" w:type="dxa"/>
            <w:vAlign w:val="bottom"/>
          </w:tcPr>
          <w:p>
            <w:pPr>
              <w:spacing w:after="0"/>
              <w:rPr>
                <w:sz w:val="15"/>
                <w:szCs w:val="15"/>
                <w:color w:val="auto"/>
              </w:rPr>
            </w:pPr>
          </w:p>
        </w:tc>
        <w:tc>
          <w:tcPr>
            <w:tcW w:w="640" w:type="dxa"/>
            <w:vAlign w:val="bottom"/>
          </w:tcPr>
          <w:p>
            <w:pPr>
              <w:jc w:val="right"/>
              <w:ind w:right="181"/>
              <w:spacing w:after="0"/>
              <w:rPr>
                <w:sz w:val="20"/>
                <w:szCs w:val="20"/>
                <w:color w:val="auto"/>
              </w:rPr>
            </w:pPr>
            <w:r>
              <w:rPr>
                <w:rFonts w:ascii="Courier New" w:cs="Courier New" w:eastAsia="Courier New" w:hAnsi="Courier New"/>
                <w:sz w:val="16"/>
                <w:szCs w:val="16"/>
                <w:color w:val="auto"/>
                <w:w w:val="93"/>
              </w:rPr>
              <w:t>1995</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Advertising</w:t>
            </w:r>
          </w:p>
        </w:tc>
        <w:tc>
          <w:tcPr>
            <w:tcW w:w="20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$310,459</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$284,954</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$563,266</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$537,163</w:t>
            </w: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Circulation and subscriber</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121,488</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114,079</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238,559</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222,546</w:t>
            </w:r>
          </w:p>
        </w:tc>
      </w:tr>
      <w:tr>
        <w:trPr>
          <w:trHeight w:val="183"/>
        </w:trPr>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40,905</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37,961</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87,646</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78,836</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8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472,852</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436,994</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889,471</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838,545</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253,639</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226,879</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496,121</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448,037</w:t>
            </w: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100,562</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106,053</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201,354</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204,066</w:t>
            </w: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 amortization of</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property, plant and equipment</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16,004</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16,370</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32,164</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32,744</w:t>
            </w: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intangibles</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7,162</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8,956</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14,147</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16,629</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377,367</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358,258</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743,786</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701,476</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95,485</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78,736</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145,685</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137,069</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Equity in earnings of affiliates</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7,807</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8,858</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15,160</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9,630</w:t>
            </w: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1,175</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2,032</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2,399</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4,366</w:t>
            </w: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90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(139)</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(1,368)</w:t>
            </w:r>
          </w:p>
        </w:tc>
        <w:tc>
          <w:tcPr>
            <w:tcW w:w="56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(1,222)</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(2,799)</w:t>
            </w:r>
          </w:p>
        </w:tc>
      </w:tr>
      <w:tr>
        <w:trPr>
          <w:trHeight w:val="183"/>
        </w:trPr>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(689)</w:t>
            </w:r>
          </w:p>
        </w:tc>
        <w:tc>
          <w:tcPr>
            <w:tcW w:w="16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(869)</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2,178</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13,526</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900" w:type="dxa"/>
            <w:vAlign w:val="bottom"/>
          </w:tcPr>
          <w:p>
            <w:pPr>
              <w:spacing w:after="0"/>
              <w:rPr>
                <w:sz w:val="24"/>
                <w:szCs w:val="24"/>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103,639</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87,389</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164,200</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161,792</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860" w:type="dxa"/>
            <w:vAlign w:val="bottom"/>
          </w:tcPr>
          <w:p>
            <w:pPr>
              <w:ind w:left="180"/>
              <w:spacing w:after="0"/>
              <w:rPr>
                <w:sz w:val="20"/>
                <w:szCs w:val="20"/>
                <w:color w:val="auto"/>
              </w:rPr>
            </w:pPr>
            <w:r>
              <w:rPr>
                <w:rFonts w:ascii="Courier New" w:cs="Courier New" w:eastAsia="Courier New" w:hAnsi="Courier New"/>
                <w:sz w:val="16"/>
                <w:szCs w:val="16"/>
                <w:color w:val="auto"/>
                <w:w w:val="98"/>
              </w:rPr>
              <w:t>Current</w:t>
            </w: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39,243</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35,844</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61,586</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64,343</w:t>
            </w:r>
          </w:p>
        </w:tc>
      </w:tr>
      <w:tr>
        <w:trPr>
          <w:trHeight w:val="183"/>
        </w:trPr>
        <w:tc>
          <w:tcPr>
            <w:tcW w:w="5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Deferred</w:t>
            </w: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1,178</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2,454</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2,037</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40,421</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35,875</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64,040</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66,380</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900" w:type="dxa"/>
            <w:vAlign w:val="bottom"/>
          </w:tcPr>
          <w:p>
            <w:pPr>
              <w:spacing w:after="0"/>
              <w:rPr>
                <w:sz w:val="24"/>
                <w:szCs w:val="24"/>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63,218</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51,514</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100,160</w:t>
            </w:r>
          </w:p>
        </w:tc>
        <w:tc>
          <w:tcPr>
            <w:tcW w:w="5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95,412</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Redeemable preferred stock dividends</w:t>
            </w:r>
          </w:p>
        </w:tc>
        <w:tc>
          <w:tcPr>
            <w:tcW w:w="900" w:type="dxa"/>
            <w:vAlign w:val="bottom"/>
          </w:tcPr>
          <w:p>
            <w:pPr>
              <w:spacing w:after="0"/>
              <w:rPr>
                <w:sz w:val="24"/>
                <w:szCs w:val="24"/>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24"/>
                <w:szCs w:val="24"/>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(202)</w:t>
            </w:r>
          </w:p>
        </w:tc>
        <w:tc>
          <w:tcPr>
            <w:tcW w:w="5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Net income available for common stock</w:t>
            </w:r>
          </w:p>
        </w:tc>
        <w:tc>
          <w:tcPr>
            <w:tcW w:w="900" w:type="dxa"/>
            <w:vAlign w:val="bottom"/>
          </w:tcPr>
          <w:p>
            <w:pPr>
              <w:spacing w:after="0"/>
              <w:rPr>
                <w:sz w:val="24"/>
                <w:szCs w:val="24"/>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$63,218</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$51,514</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$99,958</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$95,412</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common share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5.76</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4.65</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9.09</w:t>
            </w: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8.56</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common share</w:t>
            </w:r>
          </w:p>
        </w:tc>
        <w:tc>
          <w:tcPr>
            <w:tcW w:w="900" w:type="dxa"/>
            <w:vAlign w:val="bottom"/>
          </w:tcPr>
          <w:p>
            <w:pPr>
              <w:spacing w:after="0"/>
              <w:rPr>
                <w:sz w:val="24"/>
                <w:szCs w:val="24"/>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ind w:left="46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2.30</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2.20</w:t>
            </w:r>
          </w:p>
        </w:tc>
      </w:tr>
      <w:tr>
        <w:trPr>
          <w:trHeight w:val="18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8"/>
              </w:rPr>
              <w:t>=======</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5"/>
                <w:szCs w:val="15"/>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w:t>
            </w:r>
          </w:p>
        </w:tc>
      </w:tr>
      <w:tr>
        <w:trPr>
          <w:trHeight w:val="367"/>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common shares outstanding</w:t>
            </w:r>
          </w:p>
        </w:tc>
        <w:tc>
          <w:tcPr>
            <w:tcW w:w="900" w:type="dxa"/>
            <w:vAlign w:val="bottom"/>
          </w:tcPr>
          <w:p>
            <w:pPr>
              <w:spacing w:after="0"/>
              <w:rPr>
                <w:sz w:val="24"/>
                <w:szCs w:val="24"/>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10,970</w:t>
            </w:r>
          </w:p>
        </w:tc>
        <w:tc>
          <w:tcPr>
            <w:tcW w:w="16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11,084</w:t>
            </w:r>
          </w:p>
        </w:tc>
        <w:tc>
          <w:tcPr>
            <w:tcW w:w="560" w:type="dxa"/>
            <w:vAlign w:val="bottom"/>
          </w:tcPr>
          <w:p>
            <w:pPr>
              <w:spacing w:after="0"/>
              <w:rPr>
                <w:sz w:val="24"/>
                <w:szCs w:val="24"/>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10,998</w:t>
            </w:r>
          </w:p>
        </w:tc>
        <w:tc>
          <w:tcPr>
            <w:tcW w:w="5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11,152</w:t>
            </w:r>
          </w:p>
        </w:tc>
      </w:tr>
    </w:tbl>
    <w:p>
      <w:pPr>
        <w:sectPr>
          <w:pgSz w:w="11900" w:h="16838" w:orient="portrait"/>
          <w:cols w:equalWidth="0" w:num="1">
            <w:col w:w="11520"/>
          </w:cols>
          <w:pgMar w:left="240" w:top="298"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1760" w:type="dxa"/>
            <w:vAlign w:val="bottom"/>
          </w:tcPr>
          <w:p>
            <w:pPr>
              <w:ind w:left="1380"/>
              <w:spacing w:after="0"/>
              <w:rPr>
                <w:sz w:val="20"/>
                <w:szCs w:val="20"/>
                <w:color w:val="auto"/>
              </w:rPr>
            </w:pPr>
            <w:r>
              <w:rPr>
                <w:rFonts w:ascii="Courier New" w:cs="Courier New" w:eastAsia="Courier New" w:hAnsi="Courier New"/>
                <w:sz w:val="16"/>
                <w:szCs w:val="16"/>
                <w:color w:val="auto"/>
              </w:rPr>
              <w:t>4.</w:t>
            </w: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Consolidated Balance Sheets (Unaudited)</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4"/>
        </w:trPr>
        <w:tc>
          <w:tcPr>
            <w:tcW w:w="6060" w:type="dxa"/>
            <w:vAlign w:val="bottom"/>
          </w:tcPr>
          <w:p>
            <w:pPr>
              <w:spacing w:after="0"/>
              <w:rPr>
                <w:sz w:val="24"/>
                <w:szCs w:val="24"/>
                <w:color w:val="auto"/>
              </w:rPr>
            </w:pPr>
          </w:p>
        </w:tc>
        <w:tc>
          <w:tcPr>
            <w:tcW w:w="31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June 30,</w:t>
            </w:r>
          </w:p>
        </w:tc>
        <w:tc>
          <w:tcPr>
            <w:tcW w:w="17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100" w:type="dxa"/>
            <w:vAlign w:val="bottom"/>
            <w:gridSpan w:val="2"/>
          </w:tcPr>
          <w:p>
            <w:pPr>
              <w:ind w:left="1660"/>
              <w:spacing w:after="0"/>
              <w:rPr>
                <w:sz w:val="20"/>
                <w:szCs w:val="20"/>
                <w:color w:val="auto"/>
              </w:rPr>
            </w:pPr>
            <w:r>
              <w:rPr>
                <w:rFonts w:ascii="Courier New" w:cs="Courier New" w:eastAsia="Courier New" w:hAnsi="Courier New"/>
                <w:sz w:val="16"/>
                <w:szCs w:val="16"/>
                <w:color w:val="auto"/>
              </w:rPr>
              <w:t>1996</w:t>
            </w:r>
          </w:p>
        </w:tc>
        <w:tc>
          <w:tcPr>
            <w:tcW w:w="76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3"/>
              </w:rPr>
              <w:t>1995</w:t>
            </w:r>
          </w:p>
        </w:tc>
      </w:tr>
      <w:tr>
        <w:trPr>
          <w:trHeight w:val="183"/>
        </w:trPr>
        <w:tc>
          <w:tcPr>
            <w:tcW w:w="6060" w:type="dxa"/>
            <w:vAlign w:val="bottom"/>
          </w:tcPr>
          <w:p>
            <w:pPr>
              <w:spacing w:after="0"/>
              <w:rPr>
                <w:sz w:val="15"/>
                <w:szCs w:val="15"/>
                <w:color w:val="auto"/>
              </w:rPr>
            </w:pPr>
          </w:p>
        </w:tc>
        <w:tc>
          <w:tcPr>
            <w:tcW w:w="31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760" w:type="dxa"/>
            <w:vAlign w:val="bottom"/>
          </w:tcPr>
          <w:p>
            <w:pPr>
              <w:ind w:left="166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101,664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146,901</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Marketable securities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12,756</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estimated returns,</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doubtful accounts and allowances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232,468</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200,698</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24,531</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26,766</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22,221</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19,449</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380,884</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406,570</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1760" w:type="dxa"/>
            <w:vAlign w:val="bottom"/>
          </w:tcPr>
          <w:p>
            <w:pPr>
              <w:spacing w:after="0"/>
              <w:rPr>
                <w:sz w:val="24"/>
                <w:szCs w:val="24"/>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198,683</w:t>
            </w:r>
          </w:p>
        </w:tc>
        <w:tc>
          <w:tcPr>
            <w:tcW w:w="76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189,053</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Buildings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197,859</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190,543</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Machinery, equipment and fixtures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692,243</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664,403</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34,326</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33,805</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924,428</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888,751</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7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(566,918)</w:t>
            </w:r>
          </w:p>
        </w:tc>
        <w:tc>
          <w:tcPr>
            <w:tcW w:w="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(535,691)</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357,510</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353,060</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Land</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34,350</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32,513</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Construction in progress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78,259</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71,786</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470,119</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457,359</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amortization</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522,488</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472,291</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1760" w:type="dxa"/>
            <w:vAlign w:val="bottom"/>
          </w:tcPr>
          <w:p>
            <w:pPr>
              <w:spacing w:after="0"/>
              <w:rPr>
                <w:sz w:val="24"/>
                <w:szCs w:val="24"/>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213,495</w:t>
            </w:r>
          </w:p>
        </w:tc>
        <w:tc>
          <w:tcPr>
            <w:tcW w:w="76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207,620</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ind w:left="166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1,785,669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1,732,893</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760" w:type="dxa"/>
            <w:vAlign w:val="bottom"/>
          </w:tcPr>
          <w:p>
            <w:pPr>
              <w:ind w:left="166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191,982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172,004</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Federal and state income taxes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2,900</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3,494</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Deferred subscription revenue</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81,594</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82,457</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Current portion of long-term debt</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50,222</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276,476</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308,177</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760" w:type="dxa"/>
            <w:vAlign w:val="bottom"/>
          </w:tcPr>
          <w:p>
            <w:pPr>
              <w:spacing w:after="0"/>
              <w:rPr>
                <w:sz w:val="24"/>
                <w:szCs w:val="24"/>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213,926</w:t>
            </w:r>
          </w:p>
        </w:tc>
        <w:tc>
          <w:tcPr>
            <w:tcW w:w="76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205,869</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760" w:type="dxa"/>
            <w:vAlign w:val="bottom"/>
          </w:tcPr>
          <w:p>
            <w:pPr>
              <w:spacing w:after="0"/>
              <w:rPr>
                <w:sz w:val="24"/>
                <w:szCs w:val="24"/>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37,037</w:t>
            </w:r>
          </w:p>
        </w:tc>
        <w:tc>
          <w:tcPr>
            <w:tcW w:w="76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34,643</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527,439</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548,689</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Redeemable preferred stock</w:t>
            </w:r>
          </w:p>
        </w:tc>
        <w:tc>
          <w:tcPr>
            <w:tcW w:w="1760" w:type="dxa"/>
            <w:vAlign w:val="bottom"/>
          </w:tcPr>
          <w:p>
            <w:pPr>
              <w:spacing w:after="0"/>
              <w:rPr>
                <w:sz w:val="24"/>
                <w:szCs w:val="24"/>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11,947</w:t>
            </w:r>
          </w:p>
        </w:tc>
        <w:tc>
          <w:tcPr>
            <w:tcW w:w="76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Common shareholders' equity</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20,000</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20,000</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25,382</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24,941</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1,907,385</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1,832,706</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 available-for-sale</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3,138</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3,224</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060" w:type="dxa"/>
            <w:vAlign w:val="bottom"/>
          </w:tcPr>
          <w:p>
            <w:pPr>
              <w:ind w:left="580"/>
              <w:spacing w:after="0"/>
              <w:rPr>
                <w:sz w:val="20"/>
                <w:szCs w:val="20"/>
                <w:color w:val="auto"/>
              </w:rPr>
            </w:pPr>
            <w:r>
              <w:rPr>
                <w:rFonts w:ascii="Courier New" w:cs="Courier New" w:eastAsia="Courier New" w:hAnsi="Courier New"/>
                <w:sz w:val="16"/>
                <w:szCs w:val="16"/>
                <w:color w:val="auto"/>
              </w:rPr>
              <w:t>adjustment</w:t>
            </w: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5,364</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5,537</w:t>
            </w:r>
          </w:p>
        </w:tc>
      </w:tr>
      <w:tr>
        <w:trPr>
          <w:trHeight w:val="183"/>
        </w:trPr>
        <w:tc>
          <w:tcPr>
            <w:tcW w:w="6060" w:type="dxa"/>
            <w:vAlign w:val="bottom"/>
          </w:tcPr>
          <w:p>
            <w:pPr>
              <w:ind w:left="280"/>
              <w:spacing w:after="0"/>
              <w:rPr>
                <w:sz w:val="20"/>
                <w:szCs w:val="20"/>
                <w:color w:val="auto"/>
              </w:rPr>
            </w:pPr>
            <w:r>
              <w:rPr>
                <w:rFonts w:ascii="Courier New" w:cs="Courier New" w:eastAsia="Courier New" w:hAnsi="Courier New"/>
                <w:sz w:val="16"/>
                <w:szCs w:val="16"/>
                <w:color w:val="auto"/>
              </w:rPr>
              <w:t>Cost of Class B common stock held in Treasury</w:t>
            </w:r>
          </w:p>
        </w:tc>
        <w:tc>
          <w:tcPr>
            <w:tcW w:w="17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(714,986)</w:t>
            </w:r>
          </w:p>
        </w:tc>
        <w:tc>
          <w:tcPr>
            <w:tcW w:w="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(702,204)</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1,246,283</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1,184,204</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060" w:type="dxa"/>
            <w:vAlign w:val="bottom"/>
          </w:tcPr>
          <w:p>
            <w:pPr>
              <w:spacing w:after="0"/>
              <w:rPr>
                <w:sz w:val="15"/>
                <w:szCs w:val="15"/>
                <w:color w:val="auto"/>
              </w:rPr>
            </w:pPr>
          </w:p>
        </w:tc>
        <w:tc>
          <w:tcPr>
            <w:tcW w:w="1760" w:type="dxa"/>
            <w:vAlign w:val="bottom"/>
          </w:tcPr>
          <w:p>
            <w:pPr>
              <w:ind w:left="166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1,785,669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1,732,893</w:t>
            </w:r>
          </w:p>
        </w:tc>
      </w:tr>
      <w:tr>
        <w:trPr>
          <w:trHeight w:val="183"/>
        </w:trPr>
        <w:tc>
          <w:tcPr>
            <w:tcW w:w="6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bl>
    <w:p>
      <w:pPr>
        <w:sectPr>
          <w:pgSz w:w="11900" w:h="16838" w:orient="portrait"/>
          <w:cols w:equalWidth="0" w:num="1">
            <w:col w:w="10880"/>
          </w:cols>
          <w:pgMar w:left="240" w:top="298" w:right="77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15"/>
                <w:szCs w:val="15"/>
                <w:color w:val="auto"/>
              </w:rPr>
            </w:pPr>
          </w:p>
        </w:tc>
        <w:tc>
          <w:tcPr>
            <w:tcW w:w="310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5.</w:t>
            </w:r>
          </w:p>
        </w:tc>
        <w:tc>
          <w:tcPr>
            <w:tcW w:w="1340" w:type="dxa"/>
            <w:vAlign w:val="bottom"/>
          </w:tcPr>
          <w:p>
            <w:pPr>
              <w:spacing w:after="0"/>
              <w:rPr>
                <w:sz w:val="15"/>
                <w:szCs w:val="15"/>
                <w:color w:val="auto"/>
              </w:rPr>
            </w:pP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3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614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34"/>
        </w:trPr>
        <w:tc>
          <w:tcPr>
            <w:tcW w:w="6140" w:type="dxa"/>
            <w:vAlign w:val="bottom"/>
          </w:tcPr>
          <w:p>
            <w:pPr>
              <w:spacing w:after="0"/>
              <w:rPr>
                <w:sz w:val="24"/>
                <w:szCs w:val="24"/>
                <w:color w:val="auto"/>
              </w:rPr>
            </w:pPr>
          </w:p>
        </w:tc>
        <w:tc>
          <w:tcPr>
            <w:tcW w:w="4440" w:type="dxa"/>
            <w:vAlign w:val="bottom"/>
            <w:gridSpan w:val="2"/>
          </w:tcPr>
          <w:p>
            <w:pPr>
              <w:ind w:left="1960"/>
              <w:spacing w:after="0"/>
              <w:rPr>
                <w:sz w:val="20"/>
                <w:szCs w:val="20"/>
                <w:color w:val="auto"/>
              </w:rPr>
            </w:pPr>
            <w:r>
              <w:rPr>
                <w:rFonts w:ascii="Courier New" w:cs="Courier New" w:eastAsia="Courier New" w:hAnsi="Courier New"/>
                <w:sz w:val="16"/>
                <w:szCs w:val="16"/>
                <w:color w:val="auto"/>
              </w:rPr>
              <w:t>Twenty-six Weeks Ended</w:t>
            </w:r>
          </w:p>
        </w:tc>
      </w:tr>
      <w:tr>
        <w:trPr>
          <w:trHeight w:val="183"/>
        </w:trPr>
        <w:tc>
          <w:tcPr>
            <w:tcW w:w="6140" w:type="dxa"/>
            <w:vAlign w:val="bottom"/>
          </w:tcPr>
          <w:p>
            <w:pPr>
              <w:spacing w:after="0"/>
              <w:rPr>
                <w:sz w:val="15"/>
                <w:szCs w:val="15"/>
                <w:color w:val="auto"/>
              </w:rPr>
            </w:pPr>
          </w:p>
        </w:tc>
        <w:tc>
          <w:tcPr>
            <w:tcW w:w="4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June 30,</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July 2,</w:t>
            </w:r>
          </w:p>
        </w:tc>
      </w:tr>
      <w:tr>
        <w:trPr>
          <w:trHeight w:val="183"/>
        </w:trPr>
        <w:tc>
          <w:tcPr>
            <w:tcW w:w="61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100" w:type="dxa"/>
            <w:vAlign w:val="bottom"/>
          </w:tcPr>
          <w:p>
            <w:pPr>
              <w:ind w:left="1960"/>
              <w:spacing w:after="0"/>
              <w:rPr>
                <w:sz w:val="20"/>
                <w:szCs w:val="20"/>
                <w:color w:val="auto"/>
              </w:rPr>
            </w:pPr>
            <w:r>
              <w:rPr>
                <w:rFonts w:ascii="Courier New" w:cs="Courier New" w:eastAsia="Courier New" w:hAnsi="Courier New"/>
                <w:sz w:val="16"/>
                <w:szCs w:val="16"/>
                <w:color w:val="auto"/>
              </w:rPr>
              <w:t>1996</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$100,160</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$ 95,412</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provided by operating activities:</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 of property, plant</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and equipment</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32,164</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32,744</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14,147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16,629</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Gain from sale of business</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(3,112)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(14,253)</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(Decrease) increase in income taxes payable</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(594)</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10,419</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deferred income taxes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2,454</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2,037</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Equity in earnings of affiliates, net of</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distributions</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(9,803)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(8,501)</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Change in assets and liabilities:</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(Increase) in accounts receivable, net</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(31,770)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(19,025)</w:t>
            </w: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Decrease (increase) in inventories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2,235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(4,966)</w:t>
            </w: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Increase (decrease) in accounts payable and</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760"/>
              <w:spacing w:after="0"/>
              <w:rPr>
                <w:sz w:val="20"/>
                <w:szCs w:val="20"/>
                <w:color w:val="auto"/>
              </w:rPr>
            </w:pPr>
            <w:r>
              <w:rPr>
                <w:rFonts w:ascii="Courier New" w:cs="Courier New" w:eastAsia="Courier New" w:hAnsi="Courier New"/>
                <w:sz w:val="16"/>
                <w:szCs w:val="16"/>
                <w:color w:val="auto"/>
              </w:rPr>
              <w:t>accrued liabilities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24,125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(610)</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(Increase) in other assets and other</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liabilities, net</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(12,960)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(2,595)</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3,411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3,771</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ind w:left="8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120,457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111,062</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Net proceeds from sale of business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3,517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32,743</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(16,197)</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(81,971)</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Purchases of marketable securities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(43,116)</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marketable securities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12,821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58,498</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certain businesses</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(89,471)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332</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ind w:left="860"/>
              <w:spacing w:after="0"/>
              <w:rPr>
                <w:sz w:val="20"/>
                <w:szCs w:val="20"/>
                <w:color w:val="auto"/>
              </w:rPr>
            </w:pPr>
            <w:r>
              <w:rPr>
                <w:rFonts w:ascii="Courier New" w:cs="Courier New" w:eastAsia="Courier New" w:hAnsi="Courier New"/>
                <w:sz w:val="16"/>
                <w:szCs w:val="16"/>
                <w:color w:val="auto"/>
              </w:rPr>
              <w:t>Net cash (used) by investing activities</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(88,998)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(33,761)</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Principal payments on debt</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(50,209)</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Issuance of redeemable preferred stock</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11,947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Dividends paid</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(25,482)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(24,680)</w:t>
            </w:r>
          </w:p>
        </w:tc>
      </w:tr>
      <w:tr>
        <w:trPr>
          <w:trHeight w:val="183"/>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Common shares repurchased</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(12,952)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(79,580)</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by financing activities</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(76,696)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(104,260)</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31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(45,237)</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(26,959)</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146,901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117,269</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$101,664</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$ 90,310</w:t>
            </w:r>
          </w:p>
        </w:tc>
      </w:tr>
      <w:tr>
        <w:trPr>
          <w:trHeight w:val="183"/>
        </w:trPr>
        <w:tc>
          <w:tcPr>
            <w:tcW w:w="6140" w:type="dxa"/>
            <w:vAlign w:val="bottom"/>
          </w:tcPr>
          <w:p>
            <w:pPr>
              <w:spacing w:after="0"/>
              <w:rPr>
                <w:sz w:val="15"/>
                <w:szCs w:val="15"/>
                <w:color w:val="auto"/>
              </w:rPr>
            </w:pPr>
          </w:p>
        </w:tc>
        <w:tc>
          <w:tcPr>
            <w:tcW w:w="31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580"/>
          </w:cols>
          <w:pgMar w:left="240" w:top="298" w:right="107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2"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88" w:lineRule="exact"/>
        <w:rPr>
          <w:sz w:val="20"/>
          <w:szCs w:val="20"/>
          <w:color w:val="auto"/>
        </w:rPr>
      </w:pPr>
    </w:p>
    <w:p>
      <w:pPr>
        <w:ind w:right="420"/>
        <w:spacing w:after="0" w:line="242" w:lineRule="auto"/>
        <w:rPr>
          <w:sz w:val="20"/>
          <w:szCs w:val="20"/>
          <w:color w:val="auto"/>
        </w:rPr>
      </w:pPr>
      <w:r>
        <w:rPr>
          <w:rFonts w:ascii="Courier New" w:cs="Courier New" w:eastAsia="Courier New" w:hAnsi="Courier New"/>
          <w:sz w:val="16"/>
          <w:szCs w:val="16"/>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Certain prior year amounts have been reclassified to conform with current year presentation.</w:t>
      </w:r>
    </w:p>
    <w:p>
      <w:pPr>
        <w:spacing w:after="0" w:line="188" w:lineRule="exact"/>
        <w:rPr>
          <w:sz w:val="20"/>
          <w:szCs w:val="20"/>
          <w:color w:val="auto"/>
        </w:rPr>
      </w:pPr>
    </w:p>
    <w:p>
      <w:pPr>
        <w:jc w:val="both"/>
        <w:ind w:right="620"/>
        <w:spacing w:after="0"/>
        <w:rPr>
          <w:sz w:val="20"/>
          <w:szCs w:val="20"/>
          <w:color w:val="auto"/>
        </w:rPr>
      </w:pPr>
      <w:r>
        <w:rPr>
          <w:rFonts w:ascii="Courier New" w:cs="Courier New" w:eastAsia="Courier New" w:hAnsi="Courier New"/>
          <w:sz w:val="16"/>
          <w:szCs w:val="16"/>
          <w:color w:val="auto"/>
        </w:rPr>
        <w:t>Note 2: Summarized combined (unaudited) results of operations for the second quarter and year-to-date of 1996 and 1995 for the company's affiliates are as follows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418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Second Quarter</w:t>
            </w:r>
          </w:p>
        </w:tc>
      </w:tr>
      <w:tr>
        <w:trPr>
          <w:trHeight w:val="183"/>
        </w:trPr>
        <w:tc>
          <w:tcPr>
            <w:tcW w:w="3440" w:type="dxa"/>
            <w:vAlign w:val="bottom"/>
          </w:tcPr>
          <w:p>
            <w:pPr>
              <w:spacing w:after="0"/>
              <w:rPr>
                <w:sz w:val="15"/>
                <w:szCs w:val="15"/>
                <w:color w:val="auto"/>
              </w:rPr>
            </w:pPr>
          </w:p>
        </w:tc>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440" w:type="dxa"/>
            <w:vAlign w:val="bottom"/>
          </w:tcPr>
          <w:p>
            <w:pPr>
              <w:spacing w:after="0"/>
              <w:rPr>
                <w:sz w:val="15"/>
                <w:szCs w:val="15"/>
                <w:color w:val="auto"/>
              </w:rPr>
            </w:pPr>
          </w:p>
        </w:tc>
        <w:tc>
          <w:tcPr>
            <w:tcW w:w="2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440" w:type="dxa"/>
            <w:vAlign w:val="bottom"/>
          </w:tcPr>
          <w:p>
            <w:pPr>
              <w:spacing w:after="0"/>
              <w:rPr>
                <w:sz w:val="15"/>
                <w:szCs w:val="15"/>
                <w:color w:val="auto"/>
              </w:rPr>
            </w:pPr>
          </w:p>
        </w:tc>
        <w:tc>
          <w:tcPr>
            <w:tcW w:w="2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34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$236,430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$229,850</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27,655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31,427</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19,851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19,909</w:t>
            </w:r>
          </w:p>
        </w:tc>
      </w:tr>
    </w:tbl>
    <w:p>
      <w:pPr>
        <w:spacing w:after="0" w:line="372" w:lineRule="exact"/>
        <w:rPr>
          <w:sz w:val="20"/>
          <w:szCs w:val="20"/>
          <w:color w:val="auto"/>
        </w:rPr>
      </w:pPr>
    </w:p>
    <w:p>
      <w:pPr>
        <w:ind w:right="420"/>
        <w:spacing w:after="0" w:line="242" w:lineRule="auto"/>
        <w:rPr>
          <w:sz w:val="20"/>
          <w:szCs w:val="20"/>
          <w:color w:val="auto"/>
        </w:rPr>
      </w:pPr>
      <w:r>
        <w:rPr>
          <w:rFonts w:ascii="Courier New" w:cs="Courier New" w:eastAsia="Courier New" w:hAnsi="Courier New"/>
          <w:sz w:val="16"/>
          <w:szCs w:val="16"/>
          <w:color w:val="auto"/>
        </w:rPr>
        <w:t>Note 3: In the first quarter of 1996 the company purchased two businesses for approximately $60 million, a cable system in Texarkana serving about 24,000 subscribers and a commercial printing operation located in the Maryland suburbs of Washington, D.C. In the first quarter of 1996 the company also acquired a cable system in Columbus, Mississippi, serving about 15,700 subscribers for approximately $23 million consisting of cash and non-convertible, redeemable preferred stock of the company.</w:t>
      </w:r>
    </w:p>
    <w:p>
      <w:pPr>
        <w:spacing w:after="0" w:line="188" w:lineRule="exact"/>
        <w:rPr>
          <w:sz w:val="20"/>
          <w:szCs w:val="20"/>
          <w:color w:val="auto"/>
        </w:rPr>
      </w:pPr>
    </w:p>
    <w:p>
      <w:pPr>
        <w:ind w:right="420" w:firstLine="382"/>
        <w:spacing w:after="0" w:line="260" w:lineRule="auto"/>
        <w:rPr>
          <w:sz w:val="20"/>
          <w:szCs w:val="20"/>
          <w:color w:val="auto"/>
        </w:rPr>
      </w:pPr>
      <w:r>
        <w:rPr>
          <w:rFonts w:ascii="Courier New" w:cs="Courier New" w:eastAsia="Courier New" w:hAnsi="Courier New"/>
          <w:sz w:val="15"/>
          <w:szCs w:val="15"/>
          <w:color w:val="auto"/>
        </w:rPr>
        <w:t>The redeemable preferred stock issued in conjunction with the Columbus cable acquisition has a par value of $1.00 per share, and a redemption price and liquidation preference of $1,000 per share. Dividends are payable four times each year at the rate of $20 per share. Shares of the redeemable preferred stock are redeemable by the company at any time on or after October 1, 2015. In addition, holders of such stock have a right to require the company to purchase their shares at the redemption price during an annual 60-day election period, with the first such period beginning on February 23, 2001.</w:t>
      </w:r>
    </w:p>
    <w:p>
      <w:pPr>
        <w:spacing w:after="0" w:line="178" w:lineRule="exact"/>
        <w:rPr>
          <w:sz w:val="20"/>
          <w:szCs w:val="20"/>
          <w:color w:val="auto"/>
        </w:rPr>
      </w:pPr>
    </w:p>
    <w:p>
      <w:pPr>
        <w:ind w:right="420"/>
        <w:spacing w:after="0" w:line="242" w:lineRule="auto"/>
        <w:rPr>
          <w:sz w:val="20"/>
          <w:szCs w:val="20"/>
          <w:color w:val="auto"/>
        </w:rPr>
      </w:pPr>
      <w:r>
        <w:rPr>
          <w:rFonts w:ascii="Courier New" w:cs="Courier New" w:eastAsia="Courier New" w:hAnsi="Courier New"/>
          <w:sz w:val="16"/>
          <w:szCs w:val="16"/>
          <w:color w:val="auto"/>
        </w:rPr>
        <w:t>Note 4: Effective January 1, 1996, the company adopted Statements of Financial Accounting Standards No. 121 (FAS 121) "Accounting for Impairment of Long-Lived Assets and for Long-Lived Assets to Be Disposed Of," and No. 123 (FAS 123), "Accounting for Stock-Based Compensation." In accordance with FAS 121 the company periodically evaluates the realizability of long-lived assets, including goodwill, based upon projected undiscounted cash flows and operating income for each subsidiary.</w:t>
      </w:r>
    </w:p>
    <w:p>
      <w:pPr>
        <w:spacing w:after="0" w:line="188" w:lineRule="exact"/>
        <w:rPr>
          <w:sz w:val="20"/>
          <w:szCs w:val="20"/>
          <w:color w:val="auto"/>
        </w:rPr>
      </w:pPr>
    </w:p>
    <w:p>
      <w:pPr>
        <w:ind w:right="420" w:firstLine="382"/>
        <w:spacing w:after="0" w:line="242" w:lineRule="auto"/>
        <w:rPr>
          <w:sz w:val="20"/>
          <w:szCs w:val="20"/>
          <w:color w:val="auto"/>
        </w:rPr>
      </w:pPr>
      <w:r>
        <w:rPr>
          <w:rFonts w:ascii="Courier New" w:cs="Courier New" w:eastAsia="Courier New" w:hAnsi="Courier New"/>
          <w:sz w:val="16"/>
          <w:szCs w:val="16"/>
          <w:color w:val="auto"/>
        </w:rPr>
        <w:t>In accordance with the provisions of FAS 123, the company has elected to continue to measure compensation expense for its stock-based employee compensation plans using the intrinsic value method prescribed by Accounting Principles Board Opinion No. 25, "Accounting for Stock Issued to Employees" and will provide pro forma disclosures of net income and earnings per share as if the fair value-based method prescribed by FAS 123 had been applied in measuring compensation expense. The adoption of these standards did not have a material effect on the company's financial position or results of operations.</w:t>
      </w:r>
    </w:p>
    <w:p>
      <w:pPr>
        <w:spacing w:after="0" w:line="189" w:lineRule="exact"/>
        <w:rPr>
          <w:sz w:val="20"/>
          <w:szCs w:val="20"/>
          <w:color w:val="auto"/>
        </w:rPr>
      </w:pPr>
    </w:p>
    <w:p>
      <w:pPr>
        <w:ind w:right="800"/>
        <w:spacing w:after="0" w:line="239" w:lineRule="auto"/>
        <w:rPr>
          <w:sz w:val="20"/>
          <w:szCs w:val="20"/>
          <w:color w:val="auto"/>
        </w:rPr>
      </w:pPr>
      <w:r>
        <w:rPr>
          <w:rFonts w:ascii="Courier New" w:cs="Courier New" w:eastAsia="Courier New" w:hAnsi="Courier New"/>
          <w:sz w:val="16"/>
          <w:szCs w:val="16"/>
          <w:color w:val="auto"/>
        </w:rPr>
        <w:t>Note 5: During the first six months of 1996 the company repurchased 45,315 shares of its Class B common stock at a cost of $13.0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Year-to-Date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80"/>
        <w:spacing w:after="0"/>
        <w:tabs>
          <w:tab w:leader="none" w:pos="218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4" w:lineRule="exact"/>
        <w:rPr>
          <w:sz w:val="20"/>
          <w:szCs w:val="20"/>
          <w:color w:val="auto"/>
        </w:rPr>
      </w:pPr>
    </w:p>
    <w:p>
      <w:pPr>
        <w:ind w:left="100"/>
        <w:spacing w:after="0"/>
        <w:tabs>
          <w:tab w:leader="none" w:pos="1980" w:val="left"/>
        </w:tabs>
        <w:rPr>
          <w:sz w:val="20"/>
          <w:szCs w:val="20"/>
          <w:color w:val="auto"/>
        </w:rPr>
      </w:pPr>
      <w:r>
        <w:rPr>
          <w:rFonts w:ascii="Courier New" w:cs="Courier New" w:eastAsia="Courier New" w:hAnsi="Courier New"/>
          <w:sz w:val="16"/>
          <w:szCs w:val="16"/>
          <w:color w:val="auto"/>
        </w:rPr>
        <w:t>$471,903</w:t>
      </w:r>
      <w:r>
        <w:rPr>
          <w:sz w:val="20"/>
          <w:szCs w:val="20"/>
          <w:color w:val="auto"/>
        </w:rPr>
        <w:tab/>
      </w:r>
      <w:r>
        <w:rPr>
          <w:rFonts w:ascii="Courier New" w:cs="Courier New" w:eastAsia="Courier New" w:hAnsi="Courier New"/>
          <w:sz w:val="15"/>
          <w:szCs w:val="15"/>
          <w:color w:val="auto"/>
        </w:rPr>
        <w:t>$430,660</w:t>
      </w:r>
    </w:p>
    <w:p>
      <w:pPr>
        <w:spacing w:after="0" w:line="2" w:lineRule="exact"/>
        <w:rPr>
          <w:sz w:val="20"/>
          <w:szCs w:val="20"/>
          <w:color w:val="auto"/>
        </w:rPr>
      </w:pPr>
    </w:p>
    <w:p>
      <w:pPr>
        <w:jc w:val="both"/>
        <w:ind w:left="280"/>
        <w:spacing w:after="0"/>
        <w:tabs>
          <w:tab w:leader="none" w:pos="2180" w:val="left"/>
        </w:tabs>
        <w:rPr>
          <w:sz w:val="20"/>
          <w:szCs w:val="20"/>
          <w:color w:val="auto"/>
        </w:rPr>
      </w:pPr>
      <w:r>
        <w:rPr>
          <w:rFonts w:ascii="Courier New" w:cs="Courier New" w:eastAsia="Courier New" w:hAnsi="Courier New"/>
          <w:sz w:val="16"/>
          <w:szCs w:val="16"/>
          <w:color w:val="auto"/>
        </w:rPr>
        <w:t>65,057</w:t>
      </w:r>
      <w:r>
        <w:rPr>
          <w:sz w:val="20"/>
          <w:szCs w:val="20"/>
          <w:color w:val="auto"/>
        </w:rPr>
        <w:tab/>
      </w:r>
      <w:r>
        <w:rPr>
          <w:rFonts w:ascii="Courier New" w:cs="Courier New" w:eastAsia="Courier New" w:hAnsi="Courier New"/>
          <w:sz w:val="16"/>
          <w:szCs w:val="16"/>
          <w:color w:val="auto"/>
        </w:rPr>
        <w:t>46,841</w:t>
      </w:r>
    </w:p>
    <w:p>
      <w:pPr>
        <w:spacing w:after="0" w:line="2" w:lineRule="exact"/>
        <w:rPr>
          <w:sz w:val="20"/>
          <w:szCs w:val="20"/>
          <w:color w:val="auto"/>
        </w:rPr>
      </w:pPr>
    </w:p>
    <w:p>
      <w:pPr>
        <w:jc w:val="both"/>
        <w:ind w:left="280"/>
        <w:spacing w:after="0"/>
        <w:tabs>
          <w:tab w:leader="none" w:pos="2180" w:val="left"/>
        </w:tabs>
        <w:rPr>
          <w:sz w:val="20"/>
          <w:szCs w:val="20"/>
          <w:color w:val="auto"/>
        </w:rPr>
      </w:pPr>
      <w:r>
        <w:rPr>
          <w:rFonts w:ascii="Courier New" w:cs="Courier New" w:eastAsia="Courier New" w:hAnsi="Courier New"/>
          <w:sz w:val="16"/>
          <w:szCs w:val="16"/>
          <w:color w:val="auto"/>
        </w:rPr>
        <w:t>47,224</w:t>
      </w:r>
      <w:r>
        <w:rPr>
          <w:sz w:val="20"/>
          <w:szCs w:val="20"/>
          <w:color w:val="auto"/>
        </w:rPr>
        <w:tab/>
      </w:r>
      <w:r>
        <w:rPr>
          <w:rFonts w:ascii="Courier New" w:cs="Courier New" w:eastAsia="Courier New" w:hAnsi="Courier New"/>
          <w:sz w:val="16"/>
          <w:szCs w:val="16"/>
          <w:color w:val="auto"/>
        </w:rPr>
        <w:t>27,679</w:t>
      </w:r>
    </w:p>
    <w:p>
      <w:pPr>
        <w:sectPr>
          <w:pgSz w:w="11900" w:h="16838" w:orient="portrait"/>
          <w:cols w:equalWidth="0" w:num="2">
            <w:col w:w="7960" w:space="720"/>
            <w:col w:w="2760"/>
          </w:cols>
          <w:pgMar w:left="240" w:top="298" w:right="21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right="4599"/>
        <w:spacing w:after="0" w:line="239"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89" w:lineRule="exact"/>
        <w:rPr>
          <w:sz w:val="20"/>
          <w:szCs w:val="20"/>
          <w:color w:val="auto"/>
        </w:rPr>
      </w:pPr>
    </w:p>
    <w:p>
      <w:pPr>
        <w:ind w:right="3159" w:firstLine="858"/>
        <w:spacing w:after="0" w:line="239" w:lineRule="auto"/>
        <w:rPr>
          <w:sz w:val="20"/>
          <w:szCs w:val="20"/>
          <w:color w:val="auto"/>
        </w:rPr>
      </w:pPr>
      <w:r>
        <w:rPr>
          <w:rFonts w:ascii="Courier New" w:cs="Courier New" w:eastAsia="Courier New" w:hAnsi="Courier New"/>
          <w:sz w:val="16"/>
          <w:szCs w:val="16"/>
          <w:color w:val="auto"/>
        </w:rPr>
        <w:t>This analysis should be read in conjunction with the consolidated financial statements and the notes thereto.</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SECOND QUARTER COMPARISONS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Net income for the second quarter of 1996 was $63.2 million,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of 23 percent from net income of $51.5 million in the second quarter</w:t>
      </w:r>
    </w:p>
    <w:p>
      <w:pPr>
        <w:spacing w:after="0" w:line="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last year.</w:t>
      </w:r>
      <w:r>
        <w:rPr>
          <w:sz w:val="20"/>
          <w:szCs w:val="20"/>
          <w:color w:val="auto"/>
        </w:rPr>
        <w:tab/>
      </w:r>
      <w:r>
        <w:rPr>
          <w:rFonts w:ascii="Courier New" w:cs="Courier New" w:eastAsia="Courier New" w:hAnsi="Courier New"/>
          <w:sz w:val="15"/>
          <w:szCs w:val="15"/>
          <w:color w:val="auto"/>
        </w:rPr>
        <w:t>Earnings per share increased 24 percent to $5.76 per share,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$4.65 per share in the second quarter of 1995, with a smaller number of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Revenues for the second quarter of 1996 rose 8 percent to $472.9 million, from $437.0 million in the same period last year. Advertising revenues rose 9 percent and circulation and subscriber revenues increased 7 percent. Other revenues increased 8 percent over the second quarter of 1995. All divisions posted higher revenues in the second quarter this year. The magazine division had exceptionally strong gains resulting from increased advertising page volume as well as higher advertising revenue realized per page.</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Costs and expenses for the second quarter of 1996 increased 5 percent to $377.4 million, from $358.3 million in the second quarter of 1995. Operating expenses increased 12 percent, while selling, general and administrative expenses decreased 5 percent. Depreciation expense decreased 2 percent compared to the second quarter of 1995. Amortization expense for the second quarter of 1996 decreased 20 percent as 1995 amortization included expense related to the operations of Mammoth Micro Productions which was written off in September 1995. A 16 percent higher newsprint expense accounted for about a fourth of the net increase in total costs and expenses. The remainder of the net increase relates primarily to additional expenses associated with newly acquired businesses as well as normal increases in the cost of operations.</w:t>
      </w:r>
    </w:p>
    <w:p>
      <w:pPr>
        <w:spacing w:after="0" w:line="191"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In the second quarter of 1996 operating income rose to $95.5 million, a 21 percent increase over $78.7 million in 1995.</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NEWSPAPER DIVISION. At the newspaper division revenues increased 4 percent in the second quarter of 1996. Although advertising volume at The Washington Post fell 5 percent, advertising revenues for the division rose 3 percent for the quarter due mainly to rate increases</w:t>
      </w:r>
    </w:p>
    <w:p>
      <w:pPr>
        <w:sectPr>
          <w:pgSz w:w="11900" w:h="16838" w:orient="portrait"/>
          <w:cols w:equalWidth="0" w:num="1">
            <w:col w:w="10219"/>
          </w:cols>
          <w:pgMar w:left="240" w:top="298"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8.</w:t>
      </w:r>
    </w:p>
    <w:p>
      <w:pPr>
        <w:spacing w:after="0" w:line="19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for retail and classified advertising. Classified volume at the Post increased 2 percent in the quarter, as recruitment advertising volume remained strong. Retail lineage was down 13 percent, and general lineage declined 4 percent compared with the same period last year. Preprint volume decreased 2 percent versus the second quarter of 1995. Circulation revenues for the division increased 2 percent compared with the same period last year.</w:t>
      </w:r>
    </w:p>
    <w:p>
      <w:pPr>
        <w:spacing w:after="0" w:line="187"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BROADCAST DIVISION. Revenues at the broadcast division increased 5 percent in the second quarter of 1996. Local advertising revenues increased 10 percent and national advertising revenues rose 6 percent over the second quarter of 1995. Network compensation increased 20 percent over the comparable period last year.</w:t>
      </w:r>
    </w:p>
    <w:p>
      <w:pPr>
        <w:spacing w:after="0" w:line="190"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MAGAZINE DIVISION. Newsweek revenues in the second quarter of 1996 increased 16 percent. Advertising revenues rose 31 percent, primarily due to increased advertising page volume combined with higher net advertising revenue realized per page. Circulation revenues declined 2 percent. In the second quarter Newsweek published the same number of weekly issues (13) as in 1995; 1995 also included one special newsstand-only issue.</w:t>
      </w:r>
    </w:p>
    <w:p>
      <w:pPr>
        <w:spacing w:after="0" w:line="187"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CABLE DIVISION. At the cable division, second quarter 1996 revenues were 17 percent higher than 1995. Higher subscriber levels, resulting mainly from recent acquisitions, as well as higher rates accounted for the increase. At the end of the second quarter, the number of basic subscribers totaled approximately 560,000, 11 percent higher than at the same time last year.</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OTHER BUSINESSES. In the second quarter of 1996, revenues from other businesses -- principally Kaplan Educational Centers, PASS Sports, Legi-Slate, Digital Ink, and MLJ (Moffet, Larson &amp; Johnson) -- increased 7 percent over the prior year. At MLJ, increased demand for engineering services to the expanding PCS industry generated a 33 percent jump in revenues.</w:t>
      </w:r>
    </w:p>
    <w:p>
      <w:pPr>
        <w:spacing w:after="0" w:line="190"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in the second quarter of 1996 was $7.8 million, compared with $8.9 million in the second quarter of 1995.</w:t>
      </w:r>
    </w:p>
    <w:p>
      <w:pPr>
        <w:spacing w:after="0" w:line="190"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5"/>
          <w:szCs w:val="15"/>
          <w:color w:val="auto"/>
        </w:rPr>
        <w:t>NON-OPERATING ITEMS. Interest income, net of interest expense, was $1.0 million for the second quarter of 1996, compared to $0.6 million in 1995.</w:t>
      </w:r>
    </w:p>
    <w:p>
      <w:pPr>
        <w:spacing w:after="0" w:line="166"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INCOME TAXES. The effective tax rate in the second quarter of 1996 decreased to 39 percent, from 41 percent in 1995.</w:t>
      </w:r>
    </w:p>
    <w:p>
      <w:pPr>
        <w:sectPr>
          <w:pgSz w:w="11900" w:h="16838" w:orient="portrait"/>
          <w:cols w:equalWidth="0" w:num="1">
            <w:col w:w="10219"/>
          </w:cols>
          <w:pgMar w:left="240" w:top="298"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9.</w:t>
      </w:r>
    </w:p>
    <w:p>
      <w:pPr>
        <w:spacing w:after="0" w:line="3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SIX MONTH COMPARISONS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Net income for the first six months of 1996 was $100.2 million ($9.09 per share), compared with net income of $95.4 million ($8.56 per share) in the first half of 1995. The company's net income for the first half of 1995 includes $8.4 million ($0.75 per share) from the sale, at its original cost, of substantially all of the company's investment in American PCS, L.P. Excluding the effect of the sale, net income increased $13.2 million, or 15 percent, in the first six months of 1996.</w:t>
      </w:r>
    </w:p>
    <w:p>
      <w:pPr>
        <w:spacing w:after="0" w:line="18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Revenues for the first half of 1996 increased 6 percent to $889.5 million, from $838.5 million in the comparable period last year. Advertising revenues increased 5 percent, circulation and subscriber revenues increased 7 percent and other revenues increased 11 percent.</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Costs and expenses increased 6 percent during the first half of 1996 to $743.8 million, from $701.5 million in the corresponding period of 1995. Operating expenses increased 11 percent and selling, general and administrative expenses decreased 1 percent. Depreciation expense decreased 2 percent. Amortization expense for the first half of 1996 decreased 15 percent as the 1995 amortization includes expense related to the operations of Mammoth Micro Productions which was written off in September 1995. A 23 percent higher newsprint expense accounted for about one-third of the net increase in total costs and expenses. The remainder of the net increase relates primarily to additional expenses associated with newly acquired businesses as well as normal growth in the cost of operations.</w:t>
      </w:r>
    </w:p>
    <w:p>
      <w:pPr>
        <w:spacing w:after="0" w:line="191" w:lineRule="exact"/>
        <w:rPr>
          <w:sz w:val="20"/>
          <w:szCs w:val="20"/>
          <w:color w:val="auto"/>
        </w:rPr>
      </w:pPr>
    </w:p>
    <w:p>
      <w:pPr>
        <w:ind w:right="2779" w:firstLine="858"/>
        <w:spacing w:after="0" w:line="239" w:lineRule="auto"/>
        <w:rPr>
          <w:sz w:val="20"/>
          <w:szCs w:val="20"/>
          <w:color w:val="auto"/>
        </w:rPr>
      </w:pPr>
      <w:r>
        <w:rPr>
          <w:rFonts w:ascii="Courier New" w:cs="Courier New" w:eastAsia="Courier New" w:hAnsi="Courier New"/>
          <w:sz w:val="16"/>
          <w:szCs w:val="16"/>
          <w:color w:val="auto"/>
        </w:rPr>
        <w:t>In the first half of 1996 operating income rose to $145.7 million, an increase of 6 percent over $137.1 million in the same period last year.</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NEWSPAPER DIVISION. Newspaper division revenues were up 2 percent in the first half of 1996 over the comparable period of 1995. Although advertising volume at The Washington Post fell 8 percent, advertising revenues for the division rose 1 percent in the period due mainly to the growth in volume and rates realized in recruitment advertising. Circulation revenues for the division increased 2 percent compared with the first half of 1995. Both daily and Sunday circulation at The Post declined 1 percent from the prior year.</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BROADCAST DIVISION. Revenues at the broadcast division increased 5 percent over the first six months of 1995. In the first half of 1996 local advertising rose 9 percent, national advertising revenues increased 4 percent and network compensation increased 15 percent.</w:t>
      </w:r>
    </w:p>
    <w:p>
      <w:pPr>
        <w:spacing w:after="0" w:line="189"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MAGAZINE DIVISION. At Newsweek revenues increased 8 percent in the first half of 1996. A major contributor to the improvement was a 15 percent increase in advertising revenues, which resulted primarily</w:t>
      </w:r>
    </w:p>
    <w:p>
      <w:pPr>
        <w:sectPr>
          <w:pgSz w:w="11900" w:h="16838" w:orient="portrait"/>
          <w:cols w:equalWidth="0" w:num="1">
            <w:col w:w="10219"/>
          </w:cols>
          <w:pgMar w:left="240" w:top="298"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from higher advertising page volume, combined with higher net advertising revenue realized per page. In the first six months of 1996, circulation revenues declined 1 percent, primarily due to the publication of one less issue in 1996.</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CABLE DIVISION. Cable division revenues increased 17 percent in the first half of 1996. Subscriber revenues grew 18 percent in the first six months of 1996 due to an increase of 11 percent in the number of basic subscribers, resulting mainly from recent acquisitions, as well as higher rates.</w:t>
      </w:r>
    </w:p>
    <w:p>
      <w:pPr>
        <w:spacing w:after="0" w:line="189"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OTHER BUSINESSES. At the company's other businesses, revenues rose 10 percent in the first half of 1996. At MLJ, increased demand for engineering services to the expanding PCS industry generated a 72 percent increase in revenues.</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during the first half of 1996 was income of $15.2 million, compared with $9.6 million in the first six months of 1995. Improved results from the company's newsprint mill affiliates were the major contributors to the increase.</w:t>
      </w:r>
    </w:p>
    <w:p>
      <w:pPr>
        <w:spacing w:after="0" w:line="190"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5"/>
          <w:szCs w:val="15"/>
          <w:color w:val="auto"/>
        </w:rPr>
        <w:t>NON-OPERATING ITEMS. Interest income, net of interest expense, was $1.2 million in the first six months of 1996, compared to $1.6 million in 1995.</w:t>
      </w:r>
    </w:p>
    <w:p>
      <w:pPr>
        <w:spacing w:after="0" w:line="166"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Other income in the first half of 1996 was $2.2 million, compared with $13.5 million in the comparable period of 1995. The 1995 amount includes the gain resulting from the sale of substantially all of the company's interest in American PCS, L.P. in January 1995.</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INCOME TAXES. The effective tax rate in 1996 decreased to 39 percent, from 41 percent in 1995.</w:t>
      </w:r>
    </w:p>
    <w:p>
      <w:pPr>
        <w:spacing w:after="0" w:line="370"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FINANCIAL CONDITION:</w:t>
      </w:r>
      <w:r>
        <w:rPr>
          <w:sz w:val="20"/>
          <w:szCs w:val="20"/>
          <w:color w:val="auto"/>
        </w:rPr>
        <w:tab/>
      </w:r>
      <w:r>
        <w:rPr>
          <w:rFonts w:ascii="Courier New" w:cs="Courier New" w:eastAsia="Courier New" w:hAnsi="Courier New"/>
          <w:sz w:val="15"/>
          <w:szCs w:val="15"/>
          <w:color w:val="auto"/>
        </w:rPr>
        <w:t>CAPITAL RESOURCES AND LIQUIDITY</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During the first half 1996 the company purchased two businesses for approximately $60 million, a cable system in Texarkana serving about 24,000 subscribers and a commercial printing operation located in the Maryland suburbs of Washington, D.C. The company also acquired a cable system in Columbus, Mississippi, serving about 15,700 subscribers for approximately $23 million consisting of cash and shares of non-convertible, redeemable preferred stock of the company. The company has also reached agreements in principle to purchase cable systems serving 41,000 subscribers in two states for approximately $70 million, and to exchange the assets of certain cable systems with Tele-Communications, Inc. (TCI). According to the terms of the TCI agreements, the exchanges will result in an aggregate increase of</w:t>
      </w:r>
    </w:p>
    <w:p>
      <w:pPr>
        <w:sectPr>
          <w:pgSz w:w="11900" w:h="16838" w:orient="portrait"/>
          <w:cols w:equalWidth="0" w:num="1">
            <w:col w:w="10219"/>
          </w:cols>
          <w:pgMar w:left="240" w:top="298"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about 28,000 subscribers for the company. These transactions are expected to be completed before the end of 1996.</w:t>
      </w:r>
    </w:p>
    <w:p>
      <w:pPr>
        <w:spacing w:after="0" w:line="189" w:lineRule="exact"/>
        <w:rPr>
          <w:sz w:val="20"/>
          <w:szCs w:val="20"/>
          <w:color w:val="auto"/>
        </w:rPr>
      </w:pPr>
    </w:p>
    <w:p>
      <w:pPr>
        <w:ind w:right="3059" w:firstLine="858"/>
        <w:spacing w:after="0" w:line="241" w:lineRule="auto"/>
        <w:rPr>
          <w:sz w:val="20"/>
          <w:szCs w:val="20"/>
          <w:color w:val="auto"/>
        </w:rPr>
      </w:pPr>
      <w:r>
        <w:rPr>
          <w:rFonts w:ascii="Courier New" w:cs="Courier New" w:eastAsia="Courier New" w:hAnsi="Courier New"/>
          <w:sz w:val="16"/>
          <w:szCs w:val="16"/>
          <w:color w:val="auto"/>
        </w:rPr>
        <w:t>In January 1996 the company established a five-year, $300 million revolving credit facility with a group of banks to provide for general corporate purposes and support the issuance of short-term promissory notes. The company has yet to draw on this facility in 1996. In March 1996, the company retired its European Currency Notes for $50.2 million.</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As of the end of 1995, the company had repurchased approximately 235,000 shares of the one million Class B shares authorized for repurchase by the Board of Directors in January 1995. In the first half of 1996, the company repurchased 45,315 shares of its Class B common stock for approximately $13.0 million. Approximately 720,000 Class B common shares remain to be repurchased under the January 1995 authorization.</w:t>
      </w:r>
    </w:p>
    <w:p>
      <w:pPr>
        <w:spacing w:after="0" w:line="187"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company has experienced no other significant changes in its financial condition since the end of 1995.</w:t>
      </w:r>
    </w:p>
    <w:p>
      <w:pPr>
        <w:sectPr>
          <w:pgSz w:w="11900" w:h="16838" w:orient="portrait"/>
          <w:cols w:equalWidth="0" w:num="1">
            <w:col w:w="10219"/>
          </w:cols>
          <w:pgMar w:left="240" w:top="298"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6"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369" w:lineRule="exact"/>
        <w:rPr>
          <w:sz w:val="20"/>
          <w:szCs w:val="20"/>
          <w:color w:val="auto"/>
        </w:rPr>
      </w:pPr>
    </w:p>
    <w:p>
      <w:pPr>
        <w:ind w:left="860"/>
        <w:spacing w:after="0"/>
        <w:tabs>
          <w:tab w:leader="none" w:pos="1320" w:val="left"/>
        </w:tabs>
        <w:rPr>
          <w:sz w:val="20"/>
          <w:szCs w:val="20"/>
          <w:color w:val="auto"/>
        </w:rPr>
      </w:pPr>
      <w:r>
        <w:rPr>
          <w:rFonts w:ascii="Courier New" w:cs="Courier New" w:eastAsia="Courier New" w:hAnsi="Courier New"/>
          <w:sz w:val="16"/>
          <w:szCs w:val="16"/>
          <w:color w:val="auto"/>
        </w:rPr>
        <w:t>(a)</w:t>
        <w:tab/>
        <w:t>The following document is filed as an exhibit to this report:</w:t>
      </w:r>
    </w:p>
    <w:p>
      <w:pPr>
        <w:sectPr>
          <w:pgSz w:w="11900" w:h="16838" w:orient="portrait"/>
          <w:cols w:equalWidth="0" w:num="1">
            <w:col w:w="10219"/>
          </w:cols>
          <w:pgMar w:left="240" w:top="298"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96" w:lineRule="exact"/>
        <w:rPr>
          <w:sz w:val="20"/>
          <w:szCs w:val="20"/>
          <w:color w:val="auto"/>
        </w:rPr>
      </w:pPr>
    </w:p>
    <w:p>
      <w:pPr>
        <w:sectPr>
          <w:pgSz w:w="11900" w:h="16838" w:orient="portrait"/>
          <w:cols w:equalWidth="0" w:num="2">
            <w:col w:w="2520" w:space="720"/>
            <w:col w:w="6979"/>
          </w:cols>
          <w:pgMar w:left="240" w:top="298" w:right="1440" w:bottom="1440" w:gutter="0" w:footer="0" w:header="0"/>
          <w:type w:val="continuous"/>
        </w:sectPr>
      </w:pPr>
    </w:p>
    <w:p>
      <w:pPr>
        <w:ind w:left="1620" w:right="5159" w:hanging="1336"/>
        <w:spacing w:after="0" w:line="239" w:lineRule="auto"/>
        <w:tabs>
          <w:tab w:leader="none" w:pos="16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Earnings Per Share of Common Stock</w:t>
      </w:r>
    </w:p>
    <w:p>
      <w:pPr>
        <w:spacing w:after="0" w:line="186" w:lineRule="exact"/>
        <w:rPr>
          <w:sz w:val="20"/>
          <w:szCs w:val="20"/>
          <w:color w:val="auto"/>
        </w:rPr>
      </w:pPr>
    </w:p>
    <w:p>
      <w:pPr>
        <w:ind w:left="1620" w:hanging="1336"/>
        <w:spacing w:after="0"/>
        <w:tabs>
          <w:tab w:leader="none" w:pos="16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(Electronic Filing Only)</w:t>
      </w:r>
    </w:p>
    <w:p>
      <w:pPr>
        <w:spacing w:after="0" w:line="371" w:lineRule="exact"/>
        <w:rPr>
          <w:rFonts w:ascii="Courier New" w:cs="Courier New" w:eastAsia="Courier New" w:hAnsi="Courier New"/>
          <w:sz w:val="16"/>
          <w:szCs w:val="16"/>
          <w:color w:val="auto"/>
        </w:rPr>
      </w:pPr>
    </w:p>
    <w:p>
      <w:pPr>
        <w:ind w:left="1340" w:right="2979" w:hanging="484"/>
        <w:spacing w:after="0" w:line="239" w:lineRule="auto"/>
        <w:tabs>
          <w:tab w:leader="none" w:pos="13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period covered by this report.</w:t>
      </w:r>
    </w:p>
    <w:p>
      <w:pPr>
        <w:sectPr>
          <w:pgSz w:w="11900" w:h="16838" w:orient="portrait"/>
          <w:cols w:equalWidth="0" w:num="1">
            <w:col w:w="10219"/>
          </w:cols>
          <w:pgMar w:left="240" w:top="298"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5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55"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WASHINGTON POST COMPANY</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both"/>
        <w:ind w:right="220"/>
        <w:spacing w:after="0" w:line="271" w:lineRule="auto"/>
        <w:rPr>
          <w:sz w:val="20"/>
          <w:szCs w:val="20"/>
          <w:color w:val="auto"/>
        </w:rPr>
      </w:pPr>
      <w:r>
        <w:rPr>
          <w:rFonts w:ascii="Courier New" w:cs="Courier New" w:eastAsia="Courier New" w:hAnsi="Courier New"/>
          <w:sz w:val="15"/>
          <w:szCs w:val="15"/>
          <w:color w:val="auto"/>
        </w:rPr>
        <w:t>August 14,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Donald E. Graham, Chairman &amp;</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80" w:space="180"/>
            <w:col w:w="1660" w:space="720"/>
            <w:col w:w="7179"/>
          </w:cols>
          <w:pgMar w:left="240" w:top="298" w:right="1440"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ind w:right="220"/>
        <w:spacing w:after="0" w:line="271" w:lineRule="auto"/>
        <w:rPr>
          <w:sz w:val="20"/>
          <w:szCs w:val="20"/>
          <w:color w:val="auto"/>
        </w:rPr>
      </w:pPr>
      <w:r>
        <w:rPr>
          <w:rFonts w:ascii="Courier New" w:cs="Courier New" w:eastAsia="Courier New" w:hAnsi="Courier New"/>
          <w:sz w:val="15"/>
          <w:szCs w:val="15"/>
          <w:color w:val="auto"/>
        </w:rPr>
        <w:t>August 14, 1996 ---------------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 John B. Morse,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Financial Officer)</w:t>
      </w:r>
    </w:p>
    <w:p>
      <w:pPr>
        <w:sectPr>
          <w:pgSz w:w="11900" w:h="16838" w:orient="portrait"/>
          <w:cols w:equalWidth="0" w:num="3">
            <w:col w:w="480" w:space="180"/>
            <w:col w:w="1660" w:space="720"/>
            <w:col w:w="7179"/>
          </w:cols>
          <w:pgMar w:left="240" w:top="298" w:right="1440" w:bottom="1440" w:gutter="0" w:footer="0" w:header="0"/>
          <w:type w:val="continuous"/>
        </w:sectPr>
      </w:pPr>
    </w:p>
    <w:bookmarkStart w:id="13" w:name="page14"/>
    <w:bookmarkEnd w:id="13"/>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Exhibit 11</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50"/>
        </w:trPr>
        <w:tc>
          <w:tcPr>
            <w:tcW w:w="2580" w:type="dxa"/>
            <w:vAlign w:val="bottom"/>
          </w:tcPr>
          <w:p>
            <w:pPr>
              <w:spacing w:after="0"/>
              <w:rPr>
                <w:sz w:val="24"/>
                <w:szCs w:val="24"/>
                <w:color w:val="auto"/>
              </w:rPr>
            </w:pPr>
          </w:p>
        </w:tc>
        <w:tc>
          <w:tcPr>
            <w:tcW w:w="35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CALCULATION OF EARNINGS</w:t>
            </w: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15"/>
                <w:szCs w:val="15"/>
                <w:color w:val="auto"/>
              </w:rPr>
            </w:pPr>
          </w:p>
        </w:tc>
        <w:tc>
          <w:tcPr>
            <w:tcW w:w="3560" w:type="dxa"/>
            <w:vAlign w:val="bottom"/>
          </w:tcPr>
          <w:p>
            <w:pPr>
              <w:jc w:val="right"/>
              <w:ind w:right="1101"/>
              <w:spacing w:after="0"/>
              <w:rPr>
                <w:sz w:val="20"/>
                <w:szCs w:val="20"/>
                <w:color w:val="auto"/>
              </w:rPr>
            </w:pPr>
            <w:r>
              <w:rPr>
                <w:rFonts w:ascii="Courier New" w:cs="Courier New" w:eastAsia="Courier New" w:hAnsi="Courier New"/>
                <w:sz w:val="16"/>
                <w:szCs w:val="16"/>
                <w:color w:val="auto"/>
                <w:w w:val="98"/>
              </w:rPr>
              <w:t>PER SHARE OF COMMON STOCK</w:t>
            </w: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356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(In thousands of shares)</w:t>
            </w: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917"/>
        </w:trPr>
        <w:tc>
          <w:tcPr>
            <w:tcW w:w="2580" w:type="dxa"/>
            <w:vAlign w:val="bottom"/>
          </w:tcPr>
          <w:p>
            <w:pPr>
              <w:spacing w:after="0"/>
              <w:rPr>
                <w:sz w:val="24"/>
                <w:szCs w:val="24"/>
                <w:color w:val="auto"/>
              </w:rPr>
            </w:pPr>
          </w:p>
        </w:tc>
        <w:tc>
          <w:tcPr>
            <w:tcW w:w="52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Thirteen Weeks Ended</w:t>
            </w:r>
          </w:p>
        </w:tc>
        <w:tc>
          <w:tcPr>
            <w:tcW w:w="2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Twenty-Six Weeks Ended</w:t>
            </w:r>
          </w:p>
        </w:tc>
      </w:tr>
      <w:tr>
        <w:trPr>
          <w:trHeight w:val="183"/>
        </w:trPr>
        <w:tc>
          <w:tcPr>
            <w:tcW w:w="2580" w:type="dxa"/>
            <w:vAlign w:val="bottom"/>
          </w:tcPr>
          <w:p>
            <w:pPr>
              <w:spacing w:after="0"/>
              <w:rPr>
                <w:sz w:val="15"/>
                <w:szCs w:val="15"/>
                <w:color w:val="auto"/>
              </w:rPr>
            </w:pPr>
          </w:p>
        </w:tc>
        <w:tc>
          <w:tcPr>
            <w:tcW w:w="52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June 30,</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July 2,</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June 30,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July 2,</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16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Number of shares of</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Class A and Class B</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stock outstanding</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at beginning of</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10,986</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11,109</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11,005</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11,346</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Issuance of shares of</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(weighted), net of</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forfeiture of re-</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stricted stock awards</w:t>
            </w: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Repurchase of Class B</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common stock (weighted)</w:t>
            </w:r>
          </w:p>
        </w:tc>
        <w:tc>
          <w:tcPr>
            <w:tcW w:w="3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w:t>
            </w:r>
          </w:p>
        </w:tc>
        <w:tc>
          <w:tcPr>
            <w:tcW w:w="16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(34)</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Unexercised stock option</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equivalent shares com-</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puted under the "treasury</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stock method"</w:t>
            </w:r>
          </w:p>
        </w:tc>
        <w:tc>
          <w:tcPr>
            <w:tcW w:w="35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9</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Shares used in the</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computation of primary</w:t>
            </w: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10,970</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11,084</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10,998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11,152</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w w:val="98"/>
              </w:rPr>
              <w:t>Adjustment to reflect fully</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dilution computation (1)</w:t>
            </w: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580" w:type="dxa"/>
            <w:vAlign w:val="bottom"/>
          </w:tcPr>
          <w:p>
            <w:pPr>
              <w:spacing w:after="0"/>
              <w:rPr>
                <w:sz w:val="24"/>
                <w:szCs w:val="24"/>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10,970</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11,084</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10,998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11,152</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Net income available for</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$63,218</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$51,514</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$99,958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$95,412</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Primary earnings per</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$ 5.76</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$ 4.65</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$ 9.09</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$ 8.56</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580" w:type="dxa"/>
            <w:vAlign w:val="bottom"/>
          </w:tcPr>
          <w:p>
            <w:pPr>
              <w:spacing w:after="0"/>
              <w:rPr>
                <w:sz w:val="20"/>
                <w:szCs w:val="20"/>
                <w:color w:val="auto"/>
              </w:rPr>
            </w:pPr>
            <w:r>
              <w:rPr>
                <w:rFonts w:ascii="Courier New" w:cs="Courier New" w:eastAsia="Courier New" w:hAnsi="Courier New"/>
                <w:sz w:val="16"/>
                <w:szCs w:val="16"/>
                <w:color w:val="auto"/>
              </w:rPr>
              <w:t>Fully diluted earnings</w:t>
            </w: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per share (1)</w:t>
            </w: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$ 5.76</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$ 4.65</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$ 9.09</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$ 8.56</w:t>
            </w:r>
          </w:p>
        </w:tc>
      </w:tr>
      <w:tr>
        <w:trPr>
          <w:trHeight w:val="183"/>
        </w:trPr>
        <w:tc>
          <w:tcPr>
            <w:tcW w:w="2580" w:type="dxa"/>
            <w:vAlign w:val="bottom"/>
          </w:tcPr>
          <w:p>
            <w:pPr>
              <w:spacing w:after="0"/>
              <w:rPr>
                <w:sz w:val="15"/>
                <w:szCs w:val="15"/>
                <w:color w:val="auto"/>
              </w:rPr>
            </w:pPr>
          </w:p>
        </w:tc>
        <w:tc>
          <w:tcPr>
            <w:tcW w:w="3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2" w:right="3059" w:hanging="2"/>
        <w:spacing w:after="0"/>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computation is submitted although it is not required by Accounting Principles Board Opinion No. 15 since it results in dilution of less than 3 percent.</w:t>
      </w:r>
    </w:p>
    <w:p>
      <w:pPr>
        <w:sectPr>
          <w:pgSz w:w="11900" w:h="16838" w:orient="portrait"/>
          <w:cols w:equalWidth="0" w:num="1">
            <w:col w:w="10221"/>
          </w:cols>
          <w:pgMar w:left="238" w:top="139" w:right="1440" w:bottom="1440"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2759"/>
        <w:spacing w:after="0" w:line="241"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Income for the twenty-six weeks ended June 30, 1996 and the Consolidated Balance Sheet as of June 30, 1996 and is qualified in its entirety by reference to such financial statements.</w:t>
      </w:r>
    </w:p>
    <w:p>
      <w:pPr>
        <w:spacing w:after="0" w:line="18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6-MOS</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DEC-29-1996</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JUN-30-1996</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101,664</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277,092</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44,624</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24,531</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380,884</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1,037,037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566,918</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1,785,669</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276,476</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11,947</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20,000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1,226,283</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1,785,669</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889,471</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496,121</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28,338</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1,222</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164,200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64,040</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100,160</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100,160</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9.09</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9.09</w:t>
      </w:r>
    </w:p>
    <w:sectPr>
      <w:pgSz w:w="11900" w:h="16838" w:orient="portrait"/>
      <w:cols w:equalWidth="0" w:num="1">
        <w:col w:w="10199"/>
      </w:cols>
      <w:pgMar w:left="26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202"/>
    </w:lvl>
  </w:abstractNum>
  <w:abstractNum w:abstractNumId="2">
    <w:nsid w:val="625558EC"/>
    <w:multiLevelType w:val="hybridMultilevel"/>
    <w:lvl w:ilvl="0">
      <w:lvlJc w:val="left"/>
      <w:lvlText w:val="%1"/>
      <w:numFmt w:val="decimal"/>
      <w:start w:val="11"/>
    </w:lvl>
  </w:abstractNum>
  <w:abstractNum w:abstractNumId="3">
    <w:nsid w:val="238E1F29"/>
    <w:multiLevelType w:val="hybridMultilevel"/>
    <w:lvl w:ilvl="0">
      <w:lvlJc w:val="left"/>
      <w:lvlText w:val="%1"/>
      <w:numFmt w:val="decimal"/>
      <w:start w:val="27"/>
    </w:lvl>
    <w:lvl w:ilvl="1">
      <w:lvlJc w:val="left"/>
      <w:lvlText w:val="(%2)"/>
      <w:numFmt w:val="lowerLetter"/>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2019-12-13T08:13:27Z</dcterms:created>
  <dcterms:modified xsi:type="dcterms:W3CDTF">2019-12-13T08:13:27Z</dcterms:modified>
</cp:coreProperties>
</file>