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168910</wp:posOffset>
            </wp:positionV>
            <wp:extent cx="60801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30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5" w:lineRule="exact"/>
        <w:rPr>
          <w:sz w:val="24"/>
          <w:szCs w:val="24"/>
          <w:color w:val="auto"/>
        </w:rPr>
      </w:pPr>
    </w:p>
    <w:p>
      <w:pPr>
        <w:ind w:left="260" w:hanging="225"/>
        <w:spacing w:after="0"/>
        <w:tabs>
          <w:tab w:leader="none" w:pos="26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15" w:lineRule="exact"/>
        <w:rPr>
          <w:sz w:val="24"/>
          <w:szCs w:val="24"/>
          <w:color w:val="auto"/>
        </w:rPr>
      </w:pPr>
    </w:p>
    <w:p>
      <w:pPr>
        <w:ind w:left="260" w:hanging="225"/>
        <w:spacing w:after="0"/>
        <w:tabs>
          <w:tab w:leader="none" w:pos="26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1-671</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GRAHAM HOLDINGS COMPANY</w:t>
      </w:r>
    </w:p>
    <w:p>
      <w:pPr>
        <w:spacing w:after="0" w:line="164" w:lineRule="exact"/>
        <w:rPr>
          <w:sz w:val="24"/>
          <w:szCs w:val="24"/>
          <w:color w:val="auto"/>
        </w:rPr>
      </w:pPr>
    </w:p>
    <w:tbl>
      <w:tblPr>
        <w:tblLayout w:type="fixed"/>
        <w:tblInd w:w="820" w:type="dxa"/>
        <w:tblCellMar>
          <w:top w:w="0" w:type="dxa"/>
          <w:left w:w="0" w:type="dxa"/>
          <w:bottom w:w="0" w:type="dxa"/>
          <w:right w:w="0" w:type="dxa"/>
        </w:tblCellMar>
      </w:tblPr>
      <w:tr>
        <w:trPr>
          <w:trHeight w:val="217"/>
        </w:trPr>
        <w:tc>
          <w:tcPr>
            <w:tcW w:w="2260" w:type="dxa"/>
            <w:vAlign w:val="bottom"/>
          </w:tcPr>
          <w:p>
            <w:pPr>
              <w:spacing w:after="0"/>
              <w:rPr>
                <w:sz w:val="18"/>
                <w:szCs w:val="18"/>
                <w:color w:val="auto"/>
              </w:rPr>
            </w:pPr>
          </w:p>
        </w:tc>
        <w:tc>
          <w:tcPr>
            <w:tcW w:w="5060" w:type="dxa"/>
            <w:vAlign w:val="bottom"/>
          </w:tcPr>
          <w:p>
            <w:pPr>
              <w:ind w:left="580"/>
              <w:spacing w:after="0"/>
              <w:rPr>
                <w:sz w:val="20"/>
                <w:szCs w:val="20"/>
                <w:color w:val="auto"/>
              </w:rPr>
            </w:pPr>
            <w:r>
              <w:rPr>
                <w:rFonts w:ascii="Arial" w:cs="Arial" w:eastAsia="Arial" w:hAnsi="Arial"/>
                <w:sz w:val="18"/>
                <w:szCs w:val="18"/>
                <w:color w:val="auto"/>
              </w:rPr>
              <w:t>(Exact name of registrant as specified in its charter)</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2260" w:type="dxa"/>
            <w:vAlign w:val="bottom"/>
          </w:tcPr>
          <w:p>
            <w:pPr>
              <w:jc w:val="center"/>
              <w:ind w:left="1181"/>
              <w:spacing w:after="0"/>
              <w:rPr>
                <w:sz w:val="20"/>
                <w:szCs w:val="20"/>
                <w:color w:val="auto"/>
              </w:rPr>
            </w:pPr>
            <w:r>
              <w:rPr>
                <w:rFonts w:ascii="Arial" w:cs="Arial" w:eastAsia="Arial" w:hAnsi="Arial"/>
                <w:sz w:val="18"/>
                <w:szCs w:val="18"/>
                <w:b w:val="1"/>
                <w:bCs w:val="1"/>
                <w:color w:val="auto"/>
              </w:rPr>
              <w:t>Delaware</w:t>
            </w:r>
          </w:p>
        </w:tc>
        <w:tc>
          <w:tcPr>
            <w:tcW w:w="5060" w:type="dxa"/>
            <w:vAlign w:val="bottom"/>
          </w:tcPr>
          <w:p>
            <w:pPr>
              <w:spacing w:after="0"/>
              <w:rPr>
                <w:sz w:val="24"/>
                <w:szCs w:val="24"/>
                <w:color w:val="auto"/>
              </w:rPr>
            </w:pPr>
          </w:p>
        </w:tc>
        <w:tc>
          <w:tcPr>
            <w:tcW w:w="160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c>
          <w:tcPr>
            <w:tcW w:w="0" w:type="dxa"/>
            <w:vAlign w:val="bottom"/>
          </w:tcPr>
          <w:p>
            <w:pPr>
              <w:spacing w:after="0"/>
              <w:rPr>
                <w:sz w:val="1"/>
                <w:szCs w:val="1"/>
                <w:color w:val="auto"/>
              </w:rPr>
            </w:pPr>
          </w:p>
        </w:tc>
      </w:tr>
      <w:tr>
        <w:trPr>
          <w:trHeight w:val="203"/>
        </w:trPr>
        <w:tc>
          <w:tcPr>
            <w:tcW w:w="7320" w:type="dxa"/>
            <w:vAlign w:val="bottom"/>
            <w:gridSpan w:val="2"/>
          </w:tcPr>
          <w:p>
            <w:pPr>
              <w:jc w:val="center"/>
              <w:ind w:right="3710"/>
              <w:spacing w:after="0"/>
              <w:rPr>
                <w:sz w:val="20"/>
                <w:szCs w:val="20"/>
                <w:color w:val="auto"/>
              </w:rPr>
            </w:pPr>
            <w:r>
              <w:rPr>
                <w:rFonts w:ascii="Arial" w:cs="Arial" w:eastAsia="Arial" w:hAnsi="Arial"/>
                <w:sz w:val="14"/>
                <w:szCs w:val="14"/>
                <w:b w:val="1"/>
                <w:bCs w:val="1"/>
                <w:color w:val="auto"/>
              </w:rPr>
              <w:t>(State or other jurisdiction of</w:t>
            </w:r>
          </w:p>
        </w:tc>
        <w:tc>
          <w:tcPr>
            <w:tcW w:w="1600" w:type="dxa"/>
            <w:vAlign w:val="bottom"/>
          </w:tcPr>
          <w:p>
            <w:pPr>
              <w:jc w:val="center"/>
              <w:ind w:left="301"/>
              <w:spacing w:after="0"/>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7320" w:type="dxa"/>
            <w:vAlign w:val="bottom"/>
            <w:gridSpan w:val="2"/>
          </w:tcPr>
          <w:p>
            <w:pPr>
              <w:jc w:val="center"/>
              <w:ind w:right="3710"/>
              <w:spacing w:after="0"/>
              <w:rPr>
                <w:sz w:val="20"/>
                <w:szCs w:val="20"/>
                <w:color w:val="auto"/>
              </w:rPr>
            </w:pPr>
            <w:r>
              <w:rPr>
                <w:rFonts w:ascii="Arial" w:cs="Arial" w:eastAsia="Arial" w:hAnsi="Arial"/>
                <w:sz w:val="14"/>
                <w:szCs w:val="14"/>
                <w:b w:val="1"/>
                <w:bCs w:val="1"/>
                <w:color w:val="auto"/>
              </w:rPr>
              <w:t>incorporation or organization)</w:t>
            </w:r>
          </w:p>
        </w:tc>
        <w:tc>
          <w:tcPr>
            <w:tcW w:w="1600" w:type="dxa"/>
            <w:vAlign w:val="bottom"/>
          </w:tcPr>
          <w:p>
            <w:pPr>
              <w:jc w:val="center"/>
              <w:ind w:left="321"/>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377"/>
        </w:trPr>
        <w:tc>
          <w:tcPr>
            <w:tcW w:w="2260" w:type="dxa"/>
            <w:vAlign w:val="bottom"/>
          </w:tcPr>
          <w:p>
            <w:pPr>
              <w:spacing w:after="0"/>
              <w:rPr>
                <w:sz w:val="20"/>
                <w:szCs w:val="20"/>
                <w:color w:val="auto"/>
              </w:rPr>
            </w:pPr>
            <w:r>
              <w:rPr>
                <w:rFonts w:ascii="Arial" w:cs="Arial" w:eastAsia="Arial" w:hAnsi="Arial"/>
                <w:sz w:val="18"/>
                <w:szCs w:val="18"/>
                <w:b w:val="1"/>
                <w:bCs w:val="1"/>
                <w:color w:val="auto"/>
              </w:rPr>
              <w:t>1300 North 17th Street ,</w:t>
            </w:r>
          </w:p>
        </w:tc>
        <w:tc>
          <w:tcPr>
            <w:tcW w:w="5060" w:type="dxa"/>
            <w:vAlign w:val="bottom"/>
          </w:tcPr>
          <w:p>
            <w:pPr>
              <w:ind w:left="120"/>
              <w:spacing w:after="0"/>
              <w:rPr>
                <w:sz w:val="20"/>
                <w:szCs w:val="20"/>
                <w:color w:val="auto"/>
              </w:rPr>
            </w:pPr>
            <w:r>
              <w:rPr>
                <w:rFonts w:ascii="Arial" w:cs="Arial" w:eastAsia="Arial" w:hAnsi="Arial"/>
                <w:sz w:val="18"/>
                <w:szCs w:val="18"/>
                <w:b w:val="1"/>
                <w:bCs w:val="1"/>
                <w:color w:val="auto"/>
              </w:rPr>
              <w:t>Arlington ,  Virginia</w:t>
            </w:r>
          </w:p>
        </w:tc>
        <w:tc>
          <w:tcPr>
            <w:tcW w:w="160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c>
          <w:tcPr>
            <w:tcW w:w="0" w:type="dxa"/>
            <w:vAlign w:val="bottom"/>
          </w:tcPr>
          <w:p>
            <w:pPr>
              <w:spacing w:after="0"/>
              <w:rPr>
                <w:sz w:val="1"/>
                <w:szCs w:val="1"/>
                <w:color w:val="auto"/>
              </w:rPr>
            </w:pPr>
          </w:p>
        </w:tc>
      </w:tr>
      <w:tr>
        <w:trPr>
          <w:trHeight w:val="231"/>
        </w:trPr>
        <w:tc>
          <w:tcPr>
            <w:tcW w:w="7320" w:type="dxa"/>
            <w:vAlign w:val="bottom"/>
            <w:gridSpan w:val="2"/>
          </w:tcPr>
          <w:p>
            <w:pPr>
              <w:jc w:val="center"/>
              <w:ind w:right="3710"/>
              <w:spacing w:after="0"/>
              <w:rPr>
                <w:sz w:val="20"/>
                <w:szCs w:val="20"/>
                <w:color w:val="auto"/>
              </w:rPr>
            </w:pPr>
            <w:r>
              <w:rPr>
                <w:rFonts w:ascii="Arial" w:cs="Arial" w:eastAsia="Arial" w:hAnsi="Arial"/>
                <w:sz w:val="14"/>
                <w:szCs w:val="14"/>
                <w:b w:val="1"/>
                <w:bCs w:val="1"/>
                <w:color w:val="auto"/>
              </w:rPr>
              <w:t>(Address of principal executive offices)</w:t>
            </w:r>
          </w:p>
        </w:tc>
        <w:tc>
          <w:tcPr>
            <w:tcW w:w="1600" w:type="dxa"/>
            <w:vAlign w:val="bottom"/>
            <w:vMerge w:val="restart"/>
          </w:tcPr>
          <w:p>
            <w:pPr>
              <w:jc w:val="center"/>
              <w:ind w:left="321"/>
              <w:spacing w:after="0"/>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r>
        <w:trPr>
          <w:trHeight w:val="54"/>
        </w:trPr>
        <w:tc>
          <w:tcPr>
            <w:tcW w:w="2260" w:type="dxa"/>
            <w:vAlign w:val="bottom"/>
          </w:tcPr>
          <w:p>
            <w:pPr>
              <w:spacing w:after="0"/>
              <w:rPr>
                <w:sz w:val="4"/>
                <w:szCs w:val="4"/>
                <w:color w:val="auto"/>
              </w:rPr>
            </w:pPr>
          </w:p>
        </w:tc>
        <w:tc>
          <w:tcPr>
            <w:tcW w:w="5060" w:type="dxa"/>
            <w:vAlign w:val="bottom"/>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(703) 345-6300</w:t>
      </w:r>
    </w:p>
    <w:p>
      <w:pPr>
        <w:spacing w:after="0" w:line="73" w:lineRule="exact"/>
        <w:rPr>
          <w:sz w:val="24"/>
          <w:szCs w:val="24"/>
          <w:color w:val="auto"/>
        </w:rPr>
      </w:pPr>
    </w:p>
    <w:p>
      <w:pPr>
        <w:ind w:left="390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0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87" w:lineRule="exact"/>
        <w:rPr>
          <w:sz w:val="24"/>
          <w:szCs w:val="24"/>
          <w:color w:val="auto"/>
        </w:rPr>
      </w:pPr>
    </w:p>
    <w:tbl>
      <w:tblPr>
        <w:tblLayout w:type="fixed"/>
        <w:tblInd w:w="0" w:type="dxa"/>
        <w:tblCellMar>
          <w:top w:w="0" w:type="dxa"/>
          <w:left w:w="0" w:type="dxa"/>
          <w:bottom w:w="0" w:type="dxa"/>
          <w:right w:w="0" w:type="dxa"/>
        </w:tblCellMar>
      </w:tblPr>
      <w:tr>
        <w:trPr>
          <w:trHeight w:val="208"/>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240" w:type="dxa"/>
            <w:vAlign w:val="bottom"/>
          </w:tcPr>
          <w:p>
            <w:pPr>
              <w:spacing w:after="0"/>
              <w:rPr>
                <w:sz w:val="18"/>
                <w:szCs w:val="18"/>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Symbol(s)</w:t>
            </w:r>
          </w:p>
        </w:tc>
        <w:tc>
          <w:tcPr>
            <w:tcW w:w="220" w:type="dxa"/>
            <w:vAlign w:val="bottom"/>
          </w:tcPr>
          <w:p>
            <w:pPr>
              <w:spacing w:after="0"/>
              <w:rPr>
                <w:sz w:val="18"/>
                <w:szCs w:val="18"/>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24"/>
        </w:trPr>
        <w:tc>
          <w:tcPr>
            <w:tcW w:w="5040" w:type="dxa"/>
            <w:vAlign w:val="bottom"/>
            <w:gridSpan w:val="2"/>
          </w:tcPr>
          <w:p>
            <w:pPr>
              <w:jc w:val="center"/>
              <w:ind w:right="240"/>
              <w:spacing w:after="0"/>
              <w:rPr>
                <w:sz w:val="20"/>
                <w:szCs w:val="20"/>
                <w:color w:val="auto"/>
              </w:rPr>
            </w:pPr>
            <w:r>
              <w:rPr>
                <w:rFonts w:ascii="Arial" w:cs="Arial" w:eastAsia="Arial" w:hAnsi="Arial"/>
                <w:sz w:val="16"/>
                <w:szCs w:val="16"/>
                <w:color w:val="auto"/>
              </w:rPr>
              <w:t>Class B Common Stock, par value $1.00 per share</w:t>
            </w:r>
          </w:p>
        </w:tc>
        <w:tc>
          <w:tcPr>
            <w:tcW w:w="2160" w:type="dxa"/>
            <w:vAlign w:val="bottom"/>
            <w:gridSpan w:val="2"/>
          </w:tcPr>
          <w:p>
            <w:pPr>
              <w:jc w:val="center"/>
              <w:ind w:right="200"/>
              <w:spacing w:after="0"/>
              <w:rPr>
                <w:sz w:val="20"/>
                <w:szCs w:val="20"/>
                <w:color w:val="auto"/>
              </w:rPr>
            </w:pPr>
            <w:r>
              <w:rPr>
                <w:rFonts w:ascii="Arial" w:cs="Arial" w:eastAsia="Arial" w:hAnsi="Arial"/>
                <w:sz w:val="16"/>
                <w:szCs w:val="16"/>
                <w:color w:val="auto"/>
              </w:rPr>
              <w:t>GHC</w:t>
            </w:r>
          </w:p>
        </w:tc>
        <w:tc>
          <w:tcPr>
            <w:tcW w:w="422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235" w:lineRule="exact"/>
        <w:rPr>
          <w:sz w:val="24"/>
          <w:szCs w:val="24"/>
          <w:color w:val="auto"/>
        </w:rPr>
      </w:pPr>
    </w:p>
    <w:p>
      <w:pPr>
        <w:ind w:right="80"/>
        <w:spacing w:after="0" w:line="20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62" w:lineRule="exact"/>
        <w:rPr>
          <w:sz w:val="24"/>
          <w:szCs w:val="24"/>
          <w:color w:val="auto"/>
        </w:rPr>
      </w:pPr>
    </w:p>
    <w:p>
      <w:pPr>
        <w:ind w:right="20"/>
        <w:spacing w:after="0" w:line="20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76" w:lineRule="exact"/>
        <w:rPr>
          <w:sz w:val="24"/>
          <w:szCs w:val="24"/>
          <w:color w:val="auto"/>
        </w:rPr>
      </w:pPr>
    </w:p>
    <w:p>
      <w:pPr>
        <w:ind w:right="20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80" w:type="dxa"/>
        <w:tblCellMar>
          <w:top w:w="0" w:type="dxa"/>
          <w:left w:w="0" w:type="dxa"/>
          <w:bottom w:w="0" w:type="dxa"/>
          <w:right w:w="0" w:type="dxa"/>
        </w:tblCellMar>
      </w:tblPr>
      <w:tr>
        <w:trPr>
          <w:trHeight w:val="189"/>
        </w:trPr>
        <w:tc>
          <w:tcPr>
            <w:tcW w:w="2400" w:type="dxa"/>
            <w:vAlign w:val="bottom"/>
            <w:vMerge w:val="restart"/>
          </w:tcPr>
          <w:p>
            <w:pPr>
              <w:spacing w:after="0" w:line="41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36"/>
                <w:szCs w:val="36"/>
                <w:color w:val="auto"/>
                <w:vertAlign w:val="superscript"/>
              </w:rPr>
              <w:t>☒</w:t>
            </w:r>
          </w:p>
        </w:tc>
        <w:tc>
          <w:tcPr>
            <w:tcW w:w="1480" w:type="dxa"/>
            <w:vAlign w:val="bottom"/>
          </w:tcPr>
          <w:p>
            <w:pPr>
              <w:jc w:val="center"/>
              <w:spacing w:after="0"/>
              <w:rPr>
                <w:sz w:val="20"/>
                <w:szCs w:val="20"/>
                <w:color w:val="auto"/>
              </w:rPr>
            </w:pPr>
            <w:r>
              <w:rPr>
                <w:rFonts w:ascii="Arial" w:cs="Arial" w:eastAsia="Arial" w:hAnsi="Arial"/>
                <w:sz w:val="16"/>
                <w:szCs w:val="16"/>
                <w:color w:val="auto"/>
              </w:rPr>
              <w:t>Accelerated</w:t>
            </w:r>
          </w:p>
        </w:tc>
        <w:tc>
          <w:tcPr>
            <w:tcW w:w="720" w:type="dxa"/>
            <w:vAlign w:val="bottom"/>
            <w:vMerge w:val="restart"/>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6"/>
                <w:szCs w:val="16"/>
                <w:color w:val="auto"/>
              </w:rPr>
              <w:t>Non-accelerated</w:t>
            </w:r>
          </w:p>
        </w:tc>
        <w:tc>
          <w:tcPr>
            <w:tcW w:w="620" w:type="dxa"/>
            <w:vAlign w:val="bottom"/>
            <w:vMerge w:val="restart"/>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6"/>
                <w:szCs w:val="16"/>
                <w:color w:val="auto"/>
              </w:rPr>
              <w:t>Smaller reporting</w:t>
            </w:r>
          </w:p>
        </w:tc>
        <w:tc>
          <w:tcPr>
            <w:tcW w:w="60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680" w:type="dxa"/>
            <w:vAlign w:val="bottom"/>
          </w:tcPr>
          <w:p>
            <w:pPr>
              <w:jc w:val="center"/>
              <w:spacing w:after="0"/>
              <w:rPr>
                <w:sz w:val="20"/>
                <w:szCs w:val="20"/>
                <w:color w:val="auto"/>
              </w:rPr>
            </w:pPr>
            <w:r>
              <w:rPr>
                <w:rFonts w:ascii="Arial" w:cs="Arial" w:eastAsia="Arial" w:hAnsi="Arial"/>
                <w:sz w:val="16"/>
                <w:szCs w:val="16"/>
                <w:color w:val="auto"/>
              </w:rPr>
              <w:t>Emerging growth</w:t>
            </w:r>
          </w:p>
        </w:tc>
        <w:tc>
          <w:tcPr>
            <w:tcW w:w="38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21"/>
        </w:trPr>
        <w:tc>
          <w:tcPr>
            <w:tcW w:w="2400" w:type="dxa"/>
            <w:vAlign w:val="bottom"/>
            <w:vMerge w:val="continue"/>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rPr>
              <w:t>filer</w:t>
            </w:r>
          </w:p>
        </w:tc>
        <w:tc>
          <w:tcPr>
            <w:tcW w:w="720" w:type="dxa"/>
            <w:vAlign w:val="bottom"/>
            <w:vMerge w:val="continue"/>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filer</w:t>
            </w:r>
          </w:p>
        </w:tc>
        <w:tc>
          <w:tcPr>
            <w:tcW w:w="620" w:type="dxa"/>
            <w:vAlign w:val="bottom"/>
            <w:vMerge w:val="continue"/>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company</w:t>
            </w:r>
          </w:p>
        </w:tc>
        <w:tc>
          <w:tcPr>
            <w:tcW w:w="600" w:type="dxa"/>
            <w:vAlign w:val="bottom"/>
            <w:vMerge w:val="continue"/>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company</w:t>
            </w:r>
          </w:p>
        </w:tc>
        <w:tc>
          <w:tcPr>
            <w:tcW w:w="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9" w:lineRule="exact"/>
        <w:rPr>
          <w:sz w:val="24"/>
          <w:szCs w:val="24"/>
          <w:color w:val="auto"/>
        </w:rPr>
      </w:pPr>
    </w:p>
    <w:p>
      <w:pPr>
        <w:spacing w:after="0" w:line="207" w:lineRule="exact"/>
        <w:tabs>
          <w:tab w:leader="none" w:pos="9840" w:val="left"/>
        </w:tabs>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6" w:lineRule="exact"/>
        <w:rPr>
          <w:sz w:val="24"/>
          <w:szCs w:val="24"/>
          <w:color w:val="auto"/>
        </w:rPr>
      </w:pPr>
    </w:p>
    <w:p>
      <w:pPr>
        <w:spacing w:after="0"/>
        <w:rPr>
          <w:sz w:val="20"/>
          <w:szCs w:val="20"/>
          <w:color w:val="auto"/>
        </w:rPr>
      </w:pPr>
      <w:r>
        <w:rPr>
          <w:rFonts w:ascii="Arial" w:cs="Arial" w:eastAsia="Arial" w:hAnsi="Arial"/>
          <w:sz w:val="18"/>
          <w:szCs w:val="18"/>
          <w:color w:val="auto"/>
        </w:rPr>
        <w:t>Shares outstanding at July 26, 2019:</w:t>
      </w:r>
    </w:p>
    <w:p>
      <w:pPr>
        <w:spacing w:after="0" w:line="158"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A Common Stock – 964,001 Shares</w:t>
      </w:r>
    </w:p>
    <w:p>
      <w:pPr>
        <w:spacing w:after="0" w:line="9"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B Common Stock – 4,350,579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58"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GRAHAM HOLDINGS COMPANY</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Form 10-Q</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180" w:type="dxa"/>
            <w:vAlign w:val="bottom"/>
            <w:gridSpan w:val="2"/>
          </w:tcPr>
          <w:p>
            <w:pPr>
              <w:spacing w:after="0"/>
              <w:rPr>
                <w:sz w:val="20"/>
                <w:szCs w:val="20"/>
                <w:color w:val="auto"/>
              </w:rPr>
            </w:pPr>
            <w:r>
              <w:rPr>
                <w:rFonts w:ascii="Arial" w:cs="Arial" w:eastAsia="Arial" w:hAnsi="Arial"/>
                <w:sz w:val="16"/>
                <w:szCs w:val="16"/>
                <w:color w:val="auto"/>
              </w:rPr>
              <w:t>PART I. FINANCIAL INFORMATION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86"/>
        </w:trPr>
        <w:tc>
          <w:tcPr>
            <w:tcW w:w="840" w:type="dxa"/>
            <w:vAlign w:val="bottom"/>
          </w:tcPr>
          <w:p>
            <w:pPr>
              <w:spacing w:after="0"/>
              <w:rPr>
                <w:sz w:val="20"/>
                <w:szCs w:val="20"/>
                <w:color w:val="auto"/>
              </w:rPr>
            </w:pPr>
            <w:r>
              <w:rPr>
                <w:rFonts w:ascii="Arial" w:cs="Arial" w:eastAsia="Arial" w:hAnsi="Arial"/>
                <w:sz w:val="16"/>
                <w:szCs w:val="16"/>
                <w:color w:val="auto"/>
              </w:rPr>
              <w:t>Item 1.</w:t>
            </w:r>
          </w:p>
        </w:tc>
        <w:tc>
          <w:tcPr>
            <w:tcW w:w="10340" w:type="dxa"/>
            <w:vAlign w:val="bottom"/>
          </w:tcPr>
          <w:p>
            <w:pPr>
              <w:ind w:left="80"/>
              <w:spacing w:after="0"/>
              <w:rPr>
                <w:sz w:val="20"/>
                <w:szCs w:val="20"/>
                <w:color w:val="auto"/>
              </w:rPr>
            </w:pPr>
            <w:r>
              <w:rPr>
                <w:rFonts w:ascii="Arial" w:cs="Arial" w:eastAsia="Arial" w:hAnsi="Arial"/>
                <w:sz w:val="16"/>
                <w:szCs w:val="16"/>
                <w:color w:val="auto"/>
              </w:rPr>
              <w:t>Financial Statements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a. Condensed Consolidated Statements of Operations (Unaudited) for the Three and Six Months Ended June 30, 2019 and 2018</w:t>
            </w:r>
          </w:p>
        </w:tc>
        <w:tc>
          <w:tcPr>
            <w:tcW w:w="180" w:type="dxa"/>
            <w:vAlign w:val="bottom"/>
            <w:gridSpan w:val="2"/>
          </w:tcPr>
          <w:p>
            <w:pPr>
              <w:jc w:val="right"/>
              <w:spacing w:after="0"/>
              <w:rPr>
                <w:rFonts w:ascii="Arial" w:cs="Arial" w:eastAsia="Arial" w:hAnsi="Arial"/>
                <w:sz w:val="16"/>
                <w:szCs w:val="16"/>
                <w:color w:val="0000EE"/>
              </w:rPr>
            </w:pPr>
            <w:hyperlink w:anchor="page3">
              <w:r>
                <w:rPr>
                  <w:rFonts w:ascii="Arial" w:cs="Arial" w:eastAsia="Arial" w:hAnsi="Arial"/>
                  <w:sz w:val="16"/>
                  <w:szCs w:val="16"/>
                  <w:color w:val="0000EE"/>
                </w:rPr>
                <w:t>1</w:t>
              </w:r>
            </w:hyperlink>
          </w:p>
        </w:tc>
      </w:tr>
      <w:tr>
        <w:trPr>
          <w:trHeight w:val="495"/>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b. Condensed Consolidated Statements of Comprehensive Income (Unaudited) for the Three and Six Months Ended June 30, 2019 and</w:t>
            </w: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160"/>
        </w:trPr>
        <w:tc>
          <w:tcPr>
            <w:tcW w:w="840" w:type="dxa"/>
            <w:vAlign w:val="bottom"/>
          </w:tcPr>
          <w:p>
            <w:pPr>
              <w:spacing w:after="0"/>
              <w:rPr>
                <w:sz w:val="13"/>
                <w:szCs w:val="13"/>
                <w:color w:val="auto"/>
              </w:rPr>
            </w:pPr>
          </w:p>
        </w:tc>
        <w:tc>
          <w:tcPr>
            <w:tcW w:w="10340" w:type="dxa"/>
            <w:vAlign w:val="bottom"/>
          </w:tcPr>
          <w:p>
            <w:pPr>
              <w:ind w:left="80"/>
              <w:spacing w:after="0" w:line="160" w:lineRule="exact"/>
              <w:rPr>
                <w:sz w:val="20"/>
                <w:szCs w:val="20"/>
                <w:color w:val="auto"/>
              </w:rPr>
            </w:pPr>
            <w:r>
              <w:rPr>
                <w:rFonts w:ascii="Arial" w:cs="Arial" w:eastAsia="Arial" w:hAnsi="Arial"/>
                <w:sz w:val="16"/>
                <w:szCs w:val="16"/>
                <w:color w:val="auto"/>
              </w:rPr>
              <w:t>2018</w:t>
            </w:r>
          </w:p>
        </w:tc>
        <w:tc>
          <w:tcPr>
            <w:tcW w:w="80" w:type="dxa"/>
            <w:vAlign w:val="bottom"/>
          </w:tcPr>
          <w:p>
            <w:pPr>
              <w:spacing w:after="0"/>
              <w:rPr>
                <w:sz w:val="13"/>
                <w:szCs w:val="13"/>
                <w:color w:val="auto"/>
              </w:rPr>
            </w:pPr>
          </w:p>
        </w:tc>
        <w:tc>
          <w:tcPr>
            <w:tcW w:w="100" w:type="dxa"/>
            <w:vAlign w:val="bottom"/>
            <w:tcBorders>
              <w:bottom w:val="single" w:sz="8" w:color="0000EE"/>
            </w:tcBorders>
          </w:tcPr>
          <w:p>
            <w:pPr>
              <w:jc w:val="right"/>
              <w:spacing w:after="0" w:line="160" w:lineRule="exact"/>
              <w:rPr>
                <w:rFonts w:ascii="Arial" w:cs="Arial" w:eastAsia="Arial" w:hAnsi="Arial"/>
                <w:sz w:val="16"/>
                <w:szCs w:val="16"/>
                <w:color w:val="0000EE"/>
                <w:w w:val="89"/>
              </w:rPr>
            </w:pPr>
            <w:hyperlink w:anchor="page4">
              <w:r>
                <w:rPr>
                  <w:rFonts w:ascii="Arial" w:cs="Arial" w:eastAsia="Arial" w:hAnsi="Arial"/>
                  <w:sz w:val="16"/>
                  <w:szCs w:val="16"/>
                  <w:color w:val="0000EE"/>
                  <w:w w:val="89"/>
                </w:rPr>
                <w:t>2</w:t>
              </w:r>
            </w:hyperlink>
          </w:p>
        </w:tc>
      </w:tr>
      <w:tr>
        <w:trPr>
          <w:trHeight w:val="466"/>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c. Condensed Consolidated Balance Sheets at June 30, 2019 (Unaudited) and December 31, 2018</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5">
              <w:r>
                <w:rPr>
                  <w:rFonts w:ascii="Arial" w:cs="Arial" w:eastAsia="Arial" w:hAnsi="Arial"/>
                  <w:sz w:val="16"/>
                  <w:szCs w:val="16"/>
                  <w:color w:val="0000EE"/>
                  <w:w w:val="89"/>
                </w:rPr>
                <w:t>3</w:t>
              </w:r>
            </w:hyperlink>
          </w:p>
        </w:tc>
      </w:tr>
      <w:tr>
        <w:trPr>
          <w:trHeight w:val="466"/>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d. Condensed Consolidated Statements of Cash Flows (Unaudited) for the Six Months Ended June 30, 2019 and 2018</w:t>
            </w:r>
          </w:p>
        </w:tc>
        <w:tc>
          <w:tcPr>
            <w:tcW w:w="180" w:type="dxa"/>
            <w:vAlign w:val="bottom"/>
            <w:gridSpan w:val="2"/>
          </w:tcPr>
          <w:p>
            <w:pPr>
              <w:jc w:val="right"/>
              <w:spacing w:after="0"/>
              <w:rPr>
                <w:rFonts w:ascii="Arial" w:cs="Arial" w:eastAsia="Arial" w:hAnsi="Arial"/>
                <w:sz w:val="16"/>
                <w:szCs w:val="16"/>
                <w:color w:val="0000EE"/>
              </w:rPr>
            </w:pPr>
            <w:hyperlink w:anchor="page7">
              <w:r>
                <w:rPr>
                  <w:rFonts w:ascii="Arial" w:cs="Arial" w:eastAsia="Arial" w:hAnsi="Arial"/>
                  <w:sz w:val="16"/>
                  <w:szCs w:val="16"/>
                  <w:color w:val="0000EE"/>
                </w:rPr>
                <w:t>4</w:t>
              </w:r>
            </w:hyperlink>
          </w:p>
        </w:tc>
      </w:tr>
      <w:tr>
        <w:trPr>
          <w:trHeight w:val="549"/>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e. Condensed Consolidated Statements of Changes in Common Stockholders' Equity (Unaudited) for the Three and Six Months Ended</w:t>
            </w: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160"/>
        </w:trPr>
        <w:tc>
          <w:tcPr>
            <w:tcW w:w="840" w:type="dxa"/>
            <w:vAlign w:val="bottom"/>
          </w:tcPr>
          <w:p>
            <w:pPr>
              <w:spacing w:after="0"/>
              <w:rPr>
                <w:sz w:val="13"/>
                <w:szCs w:val="13"/>
                <w:color w:val="auto"/>
              </w:rPr>
            </w:pPr>
          </w:p>
        </w:tc>
        <w:tc>
          <w:tcPr>
            <w:tcW w:w="10340" w:type="dxa"/>
            <w:vAlign w:val="bottom"/>
          </w:tcPr>
          <w:p>
            <w:pPr>
              <w:ind w:left="80"/>
              <w:spacing w:after="0" w:line="160" w:lineRule="exact"/>
              <w:rPr>
                <w:sz w:val="20"/>
                <w:szCs w:val="20"/>
                <w:color w:val="auto"/>
              </w:rPr>
            </w:pPr>
            <w:r>
              <w:rPr>
                <w:rFonts w:ascii="Arial" w:cs="Arial" w:eastAsia="Arial" w:hAnsi="Arial"/>
                <w:sz w:val="16"/>
                <w:szCs w:val="16"/>
                <w:color w:val="auto"/>
              </w:rPr>
              <w:t>June 30, 2019 and 2018</w:t>
            </w:r>
          </w:p>
        </w:tc>
        <w:tc>
          <w:tcPr>
            <w:tcW w:w="80" w:type="dxa"/>
            <w:vAlign w:val="bottom"/>
          </w:tcPr>
          <w:p>
            <w:pPr>
              <w:spacing w:after="0"/>
              <w:rPr>
                <w:sz w:val="13"/>
                <w:szCs w:val="13"/>
                <w:color w:val="auto"/>
              </w:rPr>
            </w:pPr>
          </w:p>
        </w:tc>
        <w:tc>
          <w:tcPr>
            <w:tcW w:w="100" w:type="dxa"/>
            <w:vAlign w:val="bottom"/>
            <w:tcBorders>
              <w:bottom w:val="single" w:sz="8" w:color="0000EE"/>
            </w:tcBorders>
          </w:tcPr>
          <w:p>
            <w:pPr>
              <w:jc w:val="right"/>
              <w:spacing w:after="0" w:line="160" w:lineRule="exact"/>
              <w:rPr>
                <w:rFonts w:ascii="Arial" w:cs="Arial" w:eastAsia="Arial" w:hAnsi="Arial"/>
                <w:sz w:val="16"/>
                <w:szCs w:val="16"/>
                <w:color w:val="0000EE"/>
                <w:w w:val="89"/>
              </w:rPr>
            </w:pPr>
            <w:hyperlink w:anchor="page8">
              <w:r>
                <w:rPr>
                  <w:rFonts w:ascii="Arial" w:cs="Arial" w:eastAsia="Arial" w:hAnsi="Arial"/>
                  <w:sz w:val="16"/>
                  <w:szCs w:val="16"/>
                  <w:color w:val="0000EE"/>
                  <w:w w:val="89"/>
                </w:rPr>
                <w:t>5</w:t>
              </w:r>
            </w:hyperlink>
          </w:p>
        </w:tc>
      </w:tr>
      <w:tr>
        <w:trPr>
          <w:trHeight w:val="466"/>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f. Notes to Condensed Consolidated Financial Statements (Unaudited)</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9">
              <w:r>
                <w:rPr>
                  <w:rFonts w:ascii="Arial" w:cs="Arial" w:eastAsia="Arial" w:hAnsi="Arial"/>
                  <w:sz w:val="16"/>
                  <w:szCs w:val="16"/>
                  <w:color w:val="0000EE"/>
                  <w:w w:val="89"/>
                </w:rPr>
                <w:t>6</w:t>
              </w:r>
            </w:hyperlink>
          </w:p>
        </w:tc>
      </w:tr>
      <w:tr>
        <w:trPr>
          <w:trHeight w:val="466"/>
        </w:trPr>
        <w:tc>
          <w:tcPr>
            <w:tcW w:w="840" w:type="dxa"/>
            <w:vAlign w:val="bottom"/>
          </w:tcPr>
          <w:p>
            <w:pPr>
              <w:spacing w:after="0"/>
              <w:rPr>
                <w:sz w:val="20"/>
                <w:szCs w:val="20"/>
                <w:color w:val="auto"/>
              </w:rPr>
            </w:pPr>
            <w:r>
              <w:rPr>
                <w:rFonts w:ascii="Arial" w:cs="Arial" w:eastAsia="Arial" w:hAnsi="Arial"/>
                <w:sz w:val="16"/>
                <w:szCs w:val="16"/>
                <w:color w:val="auto"/>
              </w:rPr>
              <w:t>Item 2.</w:t>
            </w:r>
          </w:p>
        </w:tc>
        <w:tc>
          <w:tcPr>
            <w:tcW w:w="10340" w:type="dxa"/>
            <w:vAlign w:val="bottom"/>
          </w:tcPr>
          <w:p>
            <w:pPr>
              <w:ind w:left="80"/>
              <w:spacing w:after="0"/>
              <w:rPr>
                <w:sz w:val="20"/>
                <w:szCs w:val="20"/>
                <w:color w:val="auto"/>
              </w:rPr>
            </w:pPr>
            <w:r>
              <w:rPr>
                <w:rFonts w:ascii="Arial" w:cs="Arial" w:eastAsia="Arial" w:hAnsi="Arial"/>
                <w:sz w:val="16"/>
                <w:szCs w:val="16"/>
                <w:color w:val="auto"/>
              </w:rPr>
              <w:t>Management’s Discussion and Analysis of Results of Operations and Financial Condition</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29">
              <w:r>
                <w:rPr>
                  <w:rFonts w:ascii="Arial" w:cs="Arial" w:eastAsia="Arial" w:hAnsi="Arial"/>
                  <w:sz w:val="16"/>
                  <w:szCs w:val="16"/>
                  <w:color w:val="0000EE"/>
                  <w:w w:val="89"/>
                </w:rPr>
                <w:t>26</w:t>
              </w:r>
            </w:hyperlink>
          </w:p>
        </w:tc>
      </w:tr>
      <w:tr>
        <w:trPr>
          <w:trHeight w:val="466"/>
        </w:trPr>
        <w:tc>
          <w:tcPr>
            <w:tcW w:w="840" w:type="dxa"/>
            <w:vAlign w:val="bottom"/>
          </w:tcPr>
          <w:p>
            <w:pPr>
              <w:spacing w:after="0"/>
              <w:rPr>
                <w:sz w:val="20"/>
                <w:szCs w:val="20"/>
                <w:color w:val="auto"/>
              </w:rPr>
            </w:pPr>
            <w:r>
              <w:rPr>
                <w:rFonts w:ascii="Arial" w:cs="Arial" w:eastAsia="Arial" w:hAnsi="Arial"/>
                <w:sz w:val="16"/>
                <w:szCs w:val="16"/>
                <w:color w:val="auto"/>
              </w:rPr>
              <w:t>Item 3.</w:t>
            </w:r>
          </w:p>
        </w:tc>
        <w:tc>
          <w:tcPr>
            <w:tcW w:w="10340" w:type="dxa"/>
            <w:vAlign w:val="bottom"/>
          </w:tcPr>
          <w:p>
            <w:pPr>
              <w:ind w:left="80"/>
              <w:spacing w:after="0"/>
              <w:rPr>
                <w:sz w:val="20"/>
                <w:szCs w:val="20"/>
                <w:color w:val="auto"/>
              </w:rPr>
            </w:pPr>
            <w:r>
              <w:rPr>
                <w:rFonts w:ascii="Arial" w:cs="Arial" w:eastAsia="Arial" w:hAnsi="Arial"/>
                <w:sz w:val="16"/>
                <w:szCs w:val="16"/>
                <w:color w:val="auto"/>
              </w:rPr>
              <w:t>Quantitative and Qualitative Disclosures about Market Risk</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8">
              <w:r>
                <w:rPr>
                  <w:rFonts w:ascii="Arial" w:cs="Arial" w:eastAsia="Arial" w:hAnsi="Arial"/>
                  <w:sz w:val="16"/>
                  <w:szCs w:val="16"/>
                  <w:color w:val="0000EE"/>
                  <w:w w:val="89"/>
                </w:rPr>
                <w:t>35</w:t>
              </w:r>
            </w:hyperlink>
          </w:p>
        </w:tc>
      </w:tr>
      <w:tr>
        <w:trPr>
          <w:trHeight w:val="466"/>
        </w:trPr>
        <w:tc>
          <w:tcPr>
            <w:tcW w:w="840" w:type="dxa"/>
            <w:vAlign w:val="bottom"/>
          </w:tcPr>
          <w:p>
            <w:pPr>
              <w:spacing w:after="0"/>
              <w:rPr>
                <w:sz w:val="20"/>
                <w:szCs w:val="20"/>
                <w:color w:val="auto"/>
              </w:rPr>
            </w:pPr>
            <w:r>
              <w:rPr>
                <w:rFonts w:ascii="Arial" w:cs="Arial" w:eastAsia="Arial" w:hAnsi="Arial"/>
                <w:sz w:val="16"/>
                <w:szCs w:val="16"/>
                <w:color w:val="auto"/>
              </w:rPr>
              <w:t>Item 4.</w:t>
            </w:r>
          </w:p>
        </w:tc>
        <w:tc>
          <w:tcPr>
            <w:tcW w:w="10340" w:type="dxa"/>
            <w:vAlign w:val="bottom"/>
          </w:tcPr>
          <w:p>
            <w:pPr>
              <w:ind w:left="80"/>
              <w:spacing w:after="0"/>
              <w:rPr>
                <w:sz w:val="20"/>
                <w:szCs w:val="20"/>
                <w:color w:val="auto"/>
              </w:rPr>
            </w:pPr>
            <w:r>
              <w:rPr>
                <w:rFonts w:ascii="Arial" w:cs="Arial" w:eastAsia="Arial" w:hAnsi="Arial"/>
                <w:sz w:val="16"/>
                <w:szCs w:val="16"/>
                <w:color w:val="auto"/>
              </w:rPr>
              <w:t>Controls and Procedures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8">
              <w:r>
                <w:rPr>
                  <w:rFonts w:ascii="Arial" w:cs="Arial" w:eastAsia="Arial" w:hAnsi="Arial"/>
                  <w:sz w:val="16"/>
                  <w:szCs w:val="16"/>
                  <w:color w:val="0000EE"/>
                  <w:w w:val="89"/>
                </w:rPr>
                <w:t>35</w:t>
              </w:r>
            </w:hyperlink>
          </w:p>
        </w:tc>
      </w:tr>
      <w:tr>
        <w:trPr>
          <w:trHeight w:val="501"/>
        </w:trPr>
        <w:tc>
          <w:tcPr>
            <w:tcW w:w="11180" w:type="dxa"/>
            <w:vAlign w:val="bottom"/>
            <w:gridSpan w:val="2"/>
          </w:tcPr>
          <w:p>
            <w:pPr>
              <w:spacing w:after="0"/>
              <w:rPr>
                <w:sz w:val="20"/>
                <w:szCs w:val="20"/>
                <w:color w:val="auto"/>
              </w:rPr>
            </w:pPr>
            <w:r>
              <w:rPr>
                <w:rFonts w:ascii="Arial" w:cs="Arial" w:eastAsia="Arial" w:hAnsi="Arial"/>
                <w:sz w:val="16"/>
                <w:szCs w:val="16"/>
                <w:color w:val="auto"/>
              </w:rPr>
              <w:t>PART II. 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840" w:type="dxa"/>
            <w:vAlign w:val="bottom"/>
          </w:tcPr>
          <w:p>
            <w:pPr>
              <w:spacing w:after="0"/>
              <w:rPr>
                <w:sz w:val="20"/>
                <w:szCs w:val="20"/>
                <w:color w:val="auto"/>
              </w:rPr>
            </w:pPr>
            <w:r>
              <w:rPr>
                <w:rFonts w:ascii="Arial" w:cs="Arial" w:eastAsia="Arial" w:hAnsi="Arial"/>
                <w:sz w:val="16"/>
                <w:szCs w:val="16"/>
                <w:color w:val="auto"/>
              </w:rPr>
              <w:t>Item 6.</w:t>
            </w:r>
          </w:p>
        </w:tc>
        <w:tc>
          <w:tcPr>
            <w:tcW w:w="10340" w:type="dxa"/>
            <w:vAlign w:val="bottom"/>
          </w:tcPr>
          <w:p>
            <w:pPr>
              <w:ind w:left="80"/>
              <w:spacing w:after="0"/>
              <w:rPr>
                <w:sz w:val="20"/>
                <w:szCs w:val="20"/>
                <w:color w:val="auto"/>
              </w:rPr>
            </w:pPr>
            <w:r>
              <w:rPr>
                <w:rFonts w:ascii="Arial" w:cs="Arial" w:eastAsia="Arial" w:hAnsi="Arial"/>
                <w:sz w:val="16"/>
                <w:szCs w:val="16"/>
                <w:color w:val="auto"/>
              </w:rPr>
              <w:t>Exhibits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9">
              <w:r>
                <w:rPr>
                  <w:rFonts w:ascii="Arial" w:cs="Arial" w:eastAsia="Arial" w:hAnsi="Arial"/>
                  <w:sz w:val="16"/>
                  <w:szCs w:val="16"/>
                  <w:color w:val="0000EE"/>
                  <w:w w:val="89"/>
                </w:rPr>
                <w:t>36</w:t>
              </w:r>
            </w:hyperlink>
          </w:p>
        </w:tc>
      </w:tr>
      <w:tr>
        <w:trPr>
          <w:trHeight w:val="466"/>
        </w:trPr>
        <w:tc>
          <w:tcPr>
            <w:tcW w:w="840" w:type="dxa"/>
            <w:vAlign w:val="bottom"/>
          </w:tcPr>
          <w:p>
            <w:pPr>
              <w:spacing w:after="0"/>
              <w:rPr>
                <w:sz w:val="20"/>
                <w:szCs w:val="20"/>
                <w:color w:val="auto"/>
              </w:rPr>
            </w:pPr>
            <w:r>
              <w:rPr>
                <w:rFonts w:ascii="Arial" w:cs="Arial" w:eastAsia="Arial" w:hAnsi="Arial"/>
                <w:sz w:val="16"/>
                <w:szCs w:val="16"/>
                <w:color w:val="auto"/>
              </w:rPr>
              <w:t>Signatures</w:t>
            </w:r>
          </w:p>
        </w:tc>
        <w:tc>
          <w:tcPr>
            <w:tcW w:w="103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40">
              <w:r>
                <w:rPr>
                  <w:rFonts w:ascii="Arial" w:cs="Arial" w:eastAsia="Arial" w:hAnsi="Arial"/>
                  <w:sz w:val="16"/>
                  <w:szCs w:val="16"/>
                  <w:color w:val="0000EE"/>
                  <w:w w:val="89"/>
                </w:rPr>
                <w:t>37</w:t>
              </w:r>
            </w:hyperlink>
          </w:p>
        </w:tc>
      </w:tr>
    </w:tbl>
    <w:p>
      <w:pPr>
        <w:sectPr>
          <w:pgSz w:w="11900" w:h="16838" w:orient="portrait"/>
          <w:cols w:equalWidth="0" w:num="1">
            <w:col w:w="11360"/>
          </w:cols>
          <w:pgMar w:left="280" w:top="711"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3"/>
          </w:tcPr>
          <w:p>
            <w:pPr>
              <w:jc w:val="right"/>
              <w:ind w:right="579"/>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340" w:type="dxa"/>
            <w:vAlign w:val="bottom"/>
            <w:gridSpan w:val="3"/>
          </w:tcPr>
          <w:p>
            <w:pPr>
              <w:jc w:val="right"/>
              <w:ind w:right="61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color w:val="auto"/>
              </w:rPr>
              <w:t>2018</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50"/>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737,602</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672,677</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1,429,801</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1,332,113</w:t>
            </w: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Operating Costs and Expenses</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Operating</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503,763</w:t>
            </w:r>
          </w:p>
        </w:tc>
        <w:tc>
          <w:tcPr>
            <w:tcW w:w="44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440,655</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980,993</w:t>
            </w:r>
          </w:p>
        </w:tc>
        <w:tc>
          <w:tcPr>
            <w:tcW w:w="4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805,806</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148,419</w:t>
            </w:r>
          </w:p>
        </w:tc>
        <w:tc>
          <w:tcPr>
            <w:tcW w:w="44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141,378</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296,802</w:t>
            </w:r>
          </w:p>
        </w:tc>
        <w:tc>
          <w:tcPr>
            <w:tcW w:w="4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366,423</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Depreciation of property, plant and equipment</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13,884</w:t>
            </w:r>
          </w:p>
        </w:tc>
        <w:tc>
          <w:tcPr>
            <w:tcW w:w="44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13,619</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27,407</w:t>
            </w:r>
          </w:p>
        </w:tc>
        <w:tc>
          <w:tcPr>
            <w:tcW w:w="4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28,261</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12,880</w:t>
            </w:r>
          </w:p>
        </w:tc>
        <w:tc>
          <w:tcPr>
            <w:tcW w:w="44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11,399</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25,940</w:t>
            </w:r>
          </w:p>
        </w:tc>
        <w:tc>
          <w:tcPr>
            <w:tcW w:w="4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21,783</w:t>
            </w:r>
          </w:p>
        </w:tc>
        <w:tc>
          <w:tcPr>
            <w:tcW w:w="0" w:type="dxa"/>
            <w:vAlign w:val="bottom"/>
          </w:tcPr>
          <w:p>
            <w:pPr>
              <w:spacing w:after="0"/>
              <w:rPr>
                <w:sz w:val="1"/>
                <w:szCs w:val="1"/>
                <w:color w:val="auto"/>
              </w:rPr>
            </w:pPr>
          </w:p>
        </w:tc>
      </w:tr>
      <w:tr>
        <w:trPr>
          <w:trHeight w:val="283"/>
        </w:trPr>
        <w:tc>
          <w:tcPr>
            <w:tcW w:w="6060" w:type="dxa"/>
            <w:vAlign w:val="bottom"/>
          </w:tcPr>
          <w:p>
            <w:pPr>
              <w:ind w:left="280"/>
              <w:spacing w:after="0"/>
              <w:rPr>
                <w:sz w:val="20"/>
                <w:szCs w:val="20"/>
                <w:color w:val="auto"/>
              </w:rPr>
            </w:pPr>
            <w:r>
              <w:rPr>
                <w:rFonts w:ascii="Arial" w:cs="Arial" w:eastAsia="Arial" w:hAnsi="Arial"/>
                <w:sz w:val="16"/>
                <w:szCs w:val="16"/>
                <w:color w:val="auto"/>
              </w:rPr>
              <w:t>Impairment of long-lived assets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693</w:t>
            </w: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693</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679,639</w:t>
            </w: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607,051</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1,331,835</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1,222,273</w:t>
            </w:r>
          </w:p>
        </w:tc>
        <w:tc>
          <w:tcPr>
            <w:tcW w:w="0" w:type="dxa"/>
            <w:vAlign w:val="bottom"/>
          </w:tcPr>
          <w:p>
            <w:pPr>
              <w:spacing w:after="0"/>
              <w:rPr>
                <w:sz w:val="1"/>
                <w:szCs w:val="1"/>
                <w:color w:val="auto"/>
              </w:rPr>
            </w:pPr>
          </w:p>
        </w:tc>
      </w:tr>
      <w:tr>
        <w:trPr>
          <w:trHeight w:val="25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Income from Operations</w:t>
            </w:r>
          </w:p>
        </w:tc>
        <w:tc>
          <w:tcPr>
            <w:tcW w:w="300" w:type="dxa"/>
            <w:vAlign w:val="bottom"/>
          </w:tcPr>
          <w:p>
            <w:pPr>
              <w:spacing w:after="0"/>
              <w:rPr>
                <w:sz w:val="21"/>
                <w:szCs w:val="21"/>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57,963</w:t>
            </w:r>
          </w:p>
        </w:tc>
        <w:tc>
          <w:tcPr>
            <w:tcW w:w="440" w:type="dxa"/>
            <w:vAlign w:val="bottom"/>
          </w:tcPr>
          <w:p>
            <w:pPr>
              <w:spacing w:after="0"/>
              <w:rPr>
                <w:sz w:val="21"/>
                <w:szCs w:val="21"/>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65,626</w:t>
            </w:r>
          </w:p>
        </w:tc>
        <w:tc>
          <w:tcPr>
            <w:tcW w:w="340" w:type="dxa"/>
            <w:vAlign w:val="bottom"/>
          </w:tcPr>
          <w:p>
            <w:pPr>
              <w:spacing w:after="0"/>
              <w:rPr>
                <w:sz w:val="21"/>
                <w:szCs w:val="21"/>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97,966</w:t>
            </w:r>
          </w:p>
        </w:tc>
        <w:tc>
          <w:tcPr>
            <w:tcW w:w="40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109,840</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Equity in earnings of affiliates, net</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1,467</w:t>
            </w:r>
          </w:p>
        </w:tc>
        <w:tc>
          <w:tcPr>
            <w:tcW w:w="44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931</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3,146</w:t>
            </w:r>
          </w:p>
        </w:tc>
        <w:tc>
          <w:tcPr>
            <w:tcW w:w="4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3,510</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1,579</w:t>
            </w:r>
          </w:p>
        </w:tc>
        <w:tc>
          <w:tcPr>
            <w:tcW w:w="44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1,901</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3,279</w:t>
            </w:r>
          </w:p>
        </w:tc>
        <w:tc>
          <w:tcPr>
            <w:tcW w:w="4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3,273</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(8,386)</w:t>
            </w:r>
          </w:p>
        </w:tc>
        <w:tc>
          <w:tcPr>
            <w:tcW w:w="44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(17,165)</w:t>
            </w:r>
          </w:p>
        </w:tc>
        <w:tc>
          <w:tcPr>
            <w:tcW w:w="3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b w:val="1"/>
                <w:bCs w:val="1"/>
                <w:color w:val="auto"/>
              </w:rPr>
              <w:t>(15,811)</w:t>
            </w: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(25,236)</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Debt extinguishment costs</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(11,378)</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(11,378)</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Non-operating pension and postretirement benefit income, net</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12,253</w:t>
            </w:r>
          </w:p>
        </w:tc>
        <w:tc>
          <w:tcPr>
            <w:tcW w:w="44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23,041</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32,181</w:t>
            </w:r>
          </w:p>
        </w:tc>
        <w:tc>
          <w:tcPr>
            <w:tcW w:w="4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44,427</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Gain (loss) on marketable equity securities, net</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7,791</w:t>
            </w:r>
          </w:p>
        </w:tc>
        <w:tc>
          <w:tcPr>
            <w:tcW w:w="44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(2,554)</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31,857</w:t>
            </w: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(16,656)</w:t>
            </w:r>
          </w:p>
        </w:tc>
        <w:tc>
          <w:tcPr>
            <w:tcW w:w="0" w:type="dxa"/>
            <w:vAlign w:val="bottom"/>
          </w:tcPr>
          <w:p>
            <w:pPr>
              <w:spacing w:after="0"/>
              <w:rPr>
                <w:sz w:val="1"/>
                <w:szCs w:val="1"/>
                <w:color w:val="auto"/>
              </w:rPr>
            </w:pPr>
          </w:p>
        </w:tc>
      </w:tr>
      <w:tr>
        <w:trPr>
          <w:trHeight w:val="283"/>
        </w:trPr>
        <w:tc>
          <w:tcPr>
            <w:tcW w:w="6060" w:type="dxa"/>
            <w:vAlign w:val="bottom"/>
          </w:tcPr>
          <w:p>
            <w:pPr>
              <w:ind w:left="280"/>
              <w:spacing w:after="0"/>
              <w:rPr>
                <w:sz w:val="20"/>
                <w:szCs w:val="20"/>
                <w:color w:val="auto"/>
              </w:rPr>
            </w:pPr>
            <w:r>
              <w:rPr>
                <w:rFonts w:ascii="Arial" w:cs="Arial" w:eastAsia="Arial" w:hAnsi="Arial"/>
                <w:sz w:val="16"/>
                <w:szCs w:val="16"/>
                <w:color w:val="auto"/>
              </w:rPr>
              <w:t>Other income, net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1,228</w:t>
            </w: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2,333</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30,579</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11,520</w:t>
            </w:r>
          </w:p>
        </w:tc>
        <w:tc>
          <w:tcPr>
            <w:tcW w:w="0" w:type="dxa"/>
            <w:vAlign w:val="bottom"/>
          </w:tcPr>
          <w:p>
            <w:pPr>
              <w:spacing w:after="0"/>
              <w:rPr>
                <w:sz w:val="1"/>
                <w:szCs w:val="1"/>
                <w:color w:val="auto"/>
              </w:rPr>
            </w:pPr>
          </w:p>
        </w:tc>
      </w:tr>
      <w:tr>
        <w:trPr>
          <w:trHeight w:val="25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300" w:type="dxa"/>
            <w:vAlign w:val="bottom"/>
          </w:tcPr>
          <w:p>
            <w:pPr>
              <w:spacing w:after="0"/>
              <w:rPr>
                <w:sz w:val="21"/>
                <w:szCs w:val="21"/>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73,895</w:t>
            </w:r>
          </w:p>
        </w:tc>
        <w:tc>
          <w:tcPr>
            <w:tcW w:w="440" w:type="dxa"/>
            <w:vAlign w:val="bottom"/>
          </w:tcPr>
          <w:p>
            <w:pPr>
              <w:spacing w:after="0"/>
              <w:rPr>
                <w:sz w:val="21"/>
                <w:szCs w:val="21"/>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62,735</w:t>
            </w:r>
          </w:p>
        </w:tc>
        <w:tc>
          <w:tcPr>
            <w:tcW w:w="340" w:type="dxa"/>
            <w:vAlign w:val="bottom"/>
          </w:tcPr>
          <w:p>
            <w:pPr>
              <w:spacing w:after="0"/>
              <w:rPr>
                <w:sz w:val="21"/>
                <w:szCs w:val="21"/>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183,197</w:t>
            </w:r>
          </w:p>
        </w:tc>
        <w:tc>
          <w:tcPr>
            <w:tcW w:w="40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119,300</w:t>
            </w:r>
          </w:p>
        </w:tc>
        <w:tc>
          <w:tcPr>
            <w:tcW w:w="0" w:type="dxa"/>
            <w:vAlign w:val="bottom"/>
          </w:tcPr>
          <w:p>
            <w:pPr>
              <w:spacing w:after="0"/>
              <w:rPr>
                <w:sz w:val="1"/>
                <w:szCs w:val="1"/>
                <w:color w:val="auto"/>
              </w:rPr>
            </w:pPr>
          </w:p>
        </w:tc>
      </w:tr>
      <w:tr>
        <w:trPr>
          <w:trHeight w:val="283"/>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16,700</w:t>
            </w: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16,100</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44,300</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29,700</w:t>
            </w:r>
          </w:p>
        </w:tc>
        <w:tc>
          <w:tcPr>
            <w:tcW w:w="0" w:type="dxa"/>
            <w:vAlign w:val="bottom"/>
          </w:tcPr>
          <w:p>
            <w:pPr>
              <w:spacing w:after="0"/>
              <w:rPr>
                <w:sz w:val="1"/>
                <w:szCs w:val="1"/>
                <w:color w:val="auto"/>
              </w:rPr>
            </w:pPr>
          </w:p>
        </w:tc>
      </w:tr>
      <w:tr>
        <w:trPr>
          <w:trHeight w:val="25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300" w:type="dxa"/>
            <w:vAlign w:val="bottom"/>
          </w:tcPr>
          <w:p>
            <w:pPr>
              <w:spacing w:after="0"/>
              <w:rPr>
                <w:sz w:val="21"/>
                <w:szCs w:val="21"/>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57,195</w:t>
            </w:r>
          </w:p>
        </w:tc>
        <w:tc>
          <w:tcPr>
            <w:tcW w:w="440" w:type="dxa"/>
            <w:vAlign w:val="bottom"/>
          </w:tcPr>
          <w:p>
            <w:pPr>
              <w:spacing w:after="0"/>
              <w:rPr>
                <w:sz w:val="21"/>
                <w:szCs w:val="21"/>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46,635</w:t>
            </w:r>
          </w:p>
        </w:tc>
        <w:tc>
          <w:tcPr>
            <w:tcW w:w="340" w:type="dxa"/>
            <w:vAlign w:val="bottom"/>
          </w:tcPr>
          <w:p>
            <w:pPr>
              <w:spacing w:after="0"/>
              <w:rPr>
                <w:sz w:val="21"/>
                <w:szCs w:val="21"/>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138,897</w:t>
            </w:r>
          </w:p>
        </w:tc>
        <w:tc>
          <w:tcPr>
            <w:tcW w:w="40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89,600</w:t>
            </w:r>
          </w:p>
        </w:tc>
        <w:tc>
          <w:tcPr>
            <w:tcW w:w="0" w:type="dxa"/>
            <w:vAlign w:val="bottom"/>
          </w:tcPr>
          <w:p>
            <w:pPr>
              <w:spacing w:after="0"/>
              <w:rPr>
                <w:sz w:val="1"/>
                <w:szCs w:val="1"/>
                <w:color w:val="auto"/>
              </w:rPr>
            </w:pPr>
          </w:p>
        </w:tc>
      </w:tr>
      <w:tr>
        <w:trPr>
          <w:trHeight w:val="283"/>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(114)</w:t>
            </w: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(68)</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184"/>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 Common</w:t>
            </w: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rPr>
              <w:t>57,081</w:t>
            </w: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auto"/>
              </w:rPr>
              <w:t>138,829</w:t>
            </w: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060" w:type="dxa"/>
            <w:vAlign w:val="bottom"/>
          </w:tcPr>
          <w:p>
            <w:pPr>
              <w:ind w:left="200"/>
              <w:spacing w:after="0"/>
              <w:rPr>
                <w:sz w:val="20"/>
                <w:szCs w:val="20"/>
                <w:color w:val="auto"/>
              </w:rPr>
            </w:pPr>
            <w:r>
              <w:rPr>
                <w:rFonts w:ascii="Arial" w:cs="Arial" w:eastAsia="Arial" w:hAnsi="Arial"/>
                <w:sz w:val="16"/>
                <w:szCs w:val="16"/>
                <w:b w:val="1"/>
                <w:bCs w:val="1"/>
                <w:color w:val="auto"/>
              </w:rPr>
              <w:t>Stockholders</w:t>
            </w:r>
          </w:p>
        </w:tc>
        <w:tc>
          <w:tcPr>
            <w:tcW w:w="30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46,566</w:t>
            </w:r>
          </w:p>
        </w:tc>
        <w:tc>
          <w:tcPr>
            <w:tcW w:w="34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89,457</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0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6060" w:type="dxa"/>
            <w:vAlign w:val="bottom"/>
          </w:tcPr>
          <w:p>
            <w:pPr>
              <w:ind w:left="200"/>
              <w:spacing w:after="0"/>
              <w:rPr>
                <w:sz w:val="20"/>
                <w:szCs w:val="20"/>
                <w:color w:val="auto"/>
              </w:rPr>
            </w:pPr>
            <w:r>
              <w:rPr>
                <w:rFonts w:ascii="Arial" w:cs="Arial" w:eastAsia="Arial" w:hAnsi="Arial"/>
                <w:sz w:val="16"/>
                <w:szCs w:val="16"/>
                <w:b w:val="1"/>
                <w:bCs w:val="1"/>
                <w:color w:val="auto"/>
              </w:rPr>
              <w:t>Stockholders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Basic net income per common share</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10.74</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8.69</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26.12</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16.52</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Basic average number of common shares outstanding</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5,285</w:t>
            </w:r>
          </w:p>
        </w:tc>
        <w:tc>
          <w:tcPr>
            <w:tcW w:w="44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5,325</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5,285</w:t>
            </w:r>
          </w:p>
        </w:tc>
        <w:tc>
          <w:tcPr>
            <w:tcW w:w="4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5,380</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Diluted net income per common share</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10.65</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8.63</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25.91</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16.40</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Diluted average number of common shares outstanding</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5,329</w:t>
            </w:r>
          </w:p>
        </w:tc>
        <w:tc>
          <w:tcPr>
            <w:tcW w:w="44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5,362</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5,328</w:t>
            </w:r>
          </w:p>
        </w:tc>
        <w:tc>
          <w:tcPr>
            <w:tcW w:w="4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5,417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69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9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9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7"/>
                <w:szCs w:val="17"/>
                <w:color w:val="auto"/>
              </w:rPr>
            </w:pPr>
          </w:p>
        </w:tc>
      </w:tr>
      <w:tr>
        <w:trPr>
          <w:trHeight w:val="264"/>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2018</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2018</w:t>
            </w:r>
          </w:p>
        </w:tc>
      </w:tr>
      <w:tr>
        <w:trPr>
          <w:trHeight w:val="250"/>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81"/>
              <w:spacing w:after="0"/>
              <w:rPr>
                <w:sz w:val="20"/>
                <w:szCs w:val="20"/>
                <w:color w:val="auto"/>
              </w:rPr>
            </w:pPr>
            <w:r>
              <w:rPr>
                <w:rFonts w:ascii="Arial" w:cs="Arial" w:eastAsia="Arial" w:hAnsi="Arial"/>
                <w:sz w:val="16"/>
                <w:szCs w:val="16"/>
                <w:b w:val="1"/>
                <w:bCs w:val="1"/>
                <w:color w:val="auto"/>
              </w:rPr>
              <w:t>57,195</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46,635</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1"/>
              <w:spacing w:after="0"/>
              <w:rPr>
                <w:sz w:val="20"/>
                <w:szCs w:val="20"/>
                <w:color w:val="auto"/>
              </w:rPr>
            </w:pPr>
            <w:r>
              <w:rPr>
                <w:rFonts w:ascii="Arial" w:cs="Arial" w:eastAsia="Arial" w:hAnsi="Arial"/>
                <w:sz w:val="16"/>
                <w:szCs w:val="16"/>
                <w:b w:val="1"/>
                <w:bCs w:val="1"/>
                <w:color w:val="auto"/>
              </w:rPr>
              <w:t>138,897</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89,600</w:t>
            </w:r>
          </w:p>
        </w:tc>
      </w:tr>
      <w:tr>
        <w:trPr>
          <w:trHeight w:val="270"/>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Loss, Before Tax</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0"/>
        </w:trPr>
        <w:tc>
          <w:tcPr>
            <w:tcW w:w="698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Translation adjustments arising during the period</w:t>
            </w:r>
          </w:p>
        </w:tc>
        <w:tc>
          <w:tcPr>
            <w:tcW w:w="240" w:type="dxa"/>
            <w:vAlign w:val="bottom"/>
          </w:tcPr>
          <w:p>
            <w:pPr>
              <w:spacing w:after="0"/>
              <w:rPr>
                <w:sz w:val="23"/>
                <w:szCs w:val="23"/>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b w:val="1"/>
                <w:bCs w:val="1"/>
                <w:color w:val="auto"/>
              </w:rPr>
              <w:t>(11,104)</w:t>
            </w:r>
          </w:p>
        </w:tc>
        <w:tc>
          <w:tcPr>
            <w:tcW w:w="36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(31,167)</w:t>
            </w:r>
          </w:p>
        </w:tc>
        <w:tc>
          <w:tcPr>
            <w:tcW w:w="280" w:type="dxa"/>
            <w:vAlign w:val="bottom"/>
          </w:tcPr>
          <w:p>
            <w:pPr>
              <w:spacing w:after="0"/>
              <w:rPr>
                <w:sz w:val="23"/>
                <w:szCs w:val="23"/>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(1,071)</w:t>
            </w:r>
          </w:p>
        </w:tc>
        <w:tc>
          <w:tcPr>
            <w:tcW w:w="3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(19,603)</w:t>
            </w:r>
          </w:p>
        </w:tc>
      </w:tr>
      <w:tr>
        <w:trPr>
          <w:trHeight w:val="270"/>
        </w:trPr>
        <w:tc>
          <w:tcPr>
            <w:tcW w:w="6980" w:type="dxa"/>
            <w:vAlign w:val="bottom"/>
          </w:tcPr>
          <w:p>
            <w:pPr>
              <w:ind w:left="180"/>
              <w:spacing w:after="0"/>
              <w:rPr>
                <w:sz w:val="20"/>
                <w:szCs w:val="20"/>
                <w:color w:val="auto"/>
              </w:rPr>
            </w:pPr>
            <w:r>
              <w:rPr>
                <w:rFonts w:ascii="Arial" w:cs="Arial" w:eastAsia="Arial" w:hAnsi="Arial"/>
                <w:sz w:val="16"/>
                <w:szCs w:val="16"/>
                <w:color w:val="auto"/>
              </w:rPr>
              <w:t>Pension and other postretirement plans:</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Amortization of net prior service (credit) cost included in net income</w:t>
            </w:r>
          </w:p>
        </w:tc>
        <w:tc>
          <w:tcPr>
            <w:tcW w:w="240" w:type="dxa"/>
            <w:vAlign w:val="bottom"/>
          </w:tcPr>
          <w:p>
            <w:pPr>
              <w:spacing w:after="0"/>
              <w:rPr>
                <w:sz w:val="23"/>
                <w:szCs w:val="23"/>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b w:val="1"/>
                <w:bCs w:val="1"/>
                <w:color w:val="auto"/>
              </w:rPr>
              <w:t>(931)</w:t>
            </w:r>
          </w:p>
        </w:tc>
        <w:tc>
          <w:tcPr>
            <w:tcW w:w="360" w:type="dxa"/>
            <w:vAlign w:val="bottom"/>
          </w:tcPr>
          <w:p>
            <w:pPr>
              <w:spacing w:after="0"/>
              <w:rPr>
                <w:sz w:val="23"/>
                <w:szCs w:val="23"/>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70</w:t>
            </w:r>
          </w:p>
        </w:tc>
        <w:tc>
          <w:tcPr>
            <w:tcW w:w="280" w:type="dxa"/>
            <w:vAlign w:val="bottom"/>
          </w:tcPr>
          <w:p>
            <w:pPr>
              <w:spacing w:after="0"/>
              <w:rPr>
                <w:sz w:val="23"/>
                <w:szCs w:val="23"/>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(2,278)</w:t>
            </w:r>
          </w:p>
        </w:tc>
        <w:tc>
          <w:tcPr>
            <w:tcW w:w="380" w:type="dxa"/>
            <w:vAlign w:val="bottom"/>
          </w:tcPr>
          <w:p>
            <w:pPr>
              <w:spacing w:after="0"/>
              <w:rPr>
                <w:sz w:val="23"/>
                <w:szCs w:val="23"/>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146</w:t>
            </w:r>
          </w:p>
        </w:tc>
      </w:tr>
      <w:tr>
        <w:trPr>
          <w:trHeight w:val="283"/>
        </w:trPr>
        <w:tc>
          <w:tcPr>
            <w:tcW w:w="6980" w:type="dxa"/>
            <w:vAlign w:val="bottom"/>
          </w:tcPr>
          <w:p>
            <w:pPr>
              <w:ind w:left="280"/>
              <w:spacing w:after="0"/>
              <w:rPr>
                <w:sz w:val="20"/>
                <w:szCs w:val="20"/>
                <w:color w:val="auto"/>
              </w:rPr>
            </w:pPr>
            <w:r>
              <w:rPr>
                <w:rFonts w:ascii="Arial" w:cs="Arial" w:eastAsia="Arial" w:hAnsi="Arial"/>
                <w:sz w:val="16"/>
                <w:szCs w:val="16"/>
                <w:color w:val="auto"/>
              </w:rPr>
              <w:t>Amortization of net actuarial gain included in net income</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(475)</w:t>
            </w: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(3,294)</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(1,023)</w:t>
            </w: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(4,661)</w:t>
            </w:r>
          </w:p>
        </w:tc>
      </w:tr>
      <w:tr>
        <w:trPr>
          <w:trHeight w:val="251"/>
        </w:trPr>
        <w:tc>
          <w:tcPr>
            <w:tcW w:w="6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b w:val="1"/>
                <w:bCs w:val="1"/>
                <w:color w:val="auto"/>
              </w:rPr>
              <w:t>(1,406)</w:t>
            </w:r>
          </w:p>
        </w:tc>
        <w:tc>
          <w:tcPr>
            <w:tcW w:w="360" w:type="dxa"/>
            <w:vAlign w:val="bottom"/>
          </w:tcPr>
          <w:p>
            <w:pPr>
              <w:spacing w:after="0"/>
              <w:rPr>
                <w:sz w:val="21"/>
                <w:szCs w:val="21"/>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(3,224)</w:t>
            </w:r>
          </w:p>
        </w:tc>
        <w:tc>
          <w:tcPr>
            <w:tcW w:w="280" w:type="dxa"/>
            <w:vAlign w:val="bottom"/>
          </w:tcPr>
          <w:p>
            <w:pPr>
              <w:spacing w:after="0"/>
              <w:rPr>
                <w:sz w:val="21"/>
                <w:szCs w:val="21"/>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(3,301)</w:t>
            </w:r>
          </w:p>
        </w:tc>
        <w:tc>
          <w:tcPr>
            <w:tcW w:w="3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(4,515)</w:t>
            </w:r>
          </w:p>
        </w:tc>
      </w:tr>
      <w:tr>
        <w:trPr>
          <w:trHeight w:val="283"/>
        </w:trPr>
        <w:tc>
          <w:tcPr>
            <w:tcW w:w="6980" w:type="dxa"/>
            <w:vAlign w:val="bottom"/>
          </w:tcPr>
          <w:p>
            <w:pPr>
              <w:ind w:left="180"/>
              <w:spacing w:after="0"/>
              <w:rPr>
                <w:sz w:val="20"/>
                <w:szCs w:val="20"/>
                <w:color w:val="auto"/>
              </w:rPr>
            </w:pPr>
            <w:r>
              <w:rPr>
                <w:rFonts w:ascii="Arial" w:cs="Arial" w:eastAsia="Arial" w:hAnsi="Arial"/>
                <w:sz w:val="16"/>
                <w:szCs w:val="16"/>
                <w:color w:val="auto"/>
              </w:rPr>
              <w:t>Cash flow hedges gain (loss)</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40</w:t>
            </w: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371</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(427)</w:t>
            </w: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607</w:t>
            </w:r>
          </w:p>
        </w:tc>
      </w:tr>
      <w:tr>
        <w:trPr>
          <w:trHeight w:val="25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Loss, Before Tax</w:t>
            </w:r>
          </w:p>
        </w:tc>
        <w:tc>
          <w:tcPr>
            <w:tcW w:w="240" w:type="dxa"/>
            <w:vAlign w:val="bottom"/>
          </w:tcPr>
          <w:p>
            <w:pPr>
              <w:spacing w:after="0"/>
              <w:rPr>
                <w:sz w:val="21"/>
                <w:szCs w:val="21"/>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b w:val="1"/>
                <w:bCs w:val="1"/>
                <w:color w:val="auto"/>
              </w:rPr>
              <w:t>(12,470)</w:t>
            </w:r>
          </w:p>
        </w:tc>
        <w:tc>
          <w:tcPr>
            <w:tcW w:w="360" w:type="dxa"/>
            <w:vAlign w:val="bottom"/>
          </w:tcPr>
          <w:p>
            <w:pPr>
              <w:spacing w:after="0"/>
              <w:rPr>
                <w:sz w:val="21"/>
                <w:szCs w:val="21"/>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(34,020)</w:t>
            </w:r>
          </w:p>
        </w:tc>
        <w:tc>
          <w:tcPr>
            <w:tcW w:w="280" w:type="dxa"/>
            <w:vAlign w:val="bottom"/>
          </w:tcPr>
          <w:p>
            <w:pPr>
              <w:spacing w:after="0"/>
              <w:rPr>
                <w:sz w:val="21"/>
                <w:szCs w:val="21"/>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(4,799)</w:t>
            </w:r>
          </w:p>
        </w:tc>
        <w:tc>
          <w:tcPr>
            <w:tcW w:w="3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(23,511)</w:t>
            </w:r>
          </w:p>
        </w:tc>
      </w:tr>
      <w:tr>
        <w:trPr>
          <w:trHeight w:val="283"/>
        </w:trPr>
        <w:tc>
          <w:tcPr>
            <w:tcW w:w="6980" w:type="dxa"/>
            <w:vAlign w:val="bottom"/>
          </w:tcPr>
          <w:p>
            <w:pPr>
              <w:ind w:left="180"/>
              <w:spacing w:after="0"/>
              <w:rPr>
                <w:sz w:val="20"/>
                <w:szCs w:val="20"/>
                <w:color w:val="auto"/>
              </w:rPr>
            </w:pPr>
            <w:r>
              <w:rPr>
                <w:rFonts w:ascii="Arial" w:cs="Arial" w:eastAsia="Arial" w:hAnsi="Arial"/>
                <w:sz w:val="16"/>
                <w:szCs w:val="16"/>
                <w:color w:val="auto"/>
              </w:rPr>
              <w:t>Income tax benefit related to items of other comprehensive loss</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375</w:t>
            </w: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799</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994</w:t>
            </w: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1,102</w:t>
            </w:r>
          </w:p>
        </w:tc>
      </w:tr>
      <w:tr>
        <w:trPr>
          <w:trHeight w:val="264"/>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Loss, Net of Tax</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(12,095)</w:t>
            </w: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(33,221)</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(3,805)</w:t>
            </w:r>
          </w:p>
        </w:tc>
        <w:tc>
          <w:tcPr>
            <w:tcW w:w="3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(22,409)</w:t>
            </w:r>
          </w:p>
        </w:tc>
      </w:tr>
      <w:tr>
        <w:trPr>
          <w:trHeight w:val="25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Comprehensive Income</w:t>
            </w:r>
          </w:p>
        </w:tc>
        <w:tc>
          <w:tcPr>
            <w:tcW w:w="240" w:type="dxa"/>
            <w:vAlign w:val="bottom"/>
          </w:tcPr>
          <w:p>
            <w:pPr>
              <w:spacing w:after="0"/>
              <w:rPr>
                <w:sz w:val="21"/>
                <w:szCs w:val="21"/>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b w:val="1"/>
                <w:bCs w:val="1"/>
                <w:color w:val="auto"/>
              </w:rPr>
              <w:t>45,100</w:t>
            </w:r>
          </w:p>
        </w:tc>
        <w:tc>
          <w:tcPr>
            <w:tcW w:w="360" w:type="dxa"/>
            <w:vAlign w:val="bottom"/>
          </w:tcPr>
          <w:p>
            <w:pPr>
              <w:spacing w:after="0"/>
              <w:rPr>
                <w:sz w:val="21"/>
                <w:szCs w:val="21"/>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13,414</w:t>
            </w:r>
          </w:p>
        </w:tc>
        <w:tc>
          <w:tcPr>
            <w:tcW w:w="280" w:type="dxa"/>
            <w:vAlign w:val="bottom"/>
          </w:tcPr>
          <w:p>
            <w:pPr>
              <w:spacing w:after="0"/>
              <w:rPr>
                <w:sz w:val="21"/>
                <w:szCs w:val="21"/>
                <w:color w:val="auto"/>
              </w:rPr>
            </w:pPr>
          </w:p>
        </w:tc>
        <w:tc>
          <w:tcPr>
            <w:tcW w:w="840" w:type="dxa"/>
            <w:vAlign w:val="bottom"/>
          </w:tcPr>
          <w:p>
            <w:pPr>
              <w:jc w:val="right"/>
              <w:ind w:right="61"/>
              <w:spacing w:after="0"/>
              <w:rPr>
                <w:sz w:val="20"/>
                <w:szCs w:val="20"/>
                <w:color w:val="auto"/>
              </w:rPr>
            </w:pPr>
            <w:r>
              <w:rPr>
                <w:rFonts w:ascii="Arial" w:cs="Arial" w:eastAsia="Arial" w:hAnsi="Arial"/>
                <w:sz w:val="16"/>
                <w:szCs w:val="16"/>
                <w:b w:val="1"/>
                <w:bCs w:val="1"/>
                <w:color w:val="auto"/>
              </w:rPr>
              <w:t>135,092</w:t>
            </w:r>
          </w:p>
        </w:tc>
        <w:tc>
          <w:tcPr>
            <w:tcW w:w="380" w:type="dxa"/>
            <w:vAlign w:val="bottom"/>
          </w:tcPr>
          <w:p>
            <w:pPr>
              <w:spacing w:after="0"/>
              <w:rPr>
                <w:sz w:val="21"/>
                <w:szCs w:val="21"/>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67,191</w:t>
            </w:r>
          </w:p>
        </w:tc>
      </w:tr>
      <w:tr>
        <w:trPr>
          <w:trHeight w:val="283"/>
        </w:trPr>
        <w:tc>
          <w:tcPr>
            <w:tcW w:w="6980" w:type="dxa"/>
            <w:vAlign w:val="bottom"/>
          </w:tcPr>
          <w:p>
            <w:pPr>
              <w:ind w:left="180"/>
              <w:spacing w:after="0"/>
              <w:rPr>
                <w:sz w:val="20"/>
                <w:szCs w:val="20"/>
                <w:color w:val="auto"/>
              </w:rPr>
            </w:pPr>
            <w:r>
              <w:rPr>
                <w:rFonts w:ascii="Arial" w:cs="Arial" w:eastAsia="Arial" w:hAnsi="Arial"/>
                <w:sz w:val="16"/>
                <w:szCs w:val="16"/>
                <w:color w:val="auto"/>
              </w:rPr>
              <w:t>Comprehensive income attributable to noncontrolling interests</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(114)</w:t>
            </w: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(69)</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(68)</w:t>
            </w: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r>
      <w:tr>
        <w:trPr>
          <w:trHeight w:val="267"/>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Total Comprehensive Income Attributable to Graham Holdings Company</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44,986</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13,345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135,024</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67,048</w:t>
            </w: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1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center"/>
              <w:ind w:right="22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5"/>
                <w:szCs w:val="15"/>
                <w:color w:val="auto"/>
              </w:rPr>
            </w:pPr>
          </w:p>
        </w:tc>
        <w:tc>
          <w:tcPr>
            <w:tcW w:w="1260" w:type="dxa"/>
            <w:vAlign w:val="bottom"/>
          </w:tcPr>
          <w:p>
            <w:pPr>
              <w:jc w:val="right"/>
              <w:ind w:right="219"/>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6"/>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58"/>
        </w:trPr>
        <w:tc>
          <w:tcPr>
            <w:tcW w:w="8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jc w:val="center"/>
              <w:ind w:right="200"/>
              <w:spacing w:after="0"/>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171,969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253,256</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15,665</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10,859</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536,875</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514,581</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535,108</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582,280</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Income taxes receivable</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16,490</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19,166</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Inventories and contracts in progress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120,415</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69,477</w:t>
            </w:r>
          </w:p>
        </w:tc>
        <w:tc>
          <w:tcPr>
            <w:tcW w:w="0" w:type="dxa"/>
            <w:vAlign w:val="bottom"/>
          </w:tcPr>
          <w:p>
            <w:pPr>
              <w:spacing w:after="0"/>
              <w:rPr>
                <w:sz w:val="1"/>
                <w:szCs w:val="1"/>
                <w:color w:val="auto"/>
              </w:rPr>
            </w:pPr>
          </w:p>
        </w:tc>
      </w:tr>
      <w:tr>
        <w:trPr>
          <w:trHeight w:val="283"/>
        </w:trPr>
        <w:tc>
          <w:tcPr>
            <w:tcW w:w="8320" w:type="dxa"/>
            <w:vAlign w:val="bottom"/>
          </w:tcPr>
          <w:p>
            <w:pPr>
              <w:ind w:left="280"/>
              <w:spacing w:after="0"/>
              <w:rPr>
                <w:sz w:val="20"/>
                <w:szCs w:val="20"/>
                <w:color w:val="auto"/>
              </w:rPr>
            </w:pPr>
            <w:r>
              <w:rPr>
                <w:rFonts w:ascii="Arial" w:cs="Arial" w:eastAsia="Arial" w:hAnsi="Arial"/>
                <w:sz w:val="16"/>
                <w:szCs w:val="16"/>
                <w:color w:val="auto"/>
              </w:rPr>
              <w:t>Other current assets</w:t>
            </w: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88,748</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82,723</w:t>
            </w:r>
          </w:p>
        </w:tc>
        <w:tc>
          <w:tcPr>
            <w:tcW w:w="0" w:type="dxa"/>
            <w:vAlign w:val="bottom"/>
          </w:tcPr>
          <w:p>
            <w:pPr>
              <w:spacing w:after="0"/>
              <w:rPr>
                <w:sz w:val="1"/>
                <w:szCs w:val="1"/>
                <w:color w:val="auto"/>
              </w:rPr>
            </w:pPr>
          </w:p>
        </w:tc>
      </w:tr>
      <w:tr>
        <w:trPr>
          <w:trHeight w:val="251"/>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Current Assets</w:t>
            </w:r>
          </w:p>
        </w:tc>
        <w:tc>
          <w:tcPr>
            <w:tcW w:w="240" w:type="dxa"/>
            <w:vAlign w:val="bottom"/>
          </w:tcPr>
          <w:p>
            <w:pPr>
              <w:spacing w:after="0"/>
              <w:rPr>
                <w:sz w:val="21"/>
                <w:szCs w:val="21"/>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1,485,270</w:t>
            </w:r>
          </w:p>
        </w:tc>
        <w:tc>
          <w:tcPr>
            <w:tcW w:w="28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1,532,342</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327,084</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293,085</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Lease Right-of-Use Assets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361,603</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Investments in Affiliates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159,660</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143,813</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Goodwill, Net</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1,335,961</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1,297,712</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126,986</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99,052</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Amortized Intangible Assets, Net</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237,675</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263,261</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Prepaid Pension Cost</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1,024,555</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1,003,558</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12,010</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13,388</w:t>
            </w:r>
          </w:p>
        </w:tc>
        <w:tc>
          <w:tcPr>
            <w:tcW w:w="0" w:type="dxa"/>
            <w:vAlign w:val="bottom"/>
          </w:tcPr>
          <w:p>
            <w:pPr>
              <w:spacing w:after="0"/>
              <w:rPr>
                <w:sz w:val="1"/>
                <w:szCs w:val="1"/>
                <w:color w:val="auto"/>
              </w:rPr>
            </w:pPr>
          </w:p>
        </w:tc>
      </w:tr>
      <w:tr>
        <w:trPr>
          <w:trHeight w:val="283"/>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Deferred Charges and Other Assets</w:t>
            </w: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142,146</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117,830</w:t>
            </w:r>
          </w:p>
        </w:tc>
        <w:tc>
          <w:tcPr>
            <w:tcW w:w="0" w:type="dxa"/>
            <w:vAlign w:val="bottom"/>
          </w:tcPr>
          <w:p>
            <w:pPr>
              <w:spacing w:after="0"/>
              <w:rPr>
                <w:sz w:val="1"/>
                <w:szCs w:val="1"/>
                <w:color w:val="auto"/>
              </w:rPr>
            </w:pPr>
          </w:p>
        </w:tc>
      </w:tr>
      <w:tr>
        <w:trPr>
          <w:trHeight w:val="264"/>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5,212,950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4,764,041</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461,051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486,578</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241,473</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308,728</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Income taxes payable</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14,673</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10,496</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Current portion of lease liabilities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80,628</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Current portion of long-term debt</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9,351</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6,360</w:t>
            </w:r>
          </w:p>
        </w:tc>
        <w:tc>
          <w:tcPr>
            <w:tcW w:w="0" w:type="dxa"/>
            <w:vAlign w:val="bottom"/>
          </w:tcPr>
          <w:p>
            <w:pPr>
              <w:spacing w:after="0"/>
              <w:rPr>
                <w:sz w:val="1"/>
                <w:szCs w:val="1"/>
                <w:color w:val="auto"/>
              </w:rPr>
            </w:pPr>
          </w:p>
        </w:tc>
      </w:tr>
      <w:tr>
        <w:trPr>
          <w:trHeight w:val="283"/>
        </w:trPr>
        <w:tc>
          <w:tcPr>
            <w:tcW w:w="8320" w:type="dxa"/>
            <w:vAlign w:val="bottom"/>
          </w:tcPr>
          <w:p>
            <w:pPr>
              <w:ind w:left="280"/>
              <w:spacing w:after="0"/>
              <w:rPr>
                <w:sz w:val="20"/>
                <w:szCs w:val="20"/>
                <w:color w:val="auto"/>
              </w:rPr>
            </w:pPr>
            <w:r>
              <w:rPr>
                <w:rFonts w:ascii="Arial" w:cs="Arial" w:eastAsia="Arial" w:hAnsi="Arial"/>
                <w:sz w:val="16"/>
                <w:szCs w:val="16"/>
                <w:color w:val="auto"/>
              </w:rPr>
              <w:t>Dividends declared</w:t>
            </w: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7,388</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Current Liabilities</w:t>
            </w:r>
          </w:p>
        </w:tc>
        <w:tc>
          <w:tcPr>
            <w:tcW w:w="240" w:type="dxa"/>
            <w:vAlign w:val="bottom"/>
          </w:tcPr>
          <w:p>
            <w:pPr>
              <w:spacing w:after="0"/>
              <w:rPr>
                <w:sz w:val="21"/>
                <w:szCs w:val="21"/>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814,564</w:t>
            </w:r>
          </w:p>
        </w:tc>
        <w:tc>
          <w:tcPr>
            <w:tcW w:w="28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812,162</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Accrued Compensation and Related Benefits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178,460</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179,652</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Other Liabilities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22,907</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57,901</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333,729</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322,421</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Lease Liabilities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323,466</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Long-Term Debt</w:t>
            </w: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497,094</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470,777</w:t>
            </w:r>
          </w:p>
        </w:tc>
        <w:tc>
          <w:tcPr>
            <w:tcW w:w="0" w:type="dxa"/>
            <w:vAlign w:val="bottom"/>
          </w:tcPr>
          <w:p>
            <w:pPr>
              <w:spacing w:after="0"/>
              <w:rPr>
                <w:sz w:val="1"/>
                <w:szCs w:val="1"/>
                <w:color w:val="auto"/>
              </w:rPr>
            </w:pPr>
          </w:p>
        </w:tc>
      </w:tr>
      <w:tr>
        <w:trPr>
          <w:trHeight w:val="264"/>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Liabilities</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2,170,220</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1,842,913</w:t>
            </w:r>
          </w:p>
        </w:tc>
        <w:tc>
          <w:tcPr>
            <w:tcW w:w="0" w:type="dxa"/>
            <w:vAlign w:val="bottom"/>
          </w:tcPr>
          <w:p>
            <w:pPr>
              <w:spacing w:after="0"/>
              <w:rPr>
                <w:sz w:val="1"/>
                <w:szCs w:val="1"/>
                <w:color w:val="auto"/>
              </w:rPr>
            </w:pPr>
          </w:p>
        </w:tc>
      </w:tr>
      <w:tr>
        <w:trPr>
          <w:trHeight w:val="264"/>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Redeemable Noncontrolling Interest</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3,876</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4,346</w:t>
            </w:r>
          </w:p>
        </w:tc>
        <w:tc>
          <w:tcPr>
            <w:tcW w:w="0" w:type="dxa"/>
            <w:vAlign w:val="bottom"/>
          </w:tcPr>
          <w:p>
            <w:pPr>
              <w:spacing w:after="0"/>
              <w:rPr>
                <w:sz w:val="1"/>
                <w:szCs w:val="1"/>
                <w:color w:val="auto"/>
              </w:rPr>
            </w:pPr>
          </w:p>
        </w:tc>
      </w:tr>
      <w:tr>
        <w:trPr>
          <w:trHeight w:val="264"/>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Preferred Stock</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Common Stockholders’ Equity</w:t>
            </w: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Common stock</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20,000</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Capital in excess of par value</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378,255</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378,837</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6,352,787</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6,236,125</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Accumulated other comprehensive income, net of tax</w:t>
            </w: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480"/>
              <w:spacing w:after="0"/>
              <w:rPr>
                <w:sz w:val="20"/>
                <w:szCs w:val="20"/>
                <w:color w:val="auto"/>
              </w:rPr>
            </w:pPr>
            <w:r>
              <w:rPr>
                <w:rFonts w:ascii="Arial" w:cs="Arial" w:eastAsia="Arial" w:hAnsi="Arial"/>
                <w:sz w:val="16"/>
                <w:szCs w:val="16"/>
                <w:color w:val="auto"/>
              </w:rPr>
              <w:t>Cumulative foreign currency translation adjustment</w:t>
            </w:r>
          </w:p>
        </w:tc>
        <w:tc>
          <w:tcPr>
            <w:tcW w:w="2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(30,341)</w:t>
            </w: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(29,270)</w:t>
            </w:r>
          </w:p>
        </w:tc>
        <w:tc>
          <w:tcPr>
            <w:tcW w:w="0" w:type="dxa"/>
            <w:vAlign w:val="bottom"/>
          </w:tcPr>
          <w:p>
            <w:pPr>
              <w:spacing w:after="0"/>
              <w:rPr>
                <w:sz w:val="1"/>
                <w:szCs w:val="1"/>
                <w:color w:val="auto"/>
              </w:rPr>
            </w:pPr>
          </w:p>
        </w:tc>
      </w:tr>
      <w:tr>
        <w:trPr>
          <w:trHeight w:val="270"/>
        </w:trPr>
        <w:tc>
          <w:tcPr>
            <w:tcW w:w="8320" w:type="dxa"/>
            <w:vAlign w:val="bottom"/>
          </w:tcPr>
          <w:p>
            <w:pPr>
              <w:ind w:left="480"/>
              <w:spacing w:after="0"/>
              <w:rPr>
                <w:sz w:val="20"/>
                <w:szCs w:val="20"/>
                <w:color w:val="auto"/>
              </w:rPr>
            </w:pPr>
            <w:r>
              <w:rPr>
                <w:rFonts w:ascii="Arial" w:cs="Arial" w:eastAsia="Arial" w:hAnsi="Arial"/>
                <w:sz w:val="16"/>
                <w:szCs w:val="16"/>
                <w:color w:val="auto"/>
              </w:rPr>
              <w:t>Unrealized gain on pensions and other postretirement plans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230,426</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232,836</w:t>
            </w:r>
          </w:p>
        </w:tc>
        <w:tc>
          <w:tcPr>
            <w:tcW w:w="0" w:type="dxa"/>
            <w:vAlign w:val="bottom"/>
          </w:tcPr>
          <w:p>
            <w:pPr>
              <w:spacing w:after="0"/>
              <w:rPr>
                <w:sz w:val="1"/>
                <w:szCs w:val="1"/>
                <w:color w:val="auto"/>
              </w:rPr>
            </w:pPr>
          </w:p>
        </w:tc>
      </w:tr>
      <w:tr>
        <w:trPr>
          <w:trHeight w:val="270"/>
        </w:trPr>
        <w:tc>
          <w:tcPr>
            <w:tcW w:w="8320" w:type="dxa"/>
            <w:vAlign w:val="bottom"/>
          </w:tcPr>
          <w:p>
            <w:pPr>
              <w:ind w:left="480"/>
              <w:spacing w:after="0"/>
              <w:rPr>
                <w:sz w:val="20"/>
                <w:szCs w:val="20"/>
                <w:color w:val="auto"/>
              </w:rPr>
            </w:pPr>
            <w:r>
              <w:rPr>
                <w:rFonts w:ascii="Arial" w:cs="Arial" w:eastAsia="Arial" w:hAnsi="Arial"/>
                <w:sz w:val="16"/>
                <w:szCs w:val="16"/>
                <w:color w:val="auto"/>
              </w:rPr>
              <w:t>Cash flow hedges</w:t>
            </w:r>
          </w:p>
        </w:tc>
        <w:tc>
          <w:tcPr>
            <w:tcW w:w="2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(61)</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83"/>
        </w:trPr>
        <w:tc>
          <w:tcPr>
            <w:tcW w:w="8320" w:type="dxa"/>
            <w:vAlign w:val="bottom"/>
          </w:tcPr>
          <w:p>
            <w:pPr>
              <w:ind w:left="280"/>
              <w:spacing w:after="0"/>
              <w:rPr>
                <w:sz w:val="20"/>
                <w:szCs w:val="20"/>
                <w:color w:val="auto"/>
              </w:rPr>
            </w:pPr>
            <w:r>
              <w:rPr>
                <w:rFonts w:ascii="Arial" w:cs="Arial" w:eastAsia="Arial" w:hAnsi="Arial"/>
                <w:sz w:val="16"/>
                <w:szCs w:val="16"/>
                <w:color w:val="auto"/>
              </w:rPr>
              <w:t>Cost of Class B common stock held in treasury</w:t>
            </w: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(3,918,254)</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(3,922,009)</w:t>
            </w:r>
          </w:p>
        </w:tc>
        <w:tc>
          <w:tcPr>
            <w:tcW w:w="0" w:type="dxa"/>
            <w:vAlign w:val="bottom"/>
          </w:tcPr>
          <w:p>
            <w:pPr>
              <w:spacing w:after="0"/>
              <w:rPr>
                <w:sz w:val="1"/>
                <w:szCs w:val="1"/>
                <w:color w:val="auto"/>
              </w:rPr>
            </w:pPr>
          </w:p>
        </w:tc>
      </w:tr>
      <w:tr>
        <w:trPr>
          <w:trHeight w:val="264"/>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Common Stockholders’ Equity</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3,032,812</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2,916,782</w:t>
            </w:r>
          </w:p>
        </w:tc>
        <w:tc>
          <w:tcPr>
            <w:tcW w:w="0" w:type="dxa"/>
            <w:vAlign w:val="bottom"/>
          </w:tcPr>
          <w:p>
            <w:pPr>
              <w:spacing w:after="0"/>
              <w:rPr>
                <w:sz w:val="1"/>
                <w:szCs w:val="1"/>
                <w:color w:val="auto"/>
              </w:rPr>
            </w:pPr>
          </w:p>
        </w:tc>
      </w:tr>
      <w:tr>
        <w:trPr>
          <w:trHeight w:val="264"/>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Noncontrolling Interest</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6,042</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Equity</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3,038,854</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2,916,782</w:t>
            </w:r>
          </w:p>
        </w:tc>
        <w:tc>
          <w:tcPr>
            <w:tcW w:w="0" w:type="dxa"/>
            <w:vAlign w:val="bottom"/>
          </w:tcPr>
          <w:p>
            <w:pPr>
              <w:spacing w:after="0"/>
              <w:rPr>
                <w:sz w:val="1"/>
                <w:szCs w:val="1"/>
                <w:color w:val="auto"/>
              </w:rPr>
            </w:pPr>
          </w:p>
        </w:tc>
      </w:tr>
      <w:tr>
        <w:trPr>
          <w:trHeight w:val="267"/>
        </w:trPr>
        <w:tc>
          <w:tcPr>
            <w:tcW w:w="8320" w:type="dxa"/>
            <w:vAlign w:val="bottom"/>
          </w:tcPr>
          <w:p>
            <w:pPr>
              <w:ind w:left="700"/>
              <w:spacing w:after="0"/>
              <w:rPr>
                <w:sz w:val="20"/>
                <w:szCs w:val="20"/>
                <w:color w:val="auto"/>
              </w:rPr>
            </w:pPr>
            <w:r>
              <w:rPr>
                <w:rFonts w:ascii="Arial" w:cs="Arial" w:eastAsia="Arial" w:hAnsi="Arial"/>
                <w:sz w:val="16"/>
                <w:szCs w:val="16"/>
                <w:b w:val="1"/>
                <w:bCs w:val="1"/>
                <w:color w:val="auto"/>
              </w:rPr>
              <w:t>Total Liabilities and Equity</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5,212,950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4,764,041</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60" w:top="697" w:right="259" w:bottom="9" w:gutter="0" w:footer="0" w:header="0"/>
        </w:sectPr>
      </w:pPr>
    </w:p>
    <w:bookmarkStart w:id="5" w:name="page6"/>
    <w:bookmarkEnd w:id="5"/>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87"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158"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59"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auto"/>
        </w:rPr>
        <w:t>Six Months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258"/>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2018</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138,897</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89,600</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Adjustments to reconcile net income to net cash (used in) provided by operating activities:</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Depreciation, amortization and impairment of long-lived assets</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54,040</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50,044</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Amortization of lease right-of-use asset</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40,871</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Net pension benefit and special separation benefit expense</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(19,763)</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(36,868)</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(Gain) loss on marketable equity securities and cost method investments, net</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(33,268)</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16,656</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Gain on disposition of businesses, property, plant and equipment and investments, net</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(28,981)</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(12,598)</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Debt extinguishment costs</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10,563</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Stock-based compensation expense, net</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3,227</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3,262</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Foreign exchange (gain) loss</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(623)</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2,089</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Equity in earnings of affiliates, net of distributions</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(396)</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(2,945)</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Provision (benefit) for deferred income taxes</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13,481</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(4,140)</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Change in operating assets and liabilities:</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Accounts receivable, net</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27,181</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79,007</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(21,878)</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(14,109)</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Accounts payable and accrued liabilities</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(56,125)</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(72,017)</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(66,542)</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(46,193)</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Income taxes receivable</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6,778</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26,323</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Other assets and other liabilities, net</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(74,251)</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(19,871)</w:t>
            </w:r>
          </w:p>
        </w:tc>
      </w:tr>
      <w:tr>
        <w:trPr>
          <w:trHeight w:val="283"/>
        </w:trPr>
        <w:tc>
          <w:tcPr>
            <w:tcW w:w="9020" w:type="dxa"/>
            <w:vAlign w:val="bottom"/>
          </w:tcPr>
          <w:p>
            <w:pPr>
              <w:ind w:left="2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677</w:t>
            </w: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1,735</w:t>
            </w:r>
          </w:p>
        </w:tc>
      </w:tr>
      <w:tr>
        <w:trPr>
          <w:trHeight w:val="264"/>
        </w:trPr>
        <w:tc>
          <w:tcPr>
            <w:tcW w:w="9020" w:type="dxa"/>
            <w:vAlign w:val="bottom"/>
          </w:tcPr>
          <w:p>
            <w:pPr>
              <w:ind w:left="500"/>
              <w:spacing w:after="0"/>
              <w:rPr>
                <w:sz w:val="20"/>
                <w:szCs w:val="20"/>
                <w:color w:val="auto"/>
              </w:rPr>
            </w:pPr>
            <w:r>
              <w:rPr>
                <w:rFonts w:ascii="Arial" w:cs="Arial" w:eastAsia="Arial" w:hAnsi="Arial"/>
                <w:sz w:val="16"/>
                <w:szCs w:val="16"/>
                <w:color w:val="auto"/>
              </w:rPr>
              <w:t>Net Cash (Used in) Provided by Operating Activities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(16,675)</w:t>
            </w: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70,538</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Investments in certain businesses, net of cash acquired</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(84,071)</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(24,717)</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Net proceeds (payments) from disposition of businesses, property, plant and equipment and investments</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53,414</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(13,332)</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Purchases of property, plant and equipment</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(52,703)</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(40,506)</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Investments in equity affiliates, cost method and other investments</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(24,342)</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(6,310)</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Proceeds from sales of marketable equity securities</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17,162</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66,741</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Purchases of marketable equity securities</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(7,499)</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Loan to related party and advance related to Kaplan University transaction</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(3,500)</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(28,061)</w:t>
            </w:r>
          </w:p>
        </w:tc>
      </w:tr>
      <w:tr>
        <w:trPr>
          <w:trHeight w:val="283"/>
        </w:trPr>
        <w:tc>
          <w:tcPr>
            <w:tcW w:w="9020" w:type="dxa"/>
            <w:vAlign w:val="bottom"/>
          </w:tcPr>
          <w:p>
            <w:pPr>
              <w:ind w:left="280"/>
              <w:spacing w:after="0"/>
              <w:rPr>
                <w:sz w:val="20"/>
                <w:szCs w:val="20"/>
                <w:color w:val="auto"/>
              </w:rPr>
            </w:pPr>
            <w:r>
              <w:rPr>
                <w:rFonts w:ascii="Arial" w:cs="Arial" w:eastAsia="Arial" w:hAnsi="Arial"/>
                <w:sz w:val="16"/>
                <w:szCs w:val="16"/>
                <w:color w:val="auto"/>
              </w:rPr>
              <w:t>Return of investment in equity affiliates</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638</w:t>
            </w: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2,056</w:t>
            </w:r>
          </w:p>
        </w:tc>
      </w:tr>
      <w:tr>
        <w:trPr>
          <w:trHeight w:val="264"/>
        </w:trPr>
        <w:tc>
          <w:tcPr>
            <w:tcW w:w="9020" w:type="dxa"/>
            <w:vAlign w:val="bottom"/>
          </w:tcPr>
          <w:p>
            <w:pPr>
              <w:ind w:left="50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(100,901)</w:t>
            </w: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(44,129)</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Common shares repurchased</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(94,092)</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Issuance of borrowings</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30,000</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400,000</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Net proceeds from vehicle floor plan payable</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24,618</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Dividends paid</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(14,779)</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(14,453)</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Issuance of noncontrolling interest</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6,000</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Repayments of borrowings and early redemption premium</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(1,006)</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(410,569)</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Payments of debt financing costs</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(33)</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(6,924)</w:t>
            </w:r>
          </w:p>
        </w:tc>
      </w:tr>
      <w:tr>
        <w:trPr>
          <w:trHeight w:val="283"/>
        </w:trPr>
        <w:tc>
          <w:tcPr>
            <w:tcW w:w="9020" w:type="dxa"/>
            <w:vAlign w:val="bottom"/>
          </w:tcPr>
          <w:p>
            <w:pPr>
              <w:ind w:left="2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(4,483)</w:t>
            </w: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(844)</w:t>
            </w:r>
          </w:p>
        </w:tc>
      </w:tr>
      <w:tr>
        <w:trPr>
          <w:trHeight w:val="264"/>
        </w:trPr>
        <w:tc>
          <w:tcPr>
            <w:tcW w:w="9020" w:type="dxa"/>
            <w:vAlign w:val="bottom"/>
          </w:tcPr>
          <w:p>
            <w:pPr>
              <w:ind w:left="500"/>
              <w:spacing w:after="0"/>
              <w:rPr>
                <w:sz w:val="20"/>
                <w:szCs w:val="20"/>
                <w:color w:val="auto"/>
              </w:rPr>
            </w:pPr>
            <w:r>
              <w:rPr>
                <w:rFonts w:ascii="Arial" w:cs="Arial" w:eastAsia="Arial" w:hAnsi="Arial"/>
                <w:sz w:val="16"/>
                <w:szCs w:val="16"/>
                <w:color w:val="auto"/>
              </w:rPr>
              <w:t>Net Cash Provided by (Used in) Financing Activities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40,317</w:t>
            </w: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(126,882)</w:t>
            </w: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Effect of Currency Exchange Rate Change</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778</w:t>
            </w: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(4,352)</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Net Decrease in Cash and Cash Equivalents and Restricted Cash</w:t>
            </w:r>
          </w:p>
        </w:tc>
        <w:tc>
          <w:tcPr>
            <w:tcW w:w="26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(76,481)</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(104,825)</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Beginning Cash and Cash Equivalents and Restricted Cash</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264,115</w:t>
            </w: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407,566</w:t>
            </w:r>
          </w:p>
        </w:tc>
      </w:tr>
      <w:tr>
        <w:trPr>
          <w:trHeight w:val="26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Ending Cash and Cash Equivalents and Restricted Cash</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187,634</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302,741</w:t>
            </w:r>
          </w:p>
        </w:tc>
      </w:tr>
      <w:tr>
        <w:trPr>
          <w:trHeight w:val="20"/>
        </w:trPr>
        <w:tc>
          <w:tcPr>
            <w:tcW w:w="9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420"/>
          </w:cols>
          <w:pgMar w:left="240" w:top="711" w:right="239" w:bottom="894" w:gutter="0" w:footer="0" w:header="0"/>
        </w:sect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711" w:right="239" w:bottom="894"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COMMON STOCKHOLDERS’ EQUITY (UNAUDITED)</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22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40" w:type="dxa"/>
            <w:vAlign w:val="bottom"/>
          </w:tcPr>
          <w:p>
            <w:pPr>
              <w:ind w:left="160"/>
              <w:spacing w:after="0"/>
              <w:rPr>
                <w:sz w:val="20"/>
                <w:szCs w:val="20"/>
                <w:color w:val="auto"/>
              </w:rPr>
            </w:pPr>
            <w:r>
              <w:rPr>
                <w:rFonts w:ascii="Arial" w:cs="Arial" w:eastAsia="Arial" w:hAnsi="Arial"/>
                <w:sz w:val="11"/>
                <w:szCs w:val="11"/>
                <w:color w:val="auto"/>
              </w:rPr>
              <w:t>Capital in</w:t>
            </w:r>
          </w:p>
        </w:tc>
        <w:tc>
          <w:tcPr>
            <w:tcW w:w="820" w:type="dxa"/>
            <w:vAlign w:val="bottom"/>
          </w:tcPr>
          <w:p>
            <w:pPr>
              <w:spacing w:after="0"/>
              <w:rPr>
                <w:sz w:val="10"/>
                <w:szCs w:val="10"/>
                <w:color w:val="auto"/>
              </w:rPr>
            </w:pPr>
          </w:p>
        </w:tc>
        <w:tc>
          <w:tcPr>
            <w:tcW w:w="1300" w:type="dxa"/>
            <w:vAlign w:val="bottom"/>
          </w:tcPr>
          <w:p>
            <w:pPr>
              <w:jc w:val="center"/>
              <w:spacing w:after="0"/>
              <w:rPr>
                <w:sz w:val="20"/>
                <w:szCs w:val="20"/>
                <w:color w:val="auto"/>
              </w:rPr>
            </w:pPr>
            <w:r>
              <w:rPr>
                <w:rFonts w:ascii="Arial" w:cs="Arial" w:eastAsia="Arial" w:hAnsi="Arial"/>
                <w:sz w:val="11"/>
                <w:szCs w:val="11"/>
                <w:color w:val="auto"/>
                <w:w w:val="97"/>
              </w:rPr>
              <w:t>Accumulated Other</w:t>
            </w:r>
          </w:p>
        </w:tc>
        <w:tc>
          <w:tcPr>
            <w:tcW w:w="8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jc w:val="center"/>
              <w:ind w:left="46"/>
              <w:spacing w:after="0"/>
              <w:rPr>
                <w:sz w:val="20"/>
                <w:szCs w:val="20"/>
                <w:color w:val="auto"/>
              </w:rPr>
            </w:pPr>
            <w:r>
              <w:rPr>
                <w:rFonts w:ascii="Arial" w:cs="Arial" w:eastAsia="Arial" w:hAnsi="Arial"/>
                <w:sz w:val="11"/>
                <w:szCs w:val="11"/>
                <w:color w:val="auto"/>
                <w:w w:val="96"/>
              </w:rPr>
              <w:t>Redeemable</w:t>
            </w:r>
          </w:p>
        </w:tc>
      </w:tr>
      <w:tr>
        <w:trPr>
          <w:trHeight w:val="122"/>
        </w:trPr>
        <w:tc>
          <w:tcPr>
            <w:tcW w:w="2240" w:type="dxa"/>
            <w:vAlign w:val="bottom"/>
          </w:tcPr>
          <w:p>
            <w:pPr>
              <w:spacing w:after="0"/>
              <w:rPr>
                <w:sz w:val="10"/>
                <w:szCs w:val="10"/>
                <w:color w:val="auto"/>
              </w:rPr>
            </w:pPr>
          </w:p>
        </w:tc>
        <w:tc>
          <w:tcPr>
            <w:tcW w:w="2120" w:type="dxa"/>
            <w:vAlign w:val="bottom"/>
          </w:tcPr>
          <w:p>
            <w:pPr>
              <w:ind w:left="1520"/>
              <w:spacing w:after="0" w:line="122" w:lineRule="exact"/>
              <w:rPr>
                <w:sz w:val="20"/>
                <w:szCs w:val="20"/>
                <w:color w:val="auto"/>
              </w:rPr>
            </w:pPr>
            <w:r>
              <w:rPr>
                <w:rFonts w:ascii="Arial" w:cs="Arial" w:eastAsia="Arial" w:hAnsi="Arial"/>
                <w:sz w:val="11"/>
                <w:szCs w:val="11"/>
                <w:color w:val="auto"/>
              </w:rPr>
              <w:t>Common</w:t>
            </w:r>
          </w:p>
        </w:tc>
        <w:tc>
          <w:tcPr>
            <w:tcW w:w="840" w:type="dxa"/>
            <w:vAlign w:val="bottom"/>
          </w:tcPr>
          <w:p>
            <w:pPr>
              <w:ind w:left="160"/>
              <w:spacing w:after="0" w:line="122" w:lineRule="exact"/>
              <w:rPr>
                <w:sz w:val="20"/>
                <w:szCs w:val="20"/>
                <w:color w:val="auto"/>
              </w:rPr>
            </w:pPr>
            <w:r>
              <w:rPr>
                <w:rFonts w:ascii="Arial" w:cs="Arial" w:eastAsia="Arial" w:hAnsi="Arial"/>
                <w:sz w:val="11"/>
                <w:szCs w:val="11"/>
                <w:color w:val="auto"/>
              </w:rPr>
              <w:t>Excess of</w:t>
            </w:r>
          </w:p>
        </w:tc>
        <w:tc>
          <w:tcPr>
            <w:tcW w:w="820" w:type="dxa"/>
            <w:vAlign w:val="bottom"/>
          </w:tcPr>
          <w:p>
            <w:pPr>
              <w:ind w:left="200"/>
              <w:spacing w:after="0" w:line="122" w:lineRule="exact"/>
              <w:rPr>
                <w:sz w:val="20"/>
                <w:szCs w:val="20"/>
                <w:color w:val="auto"/>
              </w:rPr>
            </w:pPr>
            <w:r>
              <w:rPr>
                <w:rFonts w:ascii="Arial" w:cs="Arial" w:eastAsia="Arial" w:hAnsi="Arial"/>
                <w:sz w:val="11"/>
                <w:szCs w:val="11"/>
                <w:color w:val="auto"/>
              </w:rPr>
              <w:t>Retained</w:t>
            </w:r>
          </w:p>
        </w:tc>
        <w:tc>
          <w:tcPr>
            <w:tcW w:w="1300" w:type="dxa"/>
            <w:vAlign w:val="bottom"/>
          </w:tcPr>
          <w:p>
            <w:pPr>
              <w:jc w:val="center"/>
              <w:spacing w:after="0" w:line="122" w:lineRule="exact"/>
              <w:rPr>
                <w:sz w:val="20"/>
                <w:szCs w:val="20"/>
                <w:color w:val="auto"/>
              </w:rPr>
            </w:pPr>
            <w:r>
              <w:rPr>
                <w:rFonts w:ascii="Arial" w:cs="Arial" w:eastAsia="Arial" w:hAnsi="Arial"/>
                <w:sz w:val="11"/>
                <w:szCs w:val="11"/>
                <w:color w:val="auto"/>
                <w:w w:val="98"/>
              </w:rPr>
              <w:t>Comprehensive</w:t>
            </w:r>
          </w:p>
        </w:tc>
        <w:tc>
          <w:tcPr>
            <w:tcW w:w="840" w:type="dxa"/>
            <w:vAlign w:val="bottom"/>
          </w:tcPr>
          <w:p>
            <w:pPr>
              <w:ind w:left="180"/>
              <w:spacing w:after="0" w:line="122" w:lineRule="exact"/>
              <w:rPr>
                <w:sz w:val="20"/>
                <w:szCs w:val="20"/>
                <w:color w:val="auto"/>
              </w:rPr>
            </w:pPr>
            <w:r>
              <w:rPr>
                <w:rFonts w:ascii="Arial" w:cs="Arial" w:eastAsia="Arial" w:hAnsi="Arial"/>
                <w:sz w:val="11"/>
                <w:szCs w:val="11"/>
                <w:color w:val="auto"/>
              </w:rPr>
              <w:t>Treasury</w:t>
            </w:r>
          </w:p>
        </w:tc>
        <w:tc>
          <w:tcPr>
            <w:tcW w:w="1120" w:type="dxa"/>
            <w:vAlign w:val="bottom"/>
          </w:tcPr>
          <w:p>
            <w:pPr>
              <w:ind w:left="220"/>
              <w:spacing w:after="0" w:line="122" w:lineRule="exact"/>
              <w:rPr>
                <w:sz w:val="20"/>
                <w:szCs w:val="20"/>
                <w:color w:val="auto"/>
              </w:rPr>
            </w:pPr>
            <w:r>
              <w:rPr>
                <w:rFonts w:ascii="Arial" w:cs="Arial" w:eastAsia="Arial" w:hAnsi="Arial"/>
                <w:sz w:val="11"/>
                <w:szCs w:val="11"/>
                <w:color w:val="auto"/>
              </w:rPr>
              <w:t>Noncontrolling</w:t>
            </w:r>
          </w:p>
        </w:tc>
        <w:tc>
          <w:tcPr>
            <w:tcW w:w="1000" w:type="dxa"/>
            <w:vAlign w:val="bottom"/>
          </w:tcPr>
          <w:p>
            <w:pPr>
              <w:spacing w:after="0"/>
              <w:rPr>
                <w:sz w:val="10"/>
                <w:szCs w:val="10"/>
                <w:color w:val="auto"/>
              </w:rPr>
            </w:pPr>
          </w:p>
        </w:tc>
        <w:tc>
          <w:tcPr>
            <w:tcW w:w="1100" w:type="dxa"/>
            <w:vAlign w:val="bottom"/>
          </w:tcPr>
          <w:p>
            <w:pPr>
              <w:jc w:val="center"/>
              <w:ind w:left="46"/>
              <w:spacing w:after="0" w:line="122" w:lineRule="exact"/>
              <w:rPr>
                <w:sz w:val="20"/>
                <w:szCs w:val="20"/>
                <w:color w:val="auto"/>
              </w:rPr>
            </w:pPr>
            <w:r>
              <w:rPr>
                <w:rFonts w:ascii="Arial" w:cs="Arial" w:eastAsia="Arial" w:hAnsi="Arial"/>
                <w:sz w:val="11"/>
                <w:szCs w:val="11"/>
                <w:color w:val="auto"/>
                <w:w w:val="96"/>
              </w:rPr>
              <w:t>Noncontrolling</w:t>
            </w:r>
          </w:p>
        </w:tc>
      </w:tr>
      <w:tr>
        <w:trPr>
          <w:trHeight w:val="130"/>
        </w:trPr>
        <w:tc>
          <w:tcPr>
            <w:tcW w:w="224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2120" w:type="dxa"/>
            <w:vAlign w:val="bottom"/>
          </w:tcPr>
          <w:p>
            <w:pPr>
              <w:ind w:left="1620"/>
              <w:spacing w:after="0"/>
              <w:rPr>
                <w:sz w:val="20"/>
                <w:szCs w:val="20"/>
                <w:color w:val="auto"/>
              </w:rPr>
            </w:pPr>
            <w:r>
              <w:rPr>
                <w:rFonts w:ascii="Arial" w:cs="Arial" w:eastAsia="Arial" w:hAnsi="Arial"/>
                <w:sz w:val="11"/>
                <w:szCs w:val="11"/>
                <w:color w:val="auto"/>
              </w:rPr>
              <w:t>Stock</w:t>
            </w:r>
          </w:p>
        </w:tc>
        <w:tc>
          <w:tcPr>
            <w:tcW w:w="840" w:type="dxa"/>
            <w:vAlign w:val="bottom"/>
          </w:tcPr>
          <w:p>
            <w:pPr>
              <w:ind w:left="160"/>
              <w:spacing w:after="0"/>
              <w:rPr>
                <w:sz w:val="20"/>
                <w:szCs w:val="20"/>
                <w:color w:val="auto"/>
              </w:rPr>
            </w:pPr>
            <w:r>
              <w:rPr>
                <w:rFonts w:ascii="Arial" w:cs="Arial" w:eastAsia="Arial" w:hAnsi="Arial"/>
                <w:sz w:val="11"/>
                <w:szCs w:val="11"/>
                <w:color w:val="auto"/>
              </w:rPr>
              <w:t>Par Value</w:t>
            </w:r>
          </w:p>
        </w:tc>
        <w:tc>
          <w:tcPr>
            <w:tcW w:w="820" w:type="dxa"/>
            <w:vAlign w:val="bottom"/>
          </w:tcPr>
          <w:p>
            <w:pPr>
              <w:ind w:left="220"/>
              <w:spacing w:after="0"/>
              <w:rPr>
                <w:sz w:val="20"/>
                <w:szCs w:val="20"/>
                <w:color w:val="auto"/>
              </w:rPr>
            </w:pPr>
            <w:r>
              <w:rPr>
                <w:rFonts w:ascii="Arial" w:cs="Arial" w:eastAsia="Arial" w:hAnsi="Arial"/>
                <w:sz w:val="11"/>
                <w:szCs w:val="11"/>
                <w:color w:val="auto"/>
              </w:rPr>
              <w:t>Earnings</w:t>
            </w:r>
          </w:p>
        </w:tc>
        <w:tc>
          <w:tcPr>
            <w:tcW w:w="1300" w:type="dxa"/>
            <w:vAlign w:val="bottom"/>
          </w:tcPr>
          <w:p>
            <w:pPr>
              <w:jc w:val="center"/>
              <w:spacing w:after="0"/>
              <w:rPr>
                <w:sz w:val="20"/>
                <w:szCs w:val="20"/>
                <w:color w:val="auto"/>
              </w:rPr>
            </w:pPr>
            <w:r>
              <w:rPr>
                <w:rFonts w:ascii="Arial" w:cs="Arial" w:eastAsia="Arial" w:hAnsi="Arial"/>
                <w:sz w:val="11"/>
                <w:szCs w:val="11"/>
                <w:color w:val="auto"/>
                <w:w w:val="99"/>
              </w:rPr>
              <w:t>Income</w:t>
            </w:r>
          </w:p>
        </w:tc>
        <w:tc>
          <w:tcPr>
            <w:tcW w:w="840" w:type="dxa"/>
            <w:vAlign w:val="bottom"/>
          </w:tcPr>
          <w:p>
            <w:pPr>
              <w:ind w:left="280"/>
              <w:spacing w:after="0"/>
              <w:rPr>
                <w:sz w:val="20"/>
                <w:szCs w:val="20"/>
                <w:color w:val="auto"/>
              </w:rPr>
            </w:pPr>
            <w:r>
              <w:rPr>
                <w:rFonts w:ascii="Arial" w:cs="Arial" w:eastAsia="Arial" w:hAnsi="Arial"/>
                <w:sz w:val="11"/>
                <w:szCs w:val="11"/>
                <w:color w:val="auto"/>
              </w:rPr>
              <w:t>Stock</w:t>
            </w:r>
          </w:p>
        </w:tc>
        <w:tc>
          <w:tcPr>
            <w:tcW w:w="1120" w:type="dxa"/>
            <w:vAlign w:val="bottom"/>
          </w:tcPr>
          <w:p>
            <w:pPr>
              <w:ind w:left="400"/>
              <w:spacing w:after="0"/>
              <w:rPr>
                <w:sz w:val="20"/>
                <w:szCs w:val="20"/>
                <w:color w:val="auto"/>
              </w:rPr>
            </w:pPr>
            <w:r>
              <w:rPr>
                <w:rFonts w:ascii="Arial" w:cs="Arial" w:eastAsia="Arial" w:hAnsi="Arial"/>
                <w:sz w:val="11"/>
                <w:szCs w:val="11"/>
                <w:color w:val="auto"/>
              </w:rPr>
              <w:t>Interest</w:t>
            </w:r>
          </w:p>
        </w:tc>
        <w:tc>
          <w:tcPr>
            <w:tcW w:w="1000" w:type="dxa"/>
            <w:vAlign w:val="bottom"/>
          </w:tcPr>
          <w:p>
            <w:pPr>
              <w:ind w:left="200"/>
              <w:spacing w:after="0"/>
              <w:rPr>
                <w:sz w:val="20"/>
                <w:szCs w:val="20"/>
                <w:color w:val="auto"/>
              </w:rPr>
            </w:pPr>
            <w:r>
              <w:rPr>
                <w:rFonts w:ascii="Arial" w:cs="Arial" w:eastAsia="Arial" w:hAnsi="Arial"/>
                <w:sz w:val="11"/>
                <w:szCs w:val="11"/>
                <w:color w:val="auto"/>
              </w:rPr>
              <w:t>Total Equity</w:t>
            </w:r>
          </w:p>
        </w:tc>
        <w:tc>
          <w:tcPr>
            <w:tcW w:w="1100" w:type="dxa"/>
            <w:vAlign w:val="bottom"/>
          </w:tcPr>
          <w:p>
            <w:pPr>
              <w:jc w:val="center"/>
              <w:ind w:left="46"/>
              <w:spacing w:after="0"/>
              <w:rPr>
                <w:sz w:val="20"/>
                <w:szCs w:val="20"/>
                <w:color w:val="auto"/>
              </w:rPr>
            </w:pPr>
            <w:r>
              <w:rPr>
                <w:rFonts w:ascii="Arial" w:cs="Arial" w:eastAsia="Arial" w:hAnsi="Arial"/>
                <w:sz w:val="11"/>
                <w:szCs w:val="11"/>
                <w:color w:val="auto"/>
                <w:w w:val="97"/>
              </w:rPr>
              <w:t>Interest</w:t>
            </w:r>
          </w:p>
        </w:tc>
      </w:tr>
      <w:tr>
        <w:trPr>
          <w:trHeight w:val="22"/>
        </w:trPr>
        <w:tc>
          <w:tcPr>
            <w:tcW w:w="22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ectPr>
          <w:pgSz w:w="11900" w:h="16838" w:orient="portrait"/>
          <w:cols w:equalWidth="0" w:num="1">
            <w:col w:w="11400"/>
          </w:cols>
          <w:pgMar w:left="240" w:top="711" w:right="259" w:bottom="1440" w:gutter="0" w:footer="0" w:header="0"/>
        </w:sectPr>
      </w:pPr>
    </w:p>
    <w:p>
      <w:pPr>
        <w:ind w:left="40"/>
        <w:spacing w:after="0"/>
        <w:rPr>
          <w:sz w:val="20"/>
          <w:szCs w:val="20"/>
          <w:color w:val="auto"/>
        </w:rPr>
      </w:pPr>
      <w:r>
        <w:rPr>
          <w:rFonts w:ascii="Arial" w:cs="Arial" w:eastAsia="Arial" w:hAnsi="Arial"/>
          <w:sz w:val="14"/>
          <w:szCs w:val="14"/>
          <w:b w:val="1"/>
          <w:bCs w:val="1"/>
          <w:color w:val="auto"/>
        </w:rPr>
        <w:t>As of December 31, 2018</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for the period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Issuance of noncontrolling interest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loss attributable to noncontrolling interest</w:t>
      </w:r>
    </w:p>
    <w:p>
      <w:pPr>
        <w:spacing w:after="0" w:line="42" w:lineRule="exact"/>
        <w:rPr>
          <w:sz w:val="20"/>
          <w:szCs w:val="20"/>
          <w:color w:val="auto"/>
        </w:rPr>
      </w:pPr>
    </w:p>
    <w:p>
      <w:pPr>
        <w:ind w:left="40" w:right="300"/>
        <w:spacing w:after="0" w:line="231" w:lineRule="auto"/>
        <w:rPr>
          <w:sz w:val="20"/>
          <w:szCs w:val="20"/>
          <w:color w:val="auto"/>
        </w:rPr>
      </w:pPr>
      <w:r>
        <w:rPr>
          <w:rFonts w:ascii="Arial" w:cs="Arial" w:eastAsia="Arial" w:hAnsi="Arial"/>
          <w:sz w:val="14"/>
          <w:szCs w:val="14"/>
          <w:color w:val="auto"/>
        </w:rPr>
        <w:t>Net income attributable to redeemable noncontrolling interests</w:t>
      </w:r>
    </w:p>
    <w:p>
      <w:pPr>
        <w:spacing w:after="0" w:line="41" w:lineRule="exact"/>
        <w:rPr>
          <w:sz w:val="20"/>
          <w:szCs w:val="20"/>
          <w:color w:val="auto"/>
        </w:rPr>
      </w:pPr>
    </w:p>
    <w:p>
      <w:pPr>
        <w:ind w:left="40"/>
        <w:spacing w:after="0" w:line="231" w:lineRule="auto"/>
        <w:rPr>
          <w:sz w:val="20"/>
          <w:szCs w:val="20"/>
          <w:color w:val="auto"/>
        </w:rPr>
      </w:pPr>
      <w:r>
        <w:rPr>
          <w:rFonts w:ascii="Arial" w:cs="Arial" w:eastAsia="Arial" w:hAnsi="Arial"/>
          <w:sz w:val="14"/>
          <w:szCs w:val="14"/>
          <w:color w:val="auto"/>
        </w:rPr>
        <w:t>Change in redemption value of redeemable noncontrolling interests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Dividends on common stock</w:t>
      </w:r>
    </w:p>
    <w:p>
      <w:pPr>
        <w:spacing w:after="0" w:line="42" w:lineRule="exact"/>
        <w:rPr>
          <w:sz w:val="20"/>
          <w:szCs w:val="20"/>
          <w:color w:val="auto"/>
        </w:rPr>
      </w:pPr>
    </w:p>
    <w:p>
      <w:pPr>
        <w:ind w:left="40" w:right="20"/>
        <w:spacing w:after="0" w:line="231" w:lineRule="auto"/>
        <w:rPr>
          <w:sz w:val="20"/>
          <w:szCs w:val="20"/>
          <w:color w:val="auto"/>
        </w:rPr>
      </w:pPr>
      <w:r>
        <w:rPr>
          <w:rFonts w:ascii="Arial" w:cs="Arial" w:eastAsia="Arial" w:hAnsi="Arial"/>
          <w:sz w:val="14"/>
          <w:szCs w:val="14"/>
          <w:color w:val="auto"/>
        </w:rPr>
        <w:t>Issuance of Class B common stock, net of restricted stock award forfeitures</w:t>
      </w:r>
    </w:p>
    <w:p>
      <w:pPr>
        <w:spacing w:after="0" w:line="41" w:lineRule="exact"/>
        <w:rPr>
          <w:sz w:val="20"/>
          <w:szCs w:val="20"/>
          <w:color w:val="auto"/>
        </w:rPr>
      </w:pPr>
    </w:p>
    <w:p>
      <w:pPr>
        <w:ind w:left="40" w:right="120"/>
        <w:spacing w:after="0" w:line="231" w:lineRule="auto"/>
        <w:rPr>
          <w:sz w:val="20"/>
          <w:szCs w:val="20"/>
          <w:color w:val="auto"/>
        </w:rPr>
      </w:pPr>
      <w:r>
        <w:rPr>
          <w:rFonts w:ascii="Arial" w:cs="Arial" w:eastAsia="Arial" w:hAnsi="Arial"/>
          <w:sz w:val="14"/>
          <w:szCs w:val="14"/>
          <w:color w:val="auto"/>
        </w:rPr>
        <w:t>Amortization of unearned stock compensation and stock option expense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income, net of income taxes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Purchase of redeemable noncontrolling interest</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As of March 31, 2019</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Net income for the period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Net income attributable to noncontrolling interest</w:t>
      </w:r>
    </w:p>
    <w:p>
      <w:pPr>
        <w:spacing w:after="0" w:line="42" w:lineRule="exact"/>
        <w:rPr>
          <w:sz w:val="20"/>
          <w:szCs w:val="20"/>
          <w:color w:val="auto"/>
        </w:rPr>
      </w:pPr>
    </w:p>
    <w:p>
      <w:pPr>
        <w:ind w:left="40" w:right="40"/>
        <w:spacing w:after="0" w:line="247" w:lineRule="auto"/>
        <w:rPr>
          <w:sz w:val="20"/>
          <w:szCs w:val="20"/>
          <w:color w:val="auto"/>
        </w:rPr>
      </w:pPr>
      <w:r>
        <w:rPr>
          <w:rFonts w:ascii="Arial" w:cs="Arial" w:eastAsia="Arial" w:hAnsi="Arial"/>
          <w:sz w:val="14"/>
          <w:szCs w:val="14"/>
          <w:b w:val="1"/>
          <w:bCs w:val="1"/>
          <w:color w:val="auto"/>
        </w:rPr>
        <w:t>Net income attributable to redeemable noncontrolling interests</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Dividends on common stock</w:t>
      </w:r>
    </w:p>
    <w:p>
      <w:pPr>
        <w:spacing w:after="0" w:line="42" w:lineRule="exact"/>
        <w:rPr>
          <w:sz w:val="20"/>
          <w:szCs w:val="20"/>
          <w:color w:val="auto"/>
        </w:rPr>
      </w:pPr>
    </w:p>
    <w:p>
      <w:pPr>
        <w:ind w:left="40" w:right="220"/>
        <w:spacing w:after="0" w:line="247" w:lineRule="auto"/>
        <w:rPr>
          <w:sz w:val="20"/>
          <w:szCs w:val="20"/>
          <w:color w:val="auto"/>
        </w:rPr>
      </w:pPr>
      <w:r>
        <w:rPr>
          <w:rFonts w:ascii="Arial" w:cs="Arial" w:eastAsia="Arial" w:hAnsi="Arial"/>
          <w:sz w:val="14"/>
          <w:szCs w:val="14"/>
          <w:b w:val="1"/>
          <w:bCs w:val="1"/>
          <w:color w:val="auto"/>
        </w:rPr>
        <w:t>Amortization of unearned stock compensation and stock option expense</w:t>
      </w:r>
    </w:p>
    <w:p>
      <w:pPr>
        <w:spacing w:after="0" w:line="87" w:lineRule="exact"/>
        <w:rPr>
          <w:sz w:val="20"/>
          <w:szCs w:val="20"/>
          <w:color w:val="auto"/>
        </w:rPr>
      </w:pPr>
    </w:p>
    <w:p>
      <w:pPr>
        <w:ind w:left="40" w:right="440"/>
        <w:spacing w:after="0" w:line="468" w:lineRule="auto"/>
        <w:rPr>
          <w:sz w:val="20"/>
          <w:szCs w:val="20"/>
          <w:color w:val="auto"/>
        </w:rPr>
      </w:pPr>
      <w:r>
        <w:rPr>
          <w:rFonts w:ascii="Arial" w:cs="Arial" w:eastAsia="Arial" w:hAnsi="Arial"/>
          <w:sz w:val="14"/>
          <w:szCs w:val="14"/>
          <w:b w:val="1"/>
          <w:bCs w:val="1"/>
          <w:color w:val="auto"/>
        </w:rPr>
        <w:t>Other comprehensive loss, net of income taxes As of June 30, 2019</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As of December 31, 2017</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for the period</w:t>
      </w:r>
    </w:p>
    <w:p>
      <w:pPr>
        <w:spacing w:after="0" w:line="42" w:lineRule="exact"/>
        <w:rPr>
          <w:sz w:val="20"/>
          <w:szCs w:val="20"/>
          <w:color w:val="auto"/>
        </w:rPr>
      </w:pPr>
    </w:p>
    <w:p>
      <w:pPr>
        <w:ind w:left="40" w:right="300"/>
        <w:spacing w:after="0" w:line="231" w:lineRule="auto"/>
        <w:rPr>
          <w:sz w:val="20"/>
          <w:szCs w:val="20"/>
          <w:color w:val="auto"/>
        </w:rPr>
      </w:pPr>
      <w:r>
        <w:rPr>
          <w:rFonts w:ascii="Arial" w:cs="Arial" w:eastAsia="Arial" w:hAnsi="Arial"/>
          <w:sz w:val="14"/>
          <w:szCs w:val="14"/>
          <w:color w:val="auto"/>
        </w:rPr>
        <w:t>Net income attributable to redeemable noncontrolling interests</w:t>
      </w:r>
    </w:p>
    <w:p>
      <w:pPr>
        <w:spacing w:after="0" w:line="109" w:lineRule="exact"/>
        <w:rPr>
          <w:sz w:val="20"/>
          <w:szCs w:val="20"/>
          <w:color w:val="auto"/>
        </w:rPr>
      </w:pPr>
    </w:p>
    <w:p>
      <w:pPr>
        <w:ind w:left="40" w:right="1180"/>
        <w:spacing w:after="0" w:line="411" w:lineRule="auto"/>
        <w:rPr>
          <w:sz w:val="20"/>
          <w:szCs w:val="20"/>
          <w:color w:val="auto"/>
        </w:rPr>
      </w:pPr>
      <w:r>
        <w:rPr>
          <w:rFonts w:ascii="Arial" w:cs="Arial" w:eastAsia="Arial" w:hAnsi="Arial"/>
          <w:sz w:val="12"/>
          <w:szCs w:val="12"/>
          <w:color w:val="auto"/>
        </w:rPr>
        <w:t>Dividends on common stock Repurchase of Class B common stock</w:t>
      </w:r>
    </w:p>
    <w:p>
      <w:pPr>
        <w:ind w:left="40" w:right="20"/>
        <w:spacing w:after="0" w:line="231" w:lineRule="auto"/>
        <w:rPr>
          <w:sz w:val="20"/>
          <w:szCs w:val="20"/>
          <w:color w:val="auto"/>
        </w:rPr>
      </w:pPr>
      <w:r>
        <w:rPr>
          <w:rFonts w:ascii="Arial" w:cs="Arial" w:eastAsia="Arial" w:hAnsi="Arial"/>
          <w:sz w:val="14"/>
          <w:szCs w:val="14"/>
          <w:color w:val="auto"/>
        </w:rPr>
        <w:t>Issuance of Class B common stock, net of restricted stock award forfeitures</w:t>
      </w:r>
    </w:p>
    <w:p>
      <w:pPr>
        <w:spacing w:after="0" w:line="41" w:lineRule="exact"/>
        <w:rPr>
          <w:sz w:val="20"/>
          <w:szCs w:val="20"/>
          <w:color w:val="auto"/>
        </w:rPr>
      </w:pPr>
    </w:p>
    <w:p>
      <w:pPr>
        <w:ind w:left="40" w:right="120"/>
        <w:spacing w:after="0" w:line="231" w:lineRule="auto"/>
        <w:rPr>
          <w:sz w:val="20"/>
          <w:szCs w:val="20"/>
          <w:color w:val="auto"/>
        </w:rPr>
      </w:pPr>
      <w:r>
        <w:rPr>
          <w:rFonts w:ascii="Arial" w:cs="Arial" w:eastAsia="Arial" w:hAnsi="Arial"/>
          <w:sz w:val="14"/>
          <w:szCs w:val="14"/>
          <w:color w:val="auto"/>
        </w:rPr>
        <w:t>Amortization of unearned stock compensation and stock option expense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income, net of income taxes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Cumulative effect of accounting change</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As of March 31, 2018</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for the period</w:t>
      </w:r>
    </w:p>
    <w:p>
      <w:pPr>
        <w:spacing w:after="0" w:line="42" w:lineRule="exact"/>
        <w:rPr>
          <w:sz w:val="20"/>
          <w:szCs w:val="20"/>
          <w:color w:val="auto"/>
        </w:rPr>
      </w:pPr>
    </w:p>
    <w:p>
      <w:pPr>
        <w:ind w:left="40" w:right="300"/>
        <w:spacing w:after="0" w:line="231" w:lineRule="auto"/>
        <w:rPr>
          <w:sz w:val="20"/>
          <w:szCs w:val="20"/>
          <w:color w:val="auto"/>
        </w:rPr>
      </w:pPr>
      <w:r>
        <w:rPr>
          <w:rFonts w:ascii="Arial" w:cs="Arial" w:eastAsia="Arial" w:hAnsi="Arial"/>
          <w:sz w:val="14"/>
          <w:szCs w:val="14"/>
          <w:color w:val="auto"/>
        </w:rPr>
        <w:t>Net income attributable to redeemable noncontrolling interests</w:t>
      </w:r>
    </w:p>
    <w:p>
      <w:pPr>
        <w:spacing w:after="0" w:line="109" w:lineRule="exact"/>
        <w:rPr>
          <w:sz w:val="20"/>
          <w:szCs w:val="20"/>
          <w:color w:val="auto"/>
        </w:rPr>
      </w:pPr>
    </w:p>
    <w:p>
      <w:pPr>
        <w:ind w:left="40" w:right="1180"/>
        <w:spacing w:after="0" w:line="411" w:lineRule="auto"/>
        <w:rPr>
          <w:sz w:val="20"/>
          <w:szCs w:val="20"/>
          <w:color w:val="auto"/>
        </w:rPr>
      </w:pPr>
      <w:r>
        <w:rPr>
          <w:rFonts w:ascii="Arial" w:cs="Arial" w:eastAsia="Arial" w:hAnsi="Arial"/>
          <w:sz w:val="12"/>
          <w:szCs w:val="12"/>
          <w:color w:val="auto"/>
        </w:rPr>
        <w:t>Dividends on common stock Repurchase of Class B common stock</w:t>
      </w:r>
    </w:p>
    <w:p>
      <w:pPr>
        <w:ind w:left="40" w:right="20"/>
        <w:spacing w:after="0" w:line="231" w:lineRule="auto"/>
        <w:rPr>
          <w:sz w:val="20"/>
          <w:szCs w:val="20"/>
          <w:color w:val="auto"/>
        </w:rPr>
      </w:pPr>
      <w:r>
        <w:rPr>
          <w:rFonts w:ascii="Arial" w:cs="Arial" w:eastAsia="Arial" w:hAnsi="Arial"/>
          <w:sz w:val="14"/>
          <w:szCs w:val="14"/>
          <w:color w:val="auto"/>
        </w:rPr>
        <w:t>Issuance of Class B common stock, net of restricted stock award forfeitures</w:t>
      </w:r>
    </w:p>
    <w:p>
      <w:pPr>
        <w:spacing w:after="0" w:line="41" w:lineRule="exact"/>
        <w:rPr>
          <w:sz w:val="20"/>
          <w:szCs w:val="20"/>
          <w:color w:val="auto"/>
        </w:rPr>
      </w:pPr>
    </w:p>
    <w:p>
      <w:pPr>
        <w:ind w:left="40" w:right="120"/>
        <w:spacing w:after="0" w:line="231" w:lineRule="auto"/>
        <w:rPr>
          <w:sz w:val="20"/>
          <w:szCs w:val="20"/>
          <w:color w:val="auto"/>
        </w:rPr>
      </w:pPr>
      <w:r>
        <w:rPr>
          <w:rFonts w:ascii="Arial" w:cs="Arial" w:eastAsia="Arial" w:hAnsi="Arial"/>
          <w:sz w:val="14"/>
          <w:szCs w:val="14"/>
          <w:color w:val="auto"/>
        </w:rPr>
        <w:t>Amortization of unearned stock compensation and stock option expense</w:t>
      </w:r>
    </w:p>
    <w:p>
      <w:pPr>
        <w:spacing w:after="0" w:line="109" w:lineRule="exact"/>
        <w:rPr>
          <w:sz w:val="20"/>
          <w:szCs w:val="20"/>
          <w:color w:val="auto"/>
        </w:rPr>
      </w:pPr>
    </w:p>
    <w:p>
      <w:pPr>
        <w:ind w:left="40" w:right="660"/>
        <w:spacing w:after="0" w:line="444" w:lineRule="auto"/>
        <w:rPr>
          <w:sz w:val="20"/>
          <w:szCs w:val="20"/>
          <w:color w:val="auto"/>
        </w:rPr>
      </w:pPr>
      <w:r>
        <w:rPr>
          <w:rFonts w:ascii="Arial" w:cs="Arial" w:eastAsia="Arial" w:hAnsi="Arial"/>
          <w:sz w:val="14"/>
          <w:szCs w:val="14"/>
          <w:color w:val="auto"/>
        </w:rPr>
        <w:t xml:space="preserve">Other comprehensive loss, net of income taxes </w:t>
      </w:r>
      <w:r>
        <w:rPr>
          <w:rFonts w:ascii="Arial" w:cs="Arial" w:eastAsia="Arial" w:hAnsi="Arial"/>
          <w:sz w:val="14"/>
          <w:szCs w:val="14"/>
          <w:b w:val="1"/>
          <w:bCs w:val="1"/>
          <w:color w:val="auto"/>
        </w:rPr>
        <w:t>As of June 30, 2018</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660" w:type="dxa"/>
            <w:vAlign w:val="bottom"/>
          </w:tcPr>
          <w:p>
            <w:pPr>
              <w:jc w:val="right"/>
              <w:ind w:right="12"/>
              <w:spacing w:after="0"/>
              <w:rPr>
                <w:sz w:val="20"/>
                <w:szCs w:val="20"/>
                <w:color w:val="auto"/>
              </w:rPr>
            </w:pPr>
            <w:r>
              <w:rPr>
                <w:rFonts w:ascii="Arial" w:cs="Arial" w:eastAsia="Arial" w:hAnsi="Arial"/>
                <w:sz w:val="14"/>
                <w:szCs w:val="14"/>
                <w:b w:val="1"/>
                <w:bCs w:val="1"/>
                <w:color w:val="auto"/>
              </w:rPr>
              <w:t>$ 20,000</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12"/>
              <w:spacing w:after="0"/>
              <w:rPr>
                <w:sz w:val="20"/>
                <w:szCs w:val="20"/>
                <w:color w:val="auto"/>
              </w:rPr>
            </w:pPr>
            <w:r>
              <w:rPr>
                <w:rFonts w:ascii="Arial" w:cs="Arial" w:eastAsia="Arial" w:hAnsi="Arial"/>
                <w:sz w:val="14"/>
                <w:szCs w:val="14"/>
                <w:b w:val="1"/>
                <w:bCs w:val="1"/>
                <w:color w:val="auto"/>
              </w:rPr>
              <w:t>378,837</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b w:val="1"/>
                <w:bCs w:val="1"/>
                <w:color w:val="auto"/>
              </w:rPr>
              <w:t>6,236,125</w:t>
            </w:r>
          </w:p>
        </w:tc>
        <w:tc>
          <w:tcPr>
            <w:tcW w:w="320" w:type="dxa"/>
            <w:vAlign w:val="bottom"/>
          </w:tcPr>
          <w:p>
            <w:pPr>
              <w:jc w:val="right"/>
              <w:ind w:right="132"/>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12"/>
              <w:spacing w:after="0"/>
              <w:rPr>
                <w:sz w:val="20"/>
                <w:szCs w:val="20"/>
                <w:color w:val="auto"/>
              </w:rPr>
            </w:pPr>
            <w:r>
              <w:rPr>
                <w:rFonts w:ascii="Arial" w:cs="Arial" w:eastAsia="Arial" w:hAnsi="Arial"/>
                <w:sz w:val="14"/>
                <w:szCs w:val="14"/>
                <w:b w:val="1"/>
                <w:bCs w:val="1"/>
                <w:color w:val="auto"/>
              </w:rPr>
              <w:t>203,829</w:t>
            </w:r>
          </w:p>
        </w:tc>
        <w:tc>
          <w:tcPr>
            <w:tcW w:w="200" w:type="dxa"/>
            <w:vAlign w:val="bottom"/>
          </w:tcPr>
          <w:p>
            <w:pPr>
              <w:jc w:val="right"/>
              <w:ind w:right="12"/>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(3,922,009)</w:t>
            </w:r>
          </w:p>
        </w:tc>
        <w:tc>
          <w:tcPr>
            <w:tcW w:w="36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3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jc w:val="right"/>
              <w:ind w:right="32"/>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72"/>
              <w:spacing w:after="0"/>
              <w:rPr>
                <w:sz w:val="20"/>
                <w:szCs w:val="20"/>
                <w:color w:val="auto"/>
              </w:rPr>
            </w:pPr>
            <w:r>
              <w:rPr>
                <w:rFonts w:ascii="Arial" w:cs="Arial" w:eastAsia="Arial" w:hAnsi="Arial"/>
                <w:sz w:val="14"/>
                <w:szCs w:val="14"/>
                <w:b w:val="1"/>
                <w:bCs w:val="1"/>
                <w:color w:val="auto"/>
              </w:rPr>
              <w:t>2,916,782</w:t>
            </w:r>
          </w:p>
        </w:tc>
        <w:tc>
          <w:tcPr>
            <w:tcW w:w="40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32"/>
              <w:spacing w:after="0"/>
              <w:rPr>
                <w:sz w:val="20"/>
                <w:szCs w:val="20"/>
                <w:color w:val="auto"/>
              </w:rPr>
            </w:pPr>
            <w:r>
              <w:rPr>
                <w:rFonts w:ascii="Arial" w:cs="Arial" w:eastAsia="Arial" w:hAnsi="Arial"/>
                <w:sz w:val="14"/>
                <w:szCs w:val="14"/>
                <w:b w:val="1"/>
                <w:bCs w:val="1"/>
                <w:color w:val="auto"/>
              </w:rPr>
              <w:t>4,346</w:t>
            </w:r>
          </w:p>
        </w:tc>
      </w:tr>
      <w:tr>
        <w:trPr>
          <w:trHeight w:val="270"/>
        </w:trPr>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81,702</w:t>
            </w: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color w:val="auto"/>
              </w:rPr>
              <w:t>81,702</w:t>
            </w:r>
          </w:p>
        </w:tc>
        <w:tc>
          <w:tcPr>
            <w:tcW w:w="40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0"/>
        </w:trPr>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6,000</w:t>
            </w:r>
          </w:p>
        </w:tc>
        <w:tc>
          <w:tcPr>
            <w:tcW w:w="220" w:type="dxa"/>
            <w:vAlign w:val="bottom"/>
          </w:tcPr>
          <w:p>
            <w:pPr>
              <w:spacing w:after="0"/>
              <w:rPr>
                <w:sz w:val="23"/>
                <w:szCs w:val="23"/>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color w:val="auto"/>
              </w:rPr>
              <w:t>6,000</w:t>
            </w:r>
          </w:p>
        </w:tc>
        <w:tc>
          <w:tcPr>
            <w:tcW w:w="40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0"/>
        </w:trPr>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62</w:t>
            </w: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(62)</w:t>
            </w:r>
          </w:p>
        </w:tc>
        <w:tc>
          <w:tcPr>
            <w:tcW w:w="220" w:type="dxa"/>
            <w:vAlign w:val="bottom"/>
          </w:tcPr>
          <w:p>
            <w:pPr>
              <w:spacing w:after="0"/>
              <w:rPr>
                <w:sz w:val="23"/>
                <w:szCs w:val="23"/>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351"/>
        </w:trPr>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(16)</w:t>
            </w:r>
          </w:p>
        </w:tc>
        <w:tc>
          <w:tcPr>
            <w:tcW w:w="400" w:type="dxa"/>
            <w:vAlign w:val="bottom"/>
          </w:tcPr>
          <w:p>
            <w:pPr>
              <w:spacing w:after="0"/>
              <w:rPr>
                <w:sz w:val="24"/>
                <w:szCs w:val="24"/>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16</w:t>
            </w:r>
          </w:p>
        </w:tc>
      </w:tr>
      <w:tr>
        <w:trPr>
          <w:trHeight w:val="351"/>
        </w:trPr>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(54)</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(54)</w:t>
            </w:r>
          </w:p>
        </w:tc>
        <w:tc>
          <w:tcPr>
            <w:tcW w:w="400" w:type="dxa"/>
            <w:vAlign w:val="bottom"/>
          </w:tcPr>
          <w:p>
            <w:pPr>
              <w:spacing w:after="0"/>
              <w:rPr>
                <w:sz w:val="24"/>
                <w:szCs w:val="24"/>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54</w:t>
            </w:r>
          </w:p>
        </w:tc>
      </w:tr>
      <w:tr>
        <w:trPr>
          <w:trHeight w:val="270"/>
        </w:trPr>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(14,779)</w:t>
            </w: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(14,779)</w:t>
            </w:r>
          </w:p>
        </w:tc>
        <w:tc>
          <w:tcPr>
            <w:tcW w:w="40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351"/>
        </w:trPr>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(3,783)</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3,755</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(28)</w:t>
            </w: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51"/>
        </w:trPr>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1,639</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color w:val="auto"/>
              </w:rPr>
              <w:t>1,639</w:t>
            </w: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70"/>
        </w:trPr>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4"/>
                <w:szCs w:val="14"/>
                <w:color w:val="auto"/>
              </w:rPr>
              <w:t>8,290</w:t>
            </w: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color w:val="auto"/>
              </w:rPr>
              <w:t>8,290</w:t>
            </w:r>
          </w:p>
        </w:tc>
        <w:tc>
          <w:tcPr>
            <w:tcW w:w="40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8"/>
        </w:trPr>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(550)</w:t>
            </w:r>
          </w:p>
        </w:tc>
      </w:tr>
      <w:tr>
        <w:trPr>
          <w:trHeight w:val="256"/>
        </w:trPr>
        <w:tc>
          <w:tcPr>
            <w:tcW w:w="660" w:type="dxa"/>
            <w:vAlign w:val="bottom"/>
          </w:tcPr>
          <w:p>
            <w:pPr>
              <w:jc w:val="right"/>
              <w:ind w:right="12"/>
              <w:spacing w:after="0"/>
              <w:rPr>
                <w:sz w:val="20"/>
                <w:szCs w:val="20"/>
                <w:color w:val="auto"/>
              </w:rPr>
            </w:pPr>
            <w:r>
              <w:rPr>
                <w:rFonts w:ascii="Arial" w:cs="Arial" w:eastAsia="Arial" w:hAnsi="Arial"/>
                <w:sz w:val="14"/>
                <w:szCs w:val="14"/>
                <w:b w:val="1"/>
                <w:bCs w:val="1"/>
                <w:color w:val="auto"/>
              </w:rPr>
              <w:t>$ 20,000</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12"/>
              <w:spacing w:after="0"/>
              <w:rPr>
                <w:sz w:val="20"/>
                <w:szCs w:val="20"/>
                <w:color w:val="auto"/>
              </w:rPr>
            </w:pPr>
            <w:r>
              <w:rPr>
                <w:rFonts w:ascii="Arial" w:cs="Arial" w:eastAsia="Arial" w:hAnsi="Arial"/>
                <w:sz w:val="14"/>
                <w:szCs w:val="14"/>
                <w:b w:val="1"/>
                <w:bCs w:val="1"/>
                <w:color w:val="auto"/>
              </w:rPr>
              <w:t>376,639</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b w:val="1"/>
                <w:bCs w:val="1"/>
                <w:color w:val="auto"/>
              </w:rPr>
              <w:t>6,303,094</w:t>
            </w:r>
          </w:p>
        </w:tc>
        <w:tc>
          <w:tcPr>
            <w:tcW w:w="320" w:type="dxa"/>
            <w:vAlign w:val="bottom"/>
          </w:tcPr>
          <w:p>
            <w:pPr>
              <w:jc w:val="right"/>
              <w:ind w:right="132"/>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12"/>
              <w:spacing w:after="0"/>
              <w:rPr>
                <w:sz w:val="20"/>
                <w:szCs w:val="20"/>
                <w:color w:val="auto"/>
              </w:rPr>
            </w:pPr>
            <w:r>
              <w:rPr>
                <w:rFonts w:ascii="Arial" w:cs="Arial" w:eastAsia="Arial" w:hAnsi="Arial"/>
                <w:sz w:val="14"/>
                <w:szCs w:val="14"/>
                <w:b w:val="1"/>
                <w:bCs w:val="1"/>
                <w:color w:val="auto"/>
              </w:rPr>
              <w:t>212,119</w:t>
            </w:r>
          </w:p>
        </w:tc>
        <w:tc>
          <w:tcPr>
            <w:tcW w:w="200" w:type="dxa"/>
            <w:vAlign w:val="bottom"/>
          </w:tcPr>
          <w:p>
            <w:pPr>
              <w:jc w:val="right"/>
              <w:ind w:right="12"/>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(3,918,254)</w:t>
            </w:r>
          </w:p>
        </w:tc>
        <w:tc>
          <w:tcPr>
            <w:tcW w:w="36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32"/>
              <w:spacing w:after="0"/>
              <w:rPr>
                <w:sz w:val="20"/>
                <w:szCs w:val="20"/>
                <w:color w:val="auto"/>
              </w:rPr>
            </w:pPr>
            <w:r>
              <w:rPr>
                <w:rFonts w:ascii="Arial" w:cs="Arial" w:eastAsia="Arial" w:hAnsi="Arial"/>
                <w:sz w:val="14"/>
                <w:szCs w:val="14"/>
                <w:b w:val="1"/>
                <w:bCs w:val="1"/>
                <w:color w:val="auto"/>
              </w:rPr>
              <w:t>5,938</w:t>
            </w:r>
          </w:p>
        </w:tc>
        <w:tc>
          <w:tcPr>
            <w:tcW w:w="220" w:type="dxa"/>
            <w:vAlign w:val="bottom"/>
          </w:tcPr>
          <w:p>
            <w:pPr>
              <w:jc w:val="right"/>
              <w:ind w:right="32"/>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72"/>
              <w:spacing w:after="0"/>
              <w:rPr>
                <w:sz w:val="20"/>
                <w:szCs w:val="20"/>
                <w:color w:val="auto"/>
              </w:rPr>
            </w:pPr>
            <w:r>
              <w:rPr>
                <w:rFonts w:ascii="Arial" w:cs="Arial" w:eastAsia="Arial" w:hAnsi="Arial"/>
                <w:sz w:val="14"/>
                <w:szCs w:val="14"/>
                <w:b w:val="1"/>
                <w:bCs w:val="1"/>
                <w:color w:val="auto"/>
              </w:rPr>
              <w:t>2,999,536</w:t>
            </w:r>
          </w:p>
        </w:tc>
        <w:tc>
          <w:tcPr>
            <w:tcW w:w="40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32"/>
              <w:spacing w:after="0"/>
              <w:rPr>
                <w:sz w:val="20"/>
                <w:szCs w:val="20"/>
                <w:color w:val="auto"/>
              </w:rPr>
            </w:pPr>
            <w:r>
              <w:rPr>
                <w:rFonts w:ascii="Arial" w:cs="Arial" w:eastAsia="Arial" w:hAnsi="Arial"/>
                <w:sz w:val="14"/>
                <w:szCs w:val="14"/>
                <w:b w:val="1"/>
                <w:bCs w:val="1"/>
                <w:color w:val="auto"/>
              </w:rPr>
              <w:t>3,866</w:t>
            </w:r>
          </w:p>
        </w:tc>
      </w:tr>
      <w:tr>
        <w:trPr>
          <w:trHeight w:val="270"/>
        </w:trPr>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b w:val="1"/>
                <w:bCs w:val="1"/>
                <w:color w:val="auto"/>
              </w:rPr>
              <w:t>57,195</w:t>
            </w: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b w:val="1"/>
                <w:bCs w:val="1"/>
                <w:color w:val="auto"/>
              </w:rPr>
              <w:t>57,195</w:t>
            </w:r>
          </w:p>
        </w:tc>
        <w:tc>
          <w:tcPr>
            <w:tcW w:w="40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0"/>
        </w:trPr>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(104)</w:t>
            </w: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b w:val="1"/>
                <w:bCs w:val="1"/>
                <w:color w:val="auto"/>
              </w:rPr>
              <w:t>104</w:t>
            </w:r>
          </w:p>
        </w:tc>
        <w:tc>
          <w:tcPr>
            <w:tcW w:w="220" w:type="dxa"/>
            <w:vAlign w:val="bottom"/>
          </w:tcPr>
          <w:p>
            <w:pPr>
              <w:spacing w:after="0"/>
              <w:rPr>
                <w:sz w:val="23"/>
                <w:szCs w:val="23"/>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351"/>
        </w:trPr>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b w:val="1"/>
                <w:bCs w:val="1"/>
                <w:color w:val="auto"/>
              </w:rPr>
              <w:t>(10)</w:t>
            </w:r>
          </w:p>
        </w:tc>
        <w:tc>
          <w:tcPr>
            <w:tcW w:w="400" w:type="dxa"/>
            <w:vAlign w:val="bottom"/>
          </w:tcPr>
          <w:p>
            <w:pPr>
              <w:spacing w:after="0"/>
              <w:rPr>
                <w:sz w:val="24"/>
                <w:szCs w:val="24"/>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b w:val="1"/>
                <w:bCs w:val="1"/>
                <w:color w:val="auto"/>
              </w:rPr>
              <w:t>10</w:t>
            </w:r>
          </w:p>
        </w:tc>
      </w:tr>
      <w:tr>
        <w:trPr>
          <w:trHeight w:val="270"/>
        </w:trPr>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(7,388)</w:t>
            </w: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b w:val="1"/>
                <w:bCs w:val="1"/>
                <w:color w:val="auto"/>
              </w:rPr>
              <w:t>(7,388)</w:t>
            </w:r>
          </w:p>
        </w:tc>
        <w:tc>
          <w:tcPr>
            <w:tcW w:w="40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351"/>
        </w:trPr>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b w:val="1"/>
                <w:bCs w:val="1"/>
                <w:color w:val="auto"/>
              </w:rPr>
              <w:t>1,616</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b w:val="1"/>
                <w:bCs w:val="1"/>
                <w:color w:val="auto"/>
              </w:rPr>
              <w:t>1,616</w:t>
            </w: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78"/>
        </w:trPr>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(12,095)</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(12,095)</w:t>
            </w:r>
          </w:p>
        </w:tc>
        <w:tc>
          <w:tcPr>
            <w:tcW w:w="4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264"/>
        </w:trPr>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$ 20,000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378,255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6,352,787</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200,024</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(3,918,254)</w:t>
            </w: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6,042</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3,038,854</w:t>
            </w:r>
          </w:p>
        </w:tc>
        <w:tc>
          <w:tcPr>
            <w:tcW w:w="4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3,876</w:t>
            </w: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486"/>
        </w:trPr>
        <w:tc>
          <w:tcPr>
            <w:tcW w:w="660" w:type="dxa"/>
            <w:vAlign w:val="bottom"/>
          </w:tcPr>
          <w:p>
            <w:pPr>
              <w:jc w:val="right"/>
              <w:ind w:right="12"/>
              <w:spacing w:after="0"/>
              <w:rPr>
                <w:sz w:val="20"/>
                <w:szCs w:val="20"/>
                <w:color w:val="auto"/>
              </w:rPr>
            </w:pPr>
            <w:r>
              <w:rPr>
                <w:rFonts w:ascii="Arial" w:cs="Arial" w:eastAsia="Arial" w:hAnsi="Arial"/>
                <w:sz w:val="14"/>
                <w:szCs w:val="14"/>
                <w:b w:val="1"/>
                <w:bCs w:val="1"/>
                <w:color w:val="auto"/>
              </w:rPr>
              <w:t>$ 20,000</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12"/>
              <w:spacing w:after="0"/>
              <w:rPr>
                <w:sz w:val="20"/>
                <w:szCs w:val="20"/>
                <w:color w:val="auto"/>
              </w:rPr>
            </w:pPr>
            <w:r>
              <w:rPr>
                <w:rFonts w:ascii="Arial" w:cs="Arial" w:eastAsia="Arial" w:hAnsi="Arial"/>
                <w:sz w:val="14"/>
                <w:szCs w:val="14"/>
                <w:b w:val="1"/>
                <w:bCs w:val="1"/>
                <w:color w:val="auto"/>
              </w:rPr>
              <w:t>370,700</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b w:val="1"/>
                <w:bCs w:val="1"/>
                <w:color w:val="auto"/>
              </w:rPr>
              <w:t>5,791,724</w:t>
            </w:r>
          </w:p>
        </w:tc>
        <w:tc>
          <w:tcPr>
            <w:tcW w:w="320" w:type="dxa"/>
            <w:vAlign w:val="bottom"/>
          </w:tcPr>
          <w:p>
            <w:pPr>
              <w:jc w:val="right"/>
              <w:ind w:right="132"/>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12"/>
              <w:spacing w:after="0"/>
              <w:rPr>
                <w:sz w:val="20"/>
                <w:szCs w:val="20"/>
                <w:color w:val="auto"/>
              </w:rPr>
            </w:pPr>
            <w:r>
              <w:rPr>
                <w:rFonts w:ascii="Arial" w:cs="Arial" w:eastAsia="Arial" w:hAnsi="Arial"/>
                <w:sz w:val="14"/>
                <w:szCs w:val="14"/>
                <w:b w:val="1"/>
                <w:bCs w:val="1"/>
                <w:color w:val="auto"/>
              </w:rPr>
              <w:t>535,555</w:t>
            </w:r>
          </w:p>
        </w:tc>
        <w:tc>
          <w:tcPr>
            <w:tcW w:w="200" w:type="dxa"/>
            <w:vAlign w:val="bottom"/>
          </w:tcPr>
          <w:p>
            <w:pPr>
              <w:jc w:val="right"/>
              <w:ind w:right="12"/>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(3,802,834)</w:t>
            </w:r>
          </w:p>
        </w:tc>
        <w:tc>
          <w:tcPr>
            <w:tcW w:w="36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3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jc w:val="right"/>
              <w:ind w:right="32"/>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72"/>
              <w:spacing w:after="0"/>
              <w:rPr>
                <w:sz w:val="20"/>
                <w:szCs w:val="20"/>
                <w:color w:val="auto"/>
              </w:rPr>
            </w:pPr>
            <w:r>
              <w:rPr>
                <w:rFonts w:ascii="Arial" w:cs="Arial" w:eastAsia="Arial" w:hAnsi="Arial"/>
                <w:sz w:val="14"/>
                <w:szCs w:val="14"/>
                <w:b w:val="1"/>
                <w:bCs w:val="1"/>
                <w:color w:val="auto"/>
              </w:rPr>
              <w:t>2,915,145</w:t>
            </w:r>
          </w:p>
        </w:tc>
        <w:tc>
          <w:tcPr>
            <w:tcW w:w="40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32"/>
              <w:spacing w:after="0"/>
              <w:rPr>
                <w:sz w:val="20"/>
                <w:szCs w:val="20"/>
                <w:color w:val="auto"/>
              </w:rPr>
            </w:pPr>
            <w:r>
              <w:rPr>
                <w:rFonts w:ascii="Arial" w:cs="Arial" w:eastAsia="Arial" w:hAnsi="Arial"/>
                <w:sz w:val="14"/>
                <w:szCs w:val="14"/>
                <w:b w:val="1"/>
                <w:bCs w:val="1"/>
                <w:color w:val="auto"/>
              </w:rPr>
              <w:t>4,607</w:t>
            </w:r>
          </w:p>
        </w:tc>
      </w:tr>
      <w:tr>
        <w:trPr>
          <w:trHeight w:val="270"/>
        </w:trPr>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42,965</w:t>
            </w: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color w:val="auto"/>
              </w:rPr>
              <w:t>42,965</w:t>
            </w:r>
          </w:p>
        </w:tc>
        <w:tc>
          <w:tcPr>
            <w:tcW w:w="40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351"/>
        </w:trPr>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(73)</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(73)</w:t>
            </w:r>
          </w:p>
        </w:tc>
        <w:tc>
          <w:tcPr>
            <w:tcW w:w="400" w:type="dxa"/>
            <w:vAlign w:val="bottom"/>
          </w:tcPr>
          <w:p>
            <w:pPr>
              <w:spacing w:after="0"/>
              <w:rPr>
                <w:sz w:val="24"/>
                <w:szCs w:val="24"/>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73</w:t>
            </w:r>
          </w:p>
        </w:tc>
      </w:tr>
      <w:tr>
        <w:trPr>
          <w:trHeight w:val="270"/>
        </w:trPr>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(14,638)</w:t>
            </w: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(14,638)</w:t>
            </w:r>
          </w:p>
        </w:tc>
        <w:tc>
          <w:tcPr>
            <w:tcW w:w="40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0"/>
        </w:trPr>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(79,001)</w:t>
            </w: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(79,001)</w:t>
            </w:r>
          </w:p>
        </w:tc>
        <w:tc>
          <w:tcPr>
            <w:tcW w:w="40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351"/>
        </w:trPr>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(189)</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119</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(70)</w:t>
            </w: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51"/>
        </w:trPr>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2,325</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color w:val="auto"/>
              </w:rPr>
              <w:t>2,325</w:t>
            </w: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70"/>
        </w:trPr>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4"/>
                <w:szCs w:val="14"/>
                <w:color w:val="auto"/>
              </w:rPr>
              <w:t>10,812</w:t>
            </w: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color w:val="auto"/>
              </w:rPr>
              <w:t>10,812</w:t>
            </w:r>
          </w:p>
        </w:tc>
        <w:tc>
          <w:tcPr>
            <w:tcW w:w="40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8"/>
        </w:trPr>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201,812</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(194,889)</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6,923</w:t>
            </w:r>
          </w:p>
        </w:tc>
        <w:tc>
          <w:tcPr>
            <w:tcW w:w="4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256"/>
        </w:trPr>
        <w:tc>
          <w:tcPr>
            <w:tcW w:w="660" w:type="dxa"/>
            <w:vAlign w:val="bottom"/>
          </w:tcPr>
          <w:p>
            <w:pPr>
              <w:jc w:val="right"/>
              <w:ind w:right="12"/>
              <w:spacing w:after="0"/>
              <w:rPr>
                <w:sz w:val="20"/>
                <w:szCs w:val="20"/>
                <w:color w:val="auto"/>
              </w:rPr>
            </w:pPr>
            <w:r>
              <w:rPr>
                <w:rFonts w:ascii="Arial" w:cs="Arial" w:eastAsia="Arial" w:hAnsi="Arial"/>
                <w:sz w:val="14"/>
                <w:szCs w:val="14"/>
                <w:b w:val="1"/>
                <w:bCs w:val="1"/>
                <w:color w:val="auto"/>
              </w:rPr>
              <w:t>$ 20,000</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12"/>
              <w:spacing w:after="0"/>
              <w:rPr>
                <w:sz w:val="20"/>
                <w:szCs w:val="20"/>
                <w:color w:val="auto"/>
              </w:rPr>
            </w:pPr>
            <w:r>
              <w:rPr>
                <w:rFonts w:ascii="Arial" w:cs="Arial" w:eastAsia="Arial" w:hAnsi="Arial"/>
                <w:sz w:val="14"/>
                <w:szCs w:val="14"/>
                <w:b w:val="1"/>
                <w:bCs w:val="1"/>
                <w:color w:val="auto"/>
              </w:rPr>
              <w:t>372,836</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b w:val="1"/>
                <w:bCs w:val="1"/>
                <w:color w:val="auto"/>
              </w:rPr>
              <w:t>6,021,790</w:t>
            </w:r>
          </w:p>
        </w:tc>
        <w:tc>
          <w:tcPr>
            <w:tcW w:w="320" w:type="dxa"/>
            <w:vAlign w:val="bottom"/>
          </w:tcPr>
          <w:p>
            <w:pPr>
              <w:jc w:val="right"/>
              <w:ind w:right="132"/>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12"/>
              <w:spacing w:after="0"/>
              <w:rPr>
                <w:sz w:val="20"/>
                <w:szCs w:val="20"/>
                <w:color w:val="auto"/>
              </w:rPr>
            </w:pPr>
            <w:r>
              <w:rPr>
                <w:rFonts w:ascii="Arial" w:cs="Arial" w:eastAsia="Arial" w:hAnsi="Arial"/>
                <w:sz w:val="14"/>
                <w:szCs w:val="14"/>
                <w:b w:val="1"/>
                <w:bCs w:val="1"/>
                <w:color w:val="auto"/>
              </w:rPr>
              <w:t>351,478</w:t>
            </w:r>
          </w:p>
        </w:tc>
        <w:tc>
          <w:tcPr>
            <w:tcW w:w="200" w:type="dxa"/>
            <w:vAlign w:val="bottom"/>
          </w:tcPr>
          <w:p>
            <w:pPr>
              <w:jc w:val="right"/>
              <w:ind w:right="12"/>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(3,881,716)</w:t>
            </w:r>
          </w:p>
        </w:tc>
        <w:tc>
          <w:tcPr>
            <w:tcW w:w="36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3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jc w:val="right"/>
              <w:ind w:right="32"/>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72"/>
              <w:spacing w:after="0"/>
              <w:rPr>
                <w:sz w:val="20"/>
                <w:szCs w:val="20"/>
                <w:color w:val="auto"/>
              </w:rPr>
            </w:pPr>
            <w:r>
              <w:rPr>
                <w:rFonts w:ascii="Arial" w:cs="Arial" w:eastAsia="Arial" w:hAnsi="Arial"/>
                <w:sz w:val="14"/>
                <w:szCs w:val="14"/>
                <w:b w:val="1"/>
                <w:bCs w:val="1"/>
                <w:color w:val="auto"/>
              </w:rPr>
              <w:t>2,884,388</w:t>
            </w:r>
          </w:p>
        </w:tc>
        <w:tc>
          <w:tcPr>
            <w:tcW w:w="40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32"/>
              <w:spacing w:after="0"/>
              <w:rPr>
                <w:sz w:val="20"/>
                <w:szCs w:val="20"/>
                <w:color w:val="auto"/>
              </w:rPr>
            </w:pPr>
            <w:r>
              <w:rPr>
                <w:rFonts w:ascii="Arial" w:cs="Arial" w:eastAsia="Arial" w:hAnsi="Arial"/>
                <w:sz w:val="14"/>
                <w:szCs w:val="14"/>
                <w:b w:val="1"/>
                <w:bCs w:val="1"/>
                <w:color w:val="auto"/>
              </w:rPr>
              <w:t>4,680</w:t>
            </w:r>
          </w:p>
        </w:tc>
      </w:tr>
      <w:tr>
        <w:trPr>
          <w:trHeight w:val="270"/>
        </w:trPr>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46,635</w:t>
            </w: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color w:val="auto"/>
              </w:rPr>
              <w:t>46,635</w:t>
            </w:r>
          </w:p>
        </w:tc>
        <w:tc>
          <w:tcPr>
            <w:tcW w:w="40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351"/>
        </w:trPr>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(70)</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(70)</w:t>
            </w:r>
          </w:p>
        </w:tc>
        <w:tc>
          <w:tcPr>
            <w:tcW w:w="400" w:type="dxa"/>
            <w:vAlign w:val="bottom"/>
          </w:tcPr>
          <w:p>
            <w:pPr>
              <w:spacing w:after="0"/>
              <w:rPr>
                <w:sz w:val="24"/>
                <w:szCs w:val="24"/>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70</w:t>
            </w:r>
          </w:p>
        </w:tc>
      </w:tr>
      <w:tr>
        <w:trPr>
          <w:trHeight w:val="270"/>
        </w:trPr>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(6,949)</w:t>
            </w: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(6,949)</w:t>
            </w:r>
          </w:p>
        </w:tc>
        <w:tc>
          <w:tcPr>
            <w:tcW w:w="40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0"/>
        </w:trPr>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(15,091)</w:t>
            </w: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(15,091)</w:t>
            </w:r>
          </w:p>
        </w:tc>
        <w:tc>
          <w:tcPr>
            <w:tcW w:w="40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351"/>
        </w:trPr>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(496)</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(494)</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(990)</w:t>
            </w: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51"/>
        </w:trPr>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2,162</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color w:val="auto"/>
              </w:rPr>
              <w:t>2,162</w:t>
            </w: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78"/>
        </w:trPr>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(33,221)</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(33,221)</w:t>
            </w:r>
          </w:p>
        </w:tc>
        <w:tc>
          <w:tcPr>
            <w:tcW w:w="4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264"/>
        </w:trPr>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$ 20,000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374,502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6,061,406</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318,257</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(3,897,301)</w:t>
            </w: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2,876,864</w:t>
            </w:r>
          </w:p>
        </w:tc>
        <w:tc>
          <w:tcPr>
            <w:tcW w:w="4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4,750</w:t>
            </w: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ectPr>
          <w:pgSz w:w="11900" w:h="16838" w:orient="portrait"/>
          <w:cols w:equalWidth="0" w:num="2">
            <w:col w:w="3520" w:space="140"/>
            <w:col w:w="7740"/>
          </w:cols>
          <w:pgMar w:left="240" w:top="711" w:right="259" w:bottom="1440" w:gutter="0" w:footer="0" w:header="0"/>
          <w:type w:val="continuous"/>
        </w:sect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400"/>
          </w:cols>
          <w:pgMar w:left="240" w:top="711" w:right="259" w:bottom="1440"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711" w:right="259" w:bottom="1440" w:gutter="0" w:footer="0" w:header="0"/>
          <w:type w:val="continuous"/>
        </w:sectPr>
      </w:pPr>
    </w:p>
    <w:bookmarkStart w:id="8" w:name="page9"/>
    <w:bookmarkEnd w:id="8"/>
    <w:p>
      <w:pPr>
        <w:ind w:left="4340"/>
        <w:spacing w:after="0"/>
        <w:rPr>
          <w:sz w:val="20"/>
          <w:szCs w:val="20"/>
          <w:color w:val="auto"/>
        </w:rPr>
      </w:pPr>
      <w:r>
        <w:rPr>
          <w:rFonts w:ascii="Arial" w:cs="Arial" w:eastAsia="Arial" w:hAnsi="Arial"/>
          <w:sz w:val="18"/>
          <w:szCs w:val="18"/>
          <w:b w:val="1"/>
          <w:bCs w:val="1"/>
          <w:color w:val="auto"/>
        </w:rPr>
        <w:t>GRAHAM HOLDINGS COMPANY</w:t>
      </w:r>
    </w:p>
    <w:p>
      <w:pPr>
        <w:spacing w:after="0" w:line="144"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4"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BASIS OF PRESENTATION AND RECENT ACCOUNTING PRONOUNCEMENTS</w:t>
      </w:r>
    </w:p>
    <w:p>
      <w:pPr>
        <w:spacing w:after="0" w:line="166"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Graham Holdings Company (the Company), is a diversified education and media company. The Company’s Kaplan subsidiary provides a wide variety of educational services, both domestically and outside the United States. The Company’s media operations comprise the ownership and operation of seven television broadcasting stations, several websites and print publications, and a marketing solutions provider. The Company’s other business operations include manufacturing, automotive dealerships and home health and hospice services.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accompanying condensed consolidated financial statements have been prepared in accordance with:</w:t>
      </w:r>
    </w:p>
    <w:p>
      <w:pPr>
        <w:ind w:left="220" w:hanging="212"/>
        <w:spacing w:after="0" w:line="223"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generally accepted accounting principles in the United States of America (GAAP) for interim financial information; (ii) the instructions to Form</w:t>
      </w:r>
    </w:p>
    <w:p>
      <w:pPr>
        <w:ind w:right="200"/>
        <w:spacing w:after="0" w:line="222" w:lineRule="auto"/>
        <w:rPr>
          <w:rFonts w:ascii="Arial" w:cs="Arial" w:eastAsia="Arial" w:hAnsi="Arial"/>
          <w:sz w:val="18"/>
          <w:szCs w:val="18"/>
          <w:color w:val="auto"/>
        </w:rPr>
      </w:pPr>
      <w:r>
        <w:rPr>
          <w:rFonts w:ascii="Arial" w:cs="Arial" w:eastAsia="Arial" w:hAnsi="Arial"/>
          <w:sz w:val="18"/>
          <w:szCs w:val="18"/>
          <w:color w:val="auto"/>
        </w:rPr>
        <w:t>10-Q; and (iii) the guidance of Rule 10-01 of Regulation S-X under the Securities and Exchange Act of 1934, as amended, for financial statements required to be filed with the Securities and Exchange Commission (SEC). They include the assets, liabilities, results of operations and cash flows of the Company, including its domestic and foreign subsidiaries that are more than 50% owned or otherwise controlled by the Company. As permitted under such rules, certain notes and other financial information normally required by GAAP have been condensed or omitted. Management believes the accompanying condensed consolidated financial statements reflect all normal and recurring adjustments necessary for a fair statement of the Company’s financial position, results of operations, and cash flows as of and for the periods presented herein. The Company’s results of operations for the three and six months ended June 30, 2019 and 2018 may not be indicative of the Company’s future results. These condensed consolidated financial statements are unaudited and should be read in conjunction with the Company’s audited consolidated financial statements and the notes thereto included in the Company’s Annual Report on Form 10-K for the fiscal year ended December 31, 2018.</w:t>
      </w:r>
    </w:p>
    <w:p>
      <w:pPr>
        <w:spacing w:after="0" w:line="138"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The year-end condensed consolidated balance sheet data was derived from audited financial statements, but does not include all disclosures required by GAAP.</w:t>
      </w:r>
    </w:p>
    <w:p>
      <w:pPr>
        <w:spacing w:after="0" w:line="113" w:lineRule="exact"/>
        <w:rPr>
          <w:sz w:val="20"/>
          <w:szCs w:val="20"/>
          <w:color w:val="auto"/>
        </w:rPr>
      </w:pPr>
    </w:p>
    <w:p>
      <w:pPr>
        <w:ind w:right="120"/>
        <w:spacing w:after="0" w:line="230" w:lineRule="auto"/>
        <w:rPr>
          <w:sz w:val="20"/>
          <w:szCs w:val="20"/>
          <w:color w:val="auto"/>
        </w:rPr>
      </w:pPr>
      <w:r>
        <w:rPr>
          <w:rFonts w:ascii="Arial" w:cs="Arial" w:eastAsia="Arial" w:hAnsi="Arial"/>
          <w:sz w:val="18"/>
          <w:szCs w:val="18"/>
          <w:b w:val="1"/>
          <w:bCs w:val="1"/>
          <w:color w:val="auto"/>
        </w:rPr>
        <w:t xml:space="preserve">Use of Estimates in the Preparation of the Condensed Consolidated Financial Statements </w:t>
      </w:r>
      <w:r>
        <w:rPr>
          <w:rFonts w:ascii="Arial" w:cs="Arial" w:eastAsia="Arial" w:hAnsi="Arial"/>
          <w:sz w:val="18"/>
          <w:szCs w:val="18"/>
          <w:color w:val="auto"/>
        </w:rPr>
        <w:t>– The preparation of the condensed</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financial statements in conformity with GAAP requires management to make estimates and judgments that affect the amounts reported herein. Management bases its estimates and assumptions on historical experience and on various other factors that are believed to be reasonable under the circumstances. Due to the inherent uncertainty involved in making estimates, actual results reported in future periods may be affected by changes in those estimates.</w:t>
      </w:r>
    </w:p>
    <w:p>
      <w:pPr>
        <w:spacing w:after="0" w:line="116"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b w:val="1"/>
          <w:bCs w:val="1"/>
          <w:color w:val="auto"/>
        </w:rPr>
        <w:t xml:space="preserve">Recently Adopted and Issued Accounting Pronouncements </w:t>
      </w:r>
      <w:r>
        <w:rPr>
          <w:rFonts w:ascii="Arial" w:cs="Arial" w:eastAsia="Arial" w:hAnsi="Arial"/>
          <w:sz w:val="18"/>
          <w:szCs w:val="18"/>
          <w:color w:val="auto"/>
        </w:rPr>
        <w:t>– In February 2016, the Financial Accounting Standards Board (FASB) issued</w:t>
      </w:r>
      <w:r>
        <w:rPr>
          <w:rFonts w:ascii="Arial" w:cs="Arial" w:eastAsia="Arial" w:hAnsi="Arial"/>
          <w:sz w:val="18"/>
          <w:szCs w:val="18"/>
          <w:b w:val="1"/>
          <w:bCs w:val="1"/>
          <w:color w:val="auto"/>
        </w:rPr>
        <w:t xml:space="preserve"> </w:t>
      </w:r>
      <w:r>
        <w:rPr>
          <w:rFonts w:ascii="Arial" w:cs="Arial" w:eastAsia="Arial" w:hAnsi="Arial"/>
          <w:sz w:val="18"/>
          <w:szCs w:val="18"/>
          <w:color w:val="auto"/>
        </w:rPr>
        <w:t>new guidance that requires, among other things, a lessee to recognize a right-of-use asset representing an entity’s right to use the underlying asset for the lease term and a liability for lease payments on its balance sheet, regardless of classification of a lease as operating or financing. For leases with a term of twelve months or less, a lessee is permitted to make an accounting policy election by class of underlying asset not to recognize lease assets and liabilities and account for the lease similar to previous guidance for operating leases. This new guidance supersedes all prior guidance. The guidance is effective for interim and fiscal years beginning after December 15, 2018. The standard provides two methods of adoption under the modified retrospective approach. Under the comparative date method, lessees and lessors are required to recognize and measure leases as of the beginning of the earliest period presented. Under the effective date method, lessees and lessors are required to recognize and measure leases as of the period of adoption. The Company adopted the new guidance on January 1, 2019 using the effective date method.</w:t>
      </w:r>
    </w:p>
    <w:p>
      <w:pPr>
        <w:spacing w:after="0" w:line="134"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The Company elected the available package of transition practical expedients, which allowed the Company to use its historical assessments of whether contracts are or contain leases, lease classification and initial direct costs. Additionally, the Company elected the transition practical expedient to use hindsight to determine the lease term. Upon adoption of the new guidance, the Company recognized right-of-use assets of $369.3 million and lease liabilities of $418.3 million.</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97" w:right="239" w:bottom="1440" w:gutter="0" w:footer="0" w:header="0"/>
        </w:sectPr>
      </w:pPr>
    </w:p>
    <w:bookmarkStart w:id="9" w:name="page10"/>
    <w:bookmarkEnd w:id="9"/>
    <w:p>
      <w:pPr>
        <w:ind w:right="360"/>
        <w:spacing w:after="0" w:line="235" w:lineRule="auto"/>
        <w:rPr>
          <w:sz w:val="20"/>
          <w:szCs w:val="20"/>
          <w:color w:val="auto"/>
        </w:rPr>
      </w:pPr>
      <w:r>
        <w:rPr>
          <w:rFonts w:ascii="Arial" w:cs="Arial" w:eastAsia="Arial" w:hAnsi="Arial"/>
          <w:sz w:val="18"/>
          <w:szCs w:val="18"/>
          <w:color w:val="auto"/>
        </w:rPr>
        <w:t>The cumulative effect of the changes to the Company’s Condensed Consolidated Balance Sheets as a result of adopting the new guidance was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3180" w:type="dxa"/>
            <w:vAlign w:val="bottom"/>
            <w:gridSpan w:val="2"/>
          </w:tcPr>
          <w:p>
            <w:pPr>
              <w:jc w:val="right"/>
              <w:spacing w:after="0"/>
              <w:rPr>
                <w:sz w:val="20"/>
                <w:szCs w:val="20"/>
                <w:color w:val="auto"/>
              </w:rPr>
            </w:pPr>
            <w:r>
              <w:rPr>
                <w:rFonts w:ascii="Arial" w:cs="Arial" w:eastAsia="Arial" w:hAnsi="Arial"/>
                <w:sz w:val="14"/>
                <w:szCs w:val="14"/>
                <w:b w:val="1"/>
                <w:bCs w:val="1"/>
                <w:color w:val="auto"/>
              </w:rPr>
              <w:t>Balance as of December</w:t>
            </w:r>
          </w:p>
        </w:tc>
        <w:tc>
          <w:tcPr>
            <w:tcW w:w="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b w:val="1"/>
                <w:bCs w:val="1"/>
                <w:color w:val="auto"/>
              </w:rPr>
              <w:t>Balance as of January 1,</w:t>
            </w:r>
          </w:p>
        </w:tc>
      </w:tr>
      <w:tr>
        <w:trPr>
          <w:trHeight w:val="196"/>
        </w:trPr>
        <w:tc>
          <w:tcPr>
            <w:tcW w:w="45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31, 2018</w:t>
            </w:r>
          </w:p>
        </w:tc>
        <w:tc>
          <w:tcPr>
            <w:tcW w:w="3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Adjustments</w:t>
            </w:r>
          </w:p>
        </w:tc>
        <w:tc>
          <w:tcPr>
            <w:tcW w:w="4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80"/>
              <w:spacing w:after="0"/>
              <w:rPr>
                <w:sz w:val="20"/>
                <w:szCs w:val="20"/>
                <w:color w:val="auto"/>
              </w:rPr>
            </w:pPr>
            <w:r>
              <w:rPr>
                <w:rFonts w:ascii="Arial" w:cs="Arial" w:eastAsia="Arial" w:hAnsi="Arial"/>
                <w:sz w:val="14"/>
                <w:szCs w:val="14"/>
                <w:b w:val="1"/>
                <w:bCs w:val="1"/>
                <w:color w:val="auto"/>
              </w:rPr>
              <w:t>2019</w:t>
            </w:r>
          </w:p>
        </w:tc>
      </w:tr>
      <w:tr>
        <w:trPr>
          <w:trHeight w:val="250"/>
        </w:trPr>
        <w:tc>
          <w:tcPr>
            <w:tcW w:w="456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17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43"/>
        </w:trPr>
        <w:tc>
          <w:tcPr>
            <w:tcW w:w="4560" w:type="dxa"/>
            <w:vAlign w:val="bottom"/>
          </w:tcPr>
          <w:p>
            <w:pPr>
              <w:ind w:left="280"/>
              <w:spacing w:after="0"/>
              <w:rPr>
                <w:sz w:val="20"/>
                <w:szCs w:val="20"/>
                <w:color w:val="auto"/>
              </w:rPr>
            </w:pPr>
            <w:r>
              <w:rPr>
                <w:rFonts w:ascii="Arial" w:cs="Arial" w:eastAsia="Arial" w:hAnsi="Arial"/>
                <w:sz w:val="16"/>
                <w:szCs w:val="16"/>
                <w:color w:val="auto"/>
              </w:rPr>
              <w:t>Other current assets</w:t>
            </w:r>
          </w:p>
        </w:tc>
        <w:tc>
          <w:tcPr>
            <w:tcW w:w="176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82,723</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(5,595)</w:t>
            </w:r>
          </w:p>
        </w:tc>
        <w:tc>
          <w:tcPr>
            <w:tcW w:w="46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77,128</w:t>
            </w:r>
          </w:p>
        </w:tc>
      </w:tr>
      <w:tr>
        <w:trPr>
          <w:trHeight w:val="243"/>
        </w:trPr>
        <w:tc>
          <w:tcPr>
            <w:tcW w:w="4560" w:type="dxa"/>
            <w:vAlign w:val="bottom"/>
          </w:tcPr>
          <w:p>
            <w:pPr>
              <w:ind w:left="280"/>
              <w:spacing w:after="0"/>
              <w:rPr>
                <w:sz w:val="20"/>
                <w:szCs w:val="20"/>
                <w:color w:val="auto"/>
              </w:rPr>
            </w:pPr>
            <w:r>
              <w:rPr>
                <w:rFonts w:ascii="Arial" w:cs="Arial" w:eastAsia="Arial" w:hAnsi="Arial"/>
                <w:sz w:val="16"/>
                <w:szCs w:val="16"/>
                <w:color w:val="auto"/>
              </w:rPr>
              <w:t>Lease Right-of-Use Assets</w:t>
            </w:r>
          </w:p>
        </w:tc>
        <w:tc>
          <w:tcPr>
            <w:tcW w:w="17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369,333</w:t>
            </w:r>
          </w:p>
        </w:tc>
        <w:tc>
          <w:tcPr>
            <w:tcW w:w="460" w:type="dxa"/>
            <w:vAlign w:val="bottom"/>
          </w:tcPr>
          <w:p>
            <w:pPr>
              <w:spacing w:after="0"/>
              <w:rPr>
                <w:sz w:val="21"/>
                <w:szCs w:val="21"/>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369,333</w:t>
            </w:r>
          </w:p>
        </w:tc>
      </w:tr>
      <w:tr>
        <w:trPr>
          <w:trHeight w:val="270"/>
        </w:trPr>
        <w:tc>
          <w:tcPr>
            <w:tcW w:w="4560" w:type="dxa"/>
            <w:vAlign w:val="bottom"/>
          </w:tcPr>
          <w:p>
            <w:pPr>
              <w:ind w:left="40"/>
              <w:spacing w:after="0"/>
              <w:rPr>
                <w:sz w:val="20"/>
                <w:szCs w:val="20"/>
                <w:color w:val="auto"/>
              </w:rPr>
            </w:pPr>
            <w:r>
              <w:rPr>
                <w:rFonts w:ascii="Arial" w:cs="Arial" w:eastAsia="Arial" w:hAnsi="Arial"/>
                <w:sz w:val="16"/>
                <w:szCs w:val="16"/>
                <w:b w:val="1"/>
                <w:bCs w:val="1"/>
                <w:color w:val="auto"/>
              </w:rPr>
              <w:t>Liabilities</w:t>
            </w:r>
          </w:p>
        </w:tc>
        <w:tc>
          <w:tcPr>
            <w:tcW w:w="17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3"/>
        </w:trPr>
        <w:tc>
          <w:tcPr>
            <w:tcW w:w="4560" w:type="dxa"/>
            <w:vAlign w:val="bottom"/>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176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486,578</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(14,029)</w:t>
            </w:r>
          </w:p>
        </w:tc>
        <w:tc>
          <w:tcPr>
            <w:tcW w:w="46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472,549</w:t>
            </w:r>
          </w:p>
        </w:tc>
      </w:tr>
      <w:tr>
        <w:trPr>
          <w:trHeight w:val="243"/>
        </w:trPr>
        <w:tc>
          <w:tcPr>
            <w:tcW w:w="4560" w:type="dxa"/>
            <w:vAlign w:val="bottom"/>
          </w:tcPr>
          <w:p>
            <w:pPr>
              <w:ind w:left="280"/>
              <w:spacing w:after="0"/>
              <w:rPr>
                <w:sz w:val="20"/>
                <w:szCs w:val="20"/>
                <w:color w:val="auto"/>
              </w:rPr>
            </w:pPr>
            <w:r>
              <w:rPr>
                <w:rFonts w:ascii="Arial" w:cs="Arial" w:eastAsia="Arial" w:hAnsi="Arial"/>
                <w:sz w:val="16"/>
                <w:szCs w:val="16"/>
                <w:color w:val="auto"/>
              </w:rPr>
              <w:t>Current portion of lease liabilities</w:t>
            </w:r>
          </w:p>
        </w:tc>
        <w:tc>
          <w:tcPr>
            <w:tcW w:w="17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86,747</w:t>
            </w:r>
          </w:p>
        </w:tc>
        <w:tc>
          <w:tcPr>
            <w:tcW w:w="460" w:type="dxa"/>
            <w:vAlign w:val="bottom"/>
          </w:tcPr>
          <w:p>
            <w:pPr>
              <w:spacing w:after="0"/>
              <w:rPr>
                <w:sz w:val="21"/>
                <w:szCs w:val="21"/>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86,747</w:t>
            </w:r>
          </w:p>
        </w:tc>
      </w:tr>
      <w:tr>
        <w:trPr>
          <w:trHeight w:val="243"/>
        </w:trPr>
        <w:tc>
          <w:tcPr>
            <w:tcW w:w="4560" w:type="dxa"/>
            <w:vAlign w:val="bottom"/>
          </w:tcPr>
          <w:p>
            <w:pPr>
              <w:ind w:left="280"/>
              <w:spacing w:after="0"/>
              <w:rPr>
                <w:sz w:val="20"/>
                <w:szCs w:val="20"/>
                <w:color w:val="auto"/>
              </w:rPr>
            </w:pPr>
            <w:r>
              <w:rPr>
                <w:rFonts w:ascii="Arial" w:cs="Arial" w:eastAsia="Arial" w:hAnsi="Arial"/>
                <w:sz w:val="16"/>
                <w:szCs w:val="16"/>
                <w:color w:val="auto"/>
              </w:rPr>
              <w:t>Other Liabilities</w:t>
            </w:r>
          </w:p>
        </w:tc>
        <w:tc>
          <w:tcPr>
            <w:tcW w:w="17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57,901</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(40,500)</w:t>
            </w:r>
          </w:p>
        </w:tc>
        <w:tc>
          <w:tcPr>
            <w:tcW w:w="460" w:type="dxa"/>
            <w:vAlign w:val="bottom"/>
          </w:tcPr>
          <w:p>
            <w:pPr>
              <w:spacing w:after="0"/>
              <w:rPr>
                <w:sz w:val="21"/>
                <w:szCs w:val="21"/>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17,401</w:t>
            </w:r>
          </w:p>
        </w:tc>
      </w:tr>
      <w:tr>
        <w:trPr>
          <w:trHeight w:val="243"/>
        </w:trPr>
        <w:tc>
          <w:tcPr>
            <w:tcW w:w="4560" w:type="dxa"/>
            <w:vAlign w:val="bottom"/>
          </w:tcPr>
          <w:p>
            <w:pPr>
              <w:ind w:left="280"/>
              <w:spacing w:after="0"/>
              <w:rPr>
                <w:sz w:val="20"/>
                <w:szCs w:val="20"/>
                <w:color w:val="auto"/>
              </w:rPr>
            </w:pPr>
            <w:r>
              <w:rPr>
                <w:rFonts w:ascii="Arial" w:cs="Arial" w:eastAsia="Arial" w:hAnsi="Arial"/>
                <w:sz w:val="16"/>
                <w:szCs w:val="16"/>
                <w:color w:val="auto"/>
              </w:rPr>
              <w:t>Lease Liabilities</w:t>
            </w:r>
          </w:p>
        </w:tc>
        <w:tc>
          <w:tcPr>
            <w:tcW w:w="17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331,520</w:t>
            </w:r>
          </w:p>
        </w:tc>
        <w:tc>
          <w:tcPr>
            <w:tcW w:w="460" w:type="dxa"/>
            <w:vAlign w:val="bottom"/>
          </w:tcPr>
          <w:p>
            <w:pPr>
              <w:spacing w:after="0"/>
              <w:rPr>
                <w:sz w:val="21"/>
                <w:szCs w:val="21"/>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331,520</w:t>
            </w:r>
          </w:p>
        </w:tc>
      </w:tr>
    </w:tbl>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AND DISPOSITIONS OF BUSINESSES</w:t>
      </w:r>
    </w:p>
    <w:p>
      <w:pPr>
        <w:spacing w:after="0" w:line="144"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b w:val="1"/>
          <w:bCs w:val="1"/>
          <w:color w:val="auto"/>
        </w:rPr>
        <w:t>Acquisitions</w:t>
      </w:r>
      <w:r>
        <w:rPr>
          <w:rFonts w:ascii="Arial" w:cs="Arial" w:eastAsia="Arial" w:hAnsi="Arial"/>
          <w:sz w:val="18"/>
          <w:szCs w:val="18"/>
          <w:color w:val="auto"/>
        </w:rPr>
        <w:t>. In July 2019, Graham Healthcare Group (GHG) acquired an interest in a small business which will be included in the healthcare</w:t>
      </w:r>
      <w:r>
        <w:rPr>
          <w:rFonts w:ascii="Arial" w:cs="Arial" w:eastAsia="Arial" w:hAnsi="Arial"/>
          <w:sz w:val="18"/>
          <w:szCs w:val="18"/>
          <w:b w:val="1"/>
          <w:bCs w:val="1"/>
          <w:color w:val="auto"/>
        </w:rPr>
        <w:t xml:space="preserve"> </w:t>
      </w:r>
      <w:r>
        <w:rPr>
          <w:rFonts w:ascii="Arial" w:cs="Arial" w:eastAsia="Arial" w:hAnsi="Arial"/>
          <w:sz w:val="18"/>
          <w:szCs w:val="18"/>
          <w:color w:val="auto"/>
        </w:rPr>
        <w:t>division. On July 11, 2019, Kaplan acquired Heverald, the owner of ESL Education, Europe’s largest language-travel agency and Alpadia, a chain of German and French language schools and junior summer camps. The acquisition is expected to provide synergies within Kaplan’s International English business and will be included in its international division.</w:t>
      </w:r>
    </w:p>
    <w:p>
      <w:pPr>
        <w:spacing w:after="0" w:line="137"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On July 31, 2019, the Company announced the closing on its acquisition of Clyde’s Restaurant Group (CRG). CRG owns and operates thirteen restaurants and entertainment venues in the Washington, DC metropolitan area, including Old Ebbitt Grill and The Hamilton, two of the top twenty highest grossing independent restaurants in the United States. CRG will be managed by its existing management team as a wholly-owned subsidiary of the Company and will be included in other businesses.</w:t>
      </w:r>
    </w:p>
    <w:p>
      <w:pPr>
        <w:spacing w:after="0" w:line="135"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On January 31, 2019, the Company acquired an interest in two automotive dealerships for cash and the assumption of floor plan payables (see Note 5). In connection with the acquisition, the automotive subsidiary of the Company borrowed $30 million to finance the acquisition and entered into an interest rate swap to fix the interest rate on the debt at 4.7% per annum (see Note 8). The Company has a 90% interest in the automotive subsidiary. The Company also entered into a management services agreement with an entity affiliated with Christopher J. Ourisman, a member of the Ourisman Automotive Group family of dealerships. Mr. Ourisman and his team will operate and manage the dealerships. In addition, the Company advanced $ 3.5 million to the minority shareholder, an entity controlled by Mr. Ourisman, at an interest rate of 6% per annum. The acquisition is expected to provide benefits in the future by diversifying the Company’s business operations and is included in other businesses.</w:t>
      </w:r>
    </w:p>
    <w:p>
      <w:pPr>
        <w:spacing w:after="0" w:line="136" w:lineRule="exact"/>
        <w:rPr>
          <w:sz w:val="20"/>
          <w:szCs w:val="20"/>
          <w:color w:val="auto"/>
        </w:rPr>
      </w:pPr>
    </w:p>
    <w:p>
      <w:pPr>
        <w:jc w:val="both"/>
        <w:ind w:right="200"/>
        <w:spacing w:after="0" w:line="229" w:lineRule="auto"/>
        <w:rPr>
          <w:sz w:val="20"/>
          <w:szCs w:val="20"/>
          <w:color w:val="auto"/>
        </w:rPr>
      </w:pPr>
      <w:r>
        <w:rPr>
          <w:rFonts w:ascii="Arial" w:cs="Arial" w:eastAsia="Arial" w:hAnsi="Arial"/>
          <w:sz w:val="18"/>
          <w:szCs w:val="18"/>
          <w:color w:val="auto"/>
        </w:rPr>
        <w:t>During 2018, the Company acquired eight businesses, five in its education division, one in its healthcare division and two in other businesses for $121.1 million in cash and contingent consideration. The assets and liabilities of the companies acquired were recorded at their estimated fair values at the date of acquisition.</w:t>
      </w:r>
    </w:p>
    <w:p>
      <w:pPr>
        <w:spacing w:after="0" w:line="137"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In January and February 2018, Kaplan acquired the assets of i-Human Patients, Inc., a provider of cloud-based, interactive patient encounter simulations for medical and nursing professionals and educators, and another small business in test preparation and international, respectively. These acquisitions are expected to provide strategic benefits in the future.</w:t>
      </w:r>
    </w:p>
    <w:p>
      <w:pPr>
        <w:spacing w:after="0" w:line="137"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In May 2018, Kaplan acquired a 100% interest in Professional Publications, Inc. (PPI), an independent publisher of professional licensing exam review materials and engineering, surveying, architecture, and interior design licensure exam review, by purchasing all of its issued and outstanding shares. This acquisition is expected to provide certain strategic benefits in the future. This acquisition is included in Professional (U.S.).</w:t>
      </w:r>
    </w:p>
    <w:p>
      <w:pPr>
        <w:spacing w:after="0" w:line="135" w:lineRule="exact"/>
        <w:rPr>
          <w:sz w:val="20"/>
          <w:szCs w:val="20"/>
          <w:color w:val="auto"/>
        </w:rPr>
      </w:pPr>
    </w:p>
    <w:p>
      <w:pPr>
        <w:ind w:right="260"/>
        <w:spacing w:after="0" w:line="227" w:lineRule="auto"/>
        <w:rPr>
          <w:sz w:val="20"/>
          <w:szCs w:val="20"/>
          <w:color w:val="auto"/>
        </w:rPr>
      </w:pPr>
      <w:r>
        <w:rPr>
          <w:rFonts w:ascii="Arial" w:cs="Arial" w:eastAsia="Arial" w:hAnsi="Arial"/>
          <w:sz w:val="18"/>
          <w:szCs w:val="18"/>
          <w:color w:val="auto"/>
        </w:rPr>
        <w:t>On July 12, 2018, Kaplan acquired 100% of the issued and outstanding shares of the College for Financial Planning (CFFP), a provider of financial education and training to individuals pursuing the Certified Financial Planner certification, a Master of Science in Personal Financial Planning, or a Master of Science in Finance. The acquisition is expected to expand Kaplan’s financial education product offerings and is included in Professional (U.S.).</w:t>
      </w:r>
    </w:p>
    <w:p>
      <w:pPr>
        <w:spacing w:after="0" w:line="135"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On July 31, 2018, Dekko acquired 100% of the issued and outstanding shares of Furnlite, Inc., a Fallston, NC-based manufacturer of power and data solutions for the hospitality and residential furniture industries. Dekko’s primary reasons for the acquisition are to complement existing product offerings and to provide potential synergies across the businesses. The acquisition is included in other businesses.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19" w:right="239" w:bottom="1440" w:gutter="0" w:footer="0" w:header="0"/>
        </w:sectPr>
      </w:pPr>
    </w:p>
    <w:bookmarkStart w:id="10" w:name="page11"/>
    <w:bookmarkEnd w:id="10"/>
    <w:p>
      <w:pPr>
        <w:ind w:right="180"/>
        <w:spacing w:after="0" w:line="227" w:lineRule="auto"/>
        <w:rPr>
          <w:sz w:val="20"/>
          <w:szCs w:val="20"/>
          <w:color w:val="auto"/>
        </w:rPr>
      </w:pPr>
      <w:r>
        <w:rPr>
          <w:rFonts w:ascii="Arial" w:cs="Arial" w:eastAsia="Arial" w:hAnsi="Arial"/>
          <w:sz w:val="18"/>
          <w:szCs w:val="18"/>
          <w:color w:val="auto"/>
        </w:rPr>
        <w:t>In August 2018, SocialCode acquired 100% of the membership interests of Marketplace Strategy (MPS), a Cleveland-based digital marketing agency that provides strategy consulting, optimization services, advertising management and creative solutions on online marketplaces including Amazon. SocialCode’s primary reason for the acquisition is to expand its platform offerings. The acquisition is included in other businesses.</w:t>
      </w:r>
    </w:p>
    <w:p>
      <w:pPr>
        <w:spacing w:after="0" w:line="135"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In September 2018, GHG acquired the assets of a small business and Kaplan acquired the test preparation and study guide assets of Barron’s Educational Series, a New York-based education publishing company. The acquisitions are expected to complement the healthcare and test preparation services currently offered by GHG and Kaplan, respectively. GHG is included in the healthcare division. The Barron’s Educational Series acquisition is included in test preparation.</w:t>
      </w:r>
    </w:p>
    <w:p>
      <w:pPr>
        <w:spacing w:after="0" w:line="135" w:lineRule="exact"/>
        <w:rPr>
          <w:sz w:val="20"/>
          <w:szCs w:val="20"/>
          <w:color w:val="auto"/>
        </w:rPr>
      </w:pPr>
    </w:p>
    <w:p>
      <w:pPr>
        <w:jc w:val="both"/>
        <w:ind w:right="160"/>
        <w:spacing w:after="0" w:line="229" w:lineRule="auto"/>
        <w:rPr>
          <w:sz w:val="20"/>
          <w:szCs w:val="20"/>
          <w:color w:val="auto"/>
        </w:rPr>
      </w:pPr>
      <w:r>
        <w:rPr>
          <w:rFonts w:ascii="Arial" w:cs="Arial" w:eastAsia="Arial" w:hAnsi="Arial"/>
          <w:sz w:val="18"/>
          <w:szCs w:val="18"/>
          <w:color w:val="auto"/>
        </w:rPr>
        <w:t>Acquisition-related costs for acquisitions that closed during the first six months of 2018 were $0.6 million and were expensed as incurred. The aggregate purchase price of the 2018 acquisitions was allocated as follows, based on acquisition date fair values to the following assets and liabilities: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Purchase Price Allocation</w:t>
            </w:r>
          </w:p>
        </w:tc>
      </w:tr>
      <w:tr>
        <w:trPr>
          <w:trHeight w:val="244"/>
        </w:trPr>
        <w:tc>
          <w:tcPr>
            <w:tcW w:w="9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60" w:type="dxa"/>
            <w:vAlign w:val="bottom"/>
          </w:tcPr>
          <w:p>
            <w:pPr>
              <w:jc w:val="center"/>
              <w:ind w:right="121"/>
              <w:spacing w:after="0"/>
              <w:rPr>
                <w:sz w:val="20"/>
                <w:szCs w:val="20"/>
                <w:color w:val="auto"/>
              </w:rPr>
            </w:pPr>
            <w:r>
              <w:rPr>
                <w:rFonts w:ascii="Arial" w:cs="Arial" w:eastAsia="Arial" w:hAnsi="Arial"/>
                <w:sz w:val="14"/>
                <w:szCs w:val="14"/>
                <w:b w:val="1"/>
                <w:bCs w:val="1"/>
                <w:color w:val="auto"/>
              </w:rPr>
              <w:t>Year Ended</w:t>
            </w:r>
          </w:p>
        </w:tc>
      </w:tr>
      <w:tr>
        <w:trPr>
          <w:trHeight w:val="276"/>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December 31, 2018</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2060" w:type="dxa"/>
            <w:vAlign w:val="bottom"/>
          </w:tcPr>
          <w:p>
            <w:pPr>
              <w:jc w:val="right"/>
              <w:ind w:right="21"/>
              <w:spacing w:after="0"/>
              <w:rPr>
                <w:sz w:val="20"/>
                <w:szCs w:val="20"/>
                <w:color w:val="auto"/>
              </w:rPr>
            </w:pPr>
            <w:r>
              <w:rPr>
                <w:rFonts w:ascii="Arial" w:cs="Arial" w:eastAsia="Arial" w:hAnsi="Arial"/>
                <w:sz w:val="16"/>
                <w:szCs w:val="16"/>
                <w:color w:val="auto"/>
              </w:rPr>
              <w:t>2,344</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Inventory</w:t>
            </w:r>
          </w:p>
        </w:tc>
        <w:tc>
          <w:tcPr>
            <w:tcW w:w="180" w:type="dxa"/>
            <w:vAlign w:val="bottom"/>
          </w:tcPr>
          <w:p>
            <w:pPr>
              <w:spacing w:after="0"/>
              <w:rPr>
                <w:sz w:val="23"/>
                <w:szCs w:val="23"/>
                <w:color w:val="auto"/>
              </w:rPr>
            </w:pPr>
          </w:p>
        </w:tc>
        <w:tc>
          <w:tcPr>
            <w:tcW w:w="2060" w:type="dxa"/>
            <w:vAlign w:val="bottom"/>
          </w:tcPr>
          <w:p>
            <w:pPr>
              <w:jc w:val="right"/>
              <w:ind w:right="21"/>
              <w:spacing w:after="0"/>
              <w:rPr>
                <w:sz w:val="20"/>
                <w:szCs w:val="20"/>
                <w:color w:val="auto"/>
              </w:rPr>
            </w:pPr>
            <w:r>
              <w:rPr>
                <w:rFonts w:ascii="Arial" w:cs="Arial" w:eastAsia="Arial" w:hAnsi="Arial"/>
                <w:sz w:val="16"/>
                <w:szCs w:val="16"/>
                <w:color w:val="auto"/>
              </w:rPr>
              <w:t>1,268</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Property, plant and equipment</w:t>
            </w:r>
          </w:p>
        </w:tc>
        <w:tc>
          <w:tcPr>
            <w:tcW w:w="180" w:type="dxa"/>
            <w:vAlign w:val="bottom"/>
          </w:tcPr>
          <w:p>
            <w:pPr>
              <w:spacing w:after="0"/>
              <w:rPr>
                <w:sz w:val="23"/>
                <w:szCs w:val="23"/>
                <w:color w:val="auto"/>
              </w:rPr>
            </w:pPr>
          </w:p>
        </w:tc>
        <w:tc>
          <w:tcPr>
            <w:tcW w:w="2060" w:type="dxa"/>
            <w:vAlign w:val="bottom"/>
          </w:tcPr>
          <w:p>
            <w:pPr>
              <w:jc w:val="right"/>
              <w:ind w:right="21"/>
              <w:spacing w:after="0"/>
              <w:rPr>
                <w:sz w:val="20"/>
                <w:szCs w:val="20"/>
                <w:color w:val="auto"/>
              </w:rPr>
            </w:pPr>
            <w:r>
              <w:rPr>
                <w:rFonts w:ascii="Arial" w:cs="Arial" w:eastAsia="Arial" w:hAnsi="Arial"/>
                <w:sz w:val="16"/>
                <w:szCs w:val="16"/>
                <w:color w:val="auto"/>
              </w:rPr>
              <w:t>1,518</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23"/>
                <w:szCs w:val="23"/>
                <w:color w:val="auto"/>
              </w:rPr>
            </w:pPr>
          </w:p>
        </w:tc>
        <w:tc>
          <w:tcPr>
            <w:tcW w:w="2060" w:type="dxa"/>
            <w:vAlign w:val="bottom"/>
          </w:tcPr>
          <w:p>
            <w:pPr>
              <w:jc w:val="right"/>
              <w:ind w:right="41"/>
              <w:spacing w:after="0"/>
              <w:rPr>
                <w:sz w:val="20"/>
                <w:szCs w:val="20"/>
                <w:color w:val="auto"/>
              </w:rPr>
            </w:pPr>
            <w:r>
              <w:rPr>
                <w:rFonts w:ascii="Arial" w:cs="Arial" w:eastAsia="Arial" w:hAnsi="Arial"/>
                <w:sz w:val="16"/>
                <w:szCs w:val="16"/>
                <w:color w:val="auto"/>
              </w:rPr>
              <w:t>41,840</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Amortized intangible assets</w:t>
            </w:r>
          </w:p>
        </w:tc>
        <w:tc>
          <w:tcPr>
            <w:tcW w:w="180" w:type="dxa"/>
            <w:vAlign w:val="bottom"/>
          </w:tcPr>
          <w:p>
            <w:pPr>
              <w:spacing w:after="0"/>
              <w:rPr>
                <w:sz w:val="23"/>
                <w:szCs w:val="23"/>
                <w:color w:val="auto"/>
              </w:rPr>
            </w:pPr>
          </w:p>
        </w:tc>
        <w:tc>
          <w:tcPr>
            <w:tcW w:w="2060" w:type="dxa"/>
            <w:vAlign w:val="bottom"/>
          </w:tcPr>
          <w:p>
            <w:pPr>
              <w:jc w:val="right"/>
              <w:ind w:right="41"/>
              <w:spacing w:after="0"/>
              <w:rPr>
                <w:sz w:val="20"/>
                <w:szCs w:val="20"/>
                <w:color w:val="auto"/>
              </w:rPr>
            </w:pPr>
            <w:r>
              <w:rPr>
                <w:rFonts w:ascii="Arial" w:cs="Arial" w:eastAsia="Arial" w:hAnsi="Arial"/>
                <w:sz w:val="16"/>
                <w:szCs w:val="16"/>
                <w:color w:val="auto"/>
              </w:rPr>
              <w:t>78,427</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3"/>
                <w:szCs w:val="23"/>
                <w:color w:val="auto"/>
              </w:rPr>
            </w:pPr>
          </w:p>
        </w:tc>
        <w:tc>
          <w:tcPr>
            <w:tcW w:w="2060" w:type="dxa"/>
            <w:vAlign w:val="bottom"/>
          </w:tcPr>
          <w:p>
            <w:pPr>
              <w:jc w:val="right"/>
              <w:ind w:right="21"/>
              <w:spacing w:after="0"/>
              <w:rPr>
                <w:sz w:val="20"/>
                <w:szCs w:val="20"/>
                <w:color w:val="auto"/>
              </w:rPr>
            </w:pPr>
            <w:r>
              <w:rPr>
                <w:rFonts w:ascii="Arial" w:cs="Arial" w:eastAsia="Arial" w:hAnsi="Arial"/>
                <w:sz w:val="16"/>
                <w:szCs w:val="16"/>
                <w:color w:val="auto"/>
              </w:rPr>
              <w:t>5,198</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18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(7,678)</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1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(4,900)</w:t>
            </w:r>
          </w:p>
        </w:tc>
      </w:tr>
      <w:tr>
        <w:trPr>
          <w:trHeight w:val="240"/>
        </w:trPr>
        <w:tc>
          <w:tcPr>
            <w:tcW w:w="9020" w:type="dxa"/>
            <w:vAlign w:val="bottom"/>
          </w:tcPr>
          <w:p>
            <w:pPr>
              <w:ind w:left="40"/>
              <w:spacing w:after="0"/>
              <w:rPr>
                <w:sz w:val="20"/>
                <w:szCs w:val="20"/>
                <w:color w:val="auto"/>
              </w:rPr>
            </w:pPr>
            <w:r>
              <w:rPr>
                <w:rFonts w:ascii="Arial" w:cs="Arial" w:eastAsia="Arial" w:hAnsi="Arial"/>
                <w:sz w:val="16"/>
                <w:szCs w:val="16"/>
                <w:color w:val="auto"/>
              </w:rPr>
              <w:t>Aggregate purchase price, net of cash acquired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118,017</w:t>
            </w:r>
          </w:p>
        </w:tc>
      </w:tr>
      <w:tr>
        <w:trPr>
          <w:trHeight w:val="20"/>
        </w:trPr>
        <w:tc>
          <w:tcPr>
            <w:tcW w:w="9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The fair values recorded were based upon valuations. Goodwill is calculated as the excess of the consideration transferred over the net assets recognized and represents the estimated future economic benefits arising from other assets acquired that could not be individually identified and separately recognized. The goodwill recorded due to these acquisitions is attributable to the assembled workforces of the acquired companies and expected synergies. The Company expects to deduct $32.3 million of goodwill for income tax purposes for the acquisitions completed in 2018.</w:t>
      </w:r>
    </w:p>
    <w:p>
      <w:pPr>
        <w:spacing w:after="0" w:line="137" w:lineRule="exact"/>
        <w:rPr>
          <w:sz w:val="20"/>
          <w:szCs w:val="20"/>
          <w:color w:val="auto"/>
        </w:rPr>
      </w:pPr>
    </w:p>
    <w:p>
      <w:pPr>
        <w:ind w:right="540"/>
        <w:spacing w:after="0" w:line="229" w:lineRule="auto"/>
        <w:rPr>
          <w:sz w:val="20"/>
          <w:szCs w:val="20"/>
          <w:color w:val="auto"/>
        </w:rPr>
      </w:pPr>
      <w:r>
        <w:rPr>
          <w:rFonts w:ascii="Arial" w:cs="Arial" w:eastAsia="Arial" w:hAnsi="Arial"/>
          <w:sz w:val="18"/>
          <w:szCs w:val="18"/>
          <w:color w:val="auto"/>
        </w:rPr>
        <w:t>The acquired companies were consolidated into the Company’s financial statements starting on their respective acquisition dates. The following unaudited pro forma financial information presents the Company’s results as if the current year acquisitions had occurred at the beginning of 2018. The unaudited pro forma information also includes the 2018 acquisitions as if they occurred at the beginning of 2017:</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3"/>
          </w:tcPr>
          <w:p>
            <w:pPr>
              <w:jc w:val="right"/>
              <w:ind w:right="662"/>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520" w:type="dxa"/>
            <w:vAlign w:val="bottom"/>
            <w:gridSpan w:val="3"/>
          </w:tcPr>
          <w:p>
            <w:pPr>
              <w:jc w:val="right"/>
              <w:ind w:right="722"/>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6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7"/>
                <w:szCs w:val="17"/>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2018</w:t>
            </w: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2018</w:t>
            </w:r>
          </w:p>
        </w:tc>
      </w:tr>
      <w:tr>
        <w:trPr>
          <w:trHeight w:val="250"/>
        </w:trPr>
        <w:tc>
          <w:tcPr>
            <w:tcW w:w="562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44"/>
              <w:spacing w:after="0"/>
              <w:rPr>
                <w:sz w:val="20"/>
                <w:szCs w:val="20"/>
                <w:color w:val="auto"/>
              </w:rPr>
            </w:pPr>
            <w:r>
              <w:rPr>
                <w:rFonts w:ascii="Arial" w:cs="Arial" w:eastAsia="Arial" w:hAnsi="Arial"/>
                <w:sz w:val="16"/>
                <w:szCs w:val="16"/>
                <w:b w:val="1"/>
                <w:bCs w:val="1"/>
                <w:color w:val="auto"/>
              </w:rPr>
              <w:t>737,602</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748,958</w:t>
            </w:r>
          </w:p>
        </w:tc>
        <w:tc>
          <w:tcPr>
            <w:tcW w:w="4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44"/>
              <w:spacing w:after="0"/>
              <w:rPr>
                <w:sz w:val="20"/>
                <w:szCs w:val="20"/>
                <w:color w:val="auto"/>
              </w:rPr>
            </w:pPr>
            <w:r>
              <w:rPr>
                <w:rFonts w:ascii="Arial" w:cs="Arial" w:eastAsia="Arial" w:hAnsi="Arial"/>
                <w:sz w:val="16"/>
                <w:szCs w:val="16"/>
                <w:b w:val="1"/>
                <w:bCs w:val="1"/>
                <w:color w:val="auto"/>
              </w:rPr>
              <w:t>1,442,995</w:t>
            </w:r>
          </w:p>
        </w:tc>
        <w:tc>
          <w:tcPr>
            <w:tcW w:w="4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1,477,590</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320" w:type="dxa"/>
            <w:vAlign w:val="bottom"/>
          </w:tcPr>
          <w:p>
            <w:pPr>
              <w:spacing w:after="0"/>
              <w:rPr>
                <w:sz w:val="23"/>
                <w:szCs w:val="23"/>
                <w:color w:val="auto"/>
              </w:rPr>
            </w:pPr>
          </w:p>
        </w:tc>
        <w:tc>
          <w:tcPr>
            <w:tcW w:w="1080" w:type="dxa"/>
            <w:vAlign w:val="bottom"/>
          </w:tcPr>
          <w:p>
            <w:pPr>
              <w:jc w:val="right"/>
              <w:ind w:right="44"/>
              <w:spacing w:after="0"/>
              <w:rPr>
                <w:sz w:val="20"/>
                <w:szCs w:val="20"/>
                <w:color w:val="auto"/>
              </w:rPr>
            </w:pPr>
            <w:r>
              <w:rPr>
                <w:rFonts w:ascii="Arial" w:cs="Arial" w:eastAsia="Arial" w:hAnsi="Arial"/>
                <w:sz w:val="16"/>
                <w:szCs w:val="16"/>
                <w:b w:val="1"/>
                <w:bCs w:val="1"/>
                <w:color w:val="auto"/>
              </w:rPr>
              <w:t>57,195</w:t>
            </w:r>
          </w:p>
        </w:tc>
        <w:tc>
          <w:tcPr>
            <w:tcW w:w="460" w:type="dxa"/>
            <w:vAlign w:val="bottom"/>
          </w:tcPr>
          <w:p>
            <w:pPr>
              <w:spacing w:after="0"/>
              <w:rPr>
                <w:sz w:val="23"/>
                <w:szCs w:val="23"/>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46,694</w:t>
            </w:r>
          </w:p>
        </w:tc>
        <w:tc>
          <w:tcPr>
            <w:tcW w:w="420" w:type="dxa"/>
            <w:vAlign w:val="bottom"/>
          </w:tcPr>
          <w:p>
            <w:pPr>
              <w:spacing w:after="0"/>
              <w:rPr>
                <w:sz w:val="23"/>
                <w:szCs w:val="23"/>
                <w:color w:val="auto"/>
              </w:rPr>
            </w:pPr>
          </w:p>
        </w:tc>
        <w:tc>
          <w:tcPr>
            <w:tcW w:w="1060" w:type="dxa"/>
            <w:vAlign w:val="bottom"/>
          </w:tcPr>
          <w:p>
            <w:pPr>
              <w:jc w:val="right"/>
              <w:ind w:right="44"/>
              <w:spacing w:after="0"/>
              <w:rPr>
                <w:sz w:val="20"/>
                <w:szCs w:val="20"/>
                <w:color w:val="auto"/>
              </w:rPr>
            </w:pPr>
            <w:r>
              <w:rPr>
                <w:rFonts w:ascii="Arial" w:cs="Arial" w:eastAsia="Arial" w:hAnsi="Arial"/>
                <w:sz w:val="16"/>
                <w:szCs w:val="16"/>
                <w:b w:val="1"/>
                <w:bCs w:val="1"/>
                <w:color w:val="auto"/>
              </w:rPr>
              <w:t>139,321</w:t>
            </w:r>
          </w:p>
        </w:tc>
        <w:tc>
          <w:tcPr>
            <w:tcW w:w="480" w:type="dxa"/>
            <w:vAlign w:val="bottom"/>
          </w:tcPr>
          <w:p>
            <w:pPr>
              <w:spacing w:after="0"/>
              <w:rPr>
                <w:sz w:val="23"/>
                <w:szCs w:val="23"/>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91,796</w:t>
            </w:r>
          </w:p>
        </w:tc>
      </w:tr>
    </w:tbl>
    <w:p>
      <w:pPr>
        <w:spacing w:after="0" w:line="167"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These pro forma results were based on estimates and assumptions, which the Company believes are reasonable, and include the historical results of operations of the acquired companies and adjustments for depreciation and amortization of identified assets and the effect of pre-acquisition transaction related expenses incurred by the Company and the acquired entities. The pro forma information does not include efficiencies, cost reductions and synergies expected to result from the acquisitions. They are not the results that would have been realized had these entities been part of the Company during the periods presented and are not necessarily indicative of the Company’s consolidated results of operations in future periods.</w:t>
      </w:r>
    </w:p>
    <w:p>
      <w:pPr>
        <w:spacing w:after="0" w:line="115" w:lineRule="exact"/>
        <w:rPr>
          <w:sz w:val="20"/>
          <w:szCs w:val="20"/>
          <w:color w:val="auto"/>
        </w:rPr>
      </w:pPr>
    </w:p>
    <w:p>
      <w:pPr>
        <w:ind w:right="20"/>
        <w:spacing w:after="0" w:line="230" w:lineRule="auto"/>
        <w:rPr>
          <w:sz w:val="20"/>
          <w:szCs w:val="20"/>
          <w:color w:val="auto"/>
        </w:rPr>
      </w:pPr>
      <w:r>
        <w:rPr>
          <w:rFonts w:ascii="Arial" w:cs="Arial" w:eastAsia="Arial" w:hAnsi="Arial"/>
          <w:sz w:val="18"/>
          <w:szCs w:val="18"/>
          <w:b w:val="1"/>
          <w:bCs w:val="1"/>
          <w:color w:val="auto"/>
        </w:rPr>
        <w:t xml:space="preserve">Kaplan University Transaction. </w:t>
      </w:r>
      <w:r>
        <w:rPr>
          <w:rFonts w:ascii="Arial" w:cs="Arial" w:eastAsia="Arial" w:hAnsi="Arial"/>
          <w:sz w:val="18"/>
          <w:szCs w:val="18"/>
          <w:color w:val="auto"/>
        </w:rPr>
        <w:t>On March 22, 2018, the Company closed on the Kaplan University (KU) transaction and recorded a pre-tax</w:t>
      </w:r>
      <w:r>
        <w:rPr>
          <w:rFonts w:ascii="Arial" w:cs="Arial" w:eastAsia="Arial" w:hAnsi="Arial"/>
          <w:sz w:val="18"/>
          <w:szCs w:val="18"/>
          <w:b w:val="1"/>
          <w:bCs w:val="1"/>
          <w:color w:val="auto"/>
        </w:rPr>
        <w:t xml:space="preserve"> </w:t>
      </w:r>
      <w:r>
        <w:rPr>
          <w:rFonts w:ascii="Arial" w:cs="Arial" w:eastAsia="Arial" w:hAnsi="Arial"/>
          <w:sz w:val="18"/>
          <w:szCs w:val="18"/>
          <w:color w:val="auto"/>
        </w:rPr>
        <w:t>gain of $4.3 million in the first quarter of 2018. For financial reporting purposes, Kaplan may receive payment of additional consideration related to the sale of the institutional assets as part of its fee to the extent there are sufficient revenues available after paying all amounts required by the Transition and Operations Support Agreement (TOSA). The Company did not recognize any contingent consideration as part of the initial disposition. In the three and six months ended June 30, 2019, the Company recorded a $0.2 million and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19" w:right="239" w:bottom="1440" w:gutter="0" w:footer="0" w:header="0"/>
        </w:sectPr>
      </w:pPr>
    </w:p>
    <w:bookmarkStart w:id="11" w:name="page12"/>
    <w:bookmarkEnd w:id="11"/>
    <w:p>
      <w:pPr>
        <w:ind w:right="20"/>
        <w:spacing w:after="0" w:line="235" w:lineRule="auto"/>
        <w:rPr>
          <w:sz w:val="20"/>
          <w:szCs w:val="20"/>
          <w:color w:val="auto"/>
        </w:rPr>
      </w:pPr>
      <w:r>
        <w:rPr>
          <w:rFonts w:ascii="Arial" w:cs="Arial" w:eastAsia="Arial" w:hAnsi="Arial"/>
          <w:sz w:val="18"/>
          <w:szCs w:val="18"/>
          <w:color w:val="auto"/>
        </w:rPr>
        <w:t>$0.4 million contingent consideration gain, respectively. In the three and six months ended June 30, 2018, the Company recorded a $1.4 million contingent consideration gain related to the disposition.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revenue and operating income related to the KU business disposed of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960" w:type="dxa"/>
            <w:vAlign w:val="bottom"/>
          </w:tcPr>
          <w:p>
            <w:pPr>
              <w:jc w:val="center"/>
              <w:ind w:right="43"/>
              <w:spacing w:after="0"/>
              <w:rPr>
                <w:sz w:val="20"/>
                <w:szCs w:val="20"/>
                <w:color w:val="auto"/>
              </w:rPr>
            </w:pPr>
            <w:r>
              <w:rPr>
                <w:rFonts w:ascii="Arial" w:cs="Arial" w:eastAsia="Arial" w:hAnsi="Arial"/>
                <w:sz w:val="14"/>
                <w:szCs w:val="14"/>
                <w:b w:val="1"/>
                <w:bCs w:val="1"/>
                <w:color w:val="auto"/>
              </w:rPr>
              <w:t>Three Months Ended June</w:t>
            </w:r>
          </w:p>
        </w:tc>
        <w:tc>
          <w:tcPr>
            <w:tcW w:w="2120" w:type="dxa"/>
            <w:vAlign w:val="bottom"/>
            <w:gridSpan w:val="2"/>
          </w:tcPr>
          <w:p>
            <w:pPr>
              <w:jc w:val="right"/>
              <w:ind w:right="2"/>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0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683"/>
              <w:spacing w:after="0"/>
              <w:rPr>
                <w:sz w:val="20"/>
                <w:szCs w:val="20"/>
                <w:color w:val="auto"/>
              </w:rPr>
            </w:pPr>
            <w:r>
              <w:rPr>
                <w:rFonts w:ascii="Arial" w:cs="Arial" w:eastAsia="Arial" w:hAnsi="Arial"/>
                <w:sz w:val="14"/>
                <w:szCs w:val="14"/>
                <w:b w:val="1"/>
                <w:bCs w:val="1"/>
                <w:color w:val="auto"/>
              </w:rPr>
              <w:t>30, 2018</w:t>
            </w:r>
          </w:p>
        </w:tc>
        <w:tc>
          <w:tcPr>
            <w:tcW w:w="5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782"/>
              <w:spacing w:after="0"/>
              <w:rPr>
                <w:sz w:val="20"/>
                <w:szCs w:val="20"/>
                <w:color w:val="auto"/>
              </w:rPr>
            </w:pPr>
            <w:r>
              <w:rPr>
                <w:rFonts w:ascii="Arial" w:cs="Arial" w:eastAsia="Arial" w:hAnsi="Arial"/>
                <w:sz w:val="14"/>
                <w:szCs w:val="14"/>
                <w:b w:val="1"/>
                <w:bCs w:val="1"/>
                <w:color w:val="auto"/>
              </w:rPr>
              <w:t>2018</w:t>
            </w:r>
          </w:p>
        </w:tc>
      </w:tr>
      <w:tr>
        <w:trPr>
          <w:trHeight w:val="250"/>
        </w:trPr>
        <w:tc>
          <w:tcPr>
            <w:tcW w:w="4260" w:type="dxa"/>
            <w:vAlign w:val="bottom"/>
          </w:tcPr>
          <w:p>
            <w:pPr>
              <w:ind w:left="40"/>
              <w:spacing w:after="0"/>
              <w:rPr>
                <w:sz w:val="20"/>
                <w:szCs w:val="20"/>
                <w:color w:val="auto"/>
              </w:rPr>
            </w:pPr>
            <w:r>
              <w:rPr>
                <w:rFonts w:ascii="Arial" w:cs="Arial" w:eastAsia="Arial" w:hAnsi="Arial"/>
                <w:sz w:val="16"/>
                <w:szCs w:val="16"/>
                <w:color w:val="auto"/>
              </w:rPr>
              <w:t>Revenue</w:t>
            </w:r>
          </w:p>
        </w:tc>
        <w:tc>
          <w:tcPr>
            <w:tcW w:w="30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960" w:type="dxa"/>
            <w:vAlign w:val="bottom"/>
          </w:tcPr>
          <w:p>
            <w:pPr>
              <w:ind w:left="1660"/>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jc w:val="right"/>
              <w:ind w:right="303"/>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2"/>
              <w:spacing w:after="0"/>
              <w:rPr>
                <w:sz w:val="20"/>
                <w:szCs w:val="20"/>
                <w:color w:val="auto"/>
              </w:rPr>
            </w:pPr>
            <w:r>
              <w:rPr>
                <w:rFonts w:ascii="Arial" w:cs="Arial" w:eastAsia="Arial" w:hAnsi="Arial"/>
                <w:sz w:val="16"/>
                <w:szCs w:val="16"/>
                <w:color w:val="auto"/>
              </w:rPr>
              <w:t>91,526</w:t>
            </w:r>
          </w:p>
        </w:tc>
      </w:tr>
      <w:tr>
        <w:trPr>
          <w:trHeight w:val="270"/>
        </w:trPr>
        <w:tc>
          <w:tcPr>
            <w:tcW w:w="426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3020" w:type="dxa"/>
            <w:vAlign w:val="bottom"/>
          </w:tcPr>
          <w:p>
            <w:pPr>
              <w:spacing w:after="0"/>
              <w:rPr>
                <w:sz w:val="23"/>
                <w:szCs w:val="23"/>
                <w:color w:val="auto"/>
              </w:rPr>
            </w:pPr>
          </w:p>
        </w:tc>
        <w:tc>
          <w:tcPr>
            <w:tcW w:w="1960" w:type="dxa"/>
            <w:vAlign w:val="bottom"/>
          </w:tcPr>
          <w:p>
            <w:pPr>
              <w:ind w:left="1660"/>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spacing w:after="0"/>
              <w:rPr>
                <w:sz w:val="23"/>
                <w:szCs w:val="23"/>
                <w:color w:val="auto"/>
              </w:rPr>
            </w:pPr>
          </w:p>
        </w:tc>
        <w:tc>
          <w:tcPr>
            <w:tcW w:w="1540" w:type="dxa"/>
            <w:vAlign w:val="bottom"/>
          </w:tcPr>
          <w:p>
            <w:pPr>
              <w:jc w:val="right"/>
              <w:ind w:right="22"/>
              <w:spacing w:after="0"/>
              <w:rPr>
                <w:sz w:val="20"/>
                <w:szCs w:val="20"/>
                <w:color w:val="auto"/>
              </w:rPr>
            </w:pPr>
            <w:r>
              <w:rPr>
                <w:rFonts w:ascii="Arial" w:cs="Arial" w:eastAsia="Arial" w:hAnsi="Arial"/>
                <w:sz w:val="16"/>
                <w:szCs w:val="16"/>
                <w:color w:val="auto"/>
              </w:rPr>
              <w:t>213</w:t>
            </w:r>
          </w:p>
        </w:tc>
      </w:tr>
    </w:tbl>
    <w:p>
      <w:pPr>
        <w:spacing w:after="0" w:line="334"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b w:val="1"/>
          <w:bCs w:val="1"/>
          <w:color w:val="auto"/>
        </w:rPr>
        <w:t xml:space="preserve">Sale of Businesses. </w:t>
      </w:r>
      <w:r>
        <w:rPr>
          <w:rFonts w:ascii="Arial" w:cs="Arial" w:eastAsia="Arial" w:hAnsi="Arial"/>
          <w:sz w:val="18"/>
          <w:szCs w:val="18"/>
          <w:color w:val="auto"/>
        </w:rPr>
        <w:t>In February 2018, Kaplan completed the sale of a small business which was included in Test Preparation. In September</w:t>
      </w:r>
      <w:r>
        <w:rPr>
          <w:rFonts w:ascii="Arial" w:cs="Arial" w:eastAsia="Arial" w:hAnsi="Arial"/>
          <w:sz w:val="18"/>
          <w:szCs w:val="18"/>
          <w:b w:val="1"/>
          <w:bCs w:val="1"/>
          <w:color w:val="auto"/>
        </w:rPr>
        <w:t xml:space="preserve"> </w:t>
      </w:r>
      <w:r>
        <w:rPr>
          <w:rFonts w:ascii="Arial" w:cs="Arial" w:eastAsia="Arial" w:hAnsi="Arial"/>
          <w:sz w:val="18"/>
          <w:szCs w:val="18"/>
          <w:color w:val="auto"/>
        </w:rPr>
        <w:t>2018, Kaplan Australia completed the sale of a small business which was included in Kaplan International. As a result of these sales, the Company reported gains in other non-operating income (see Note 13).</w:t>
      </w:r>
    </w:p>
    <w:p>
      <w:pPr>
        <w:spacing w:after="0" w:line="114" w:lineRule="exact"/>
        <w:rPr>
          <w:sz w:val="20"/>
          <w:szCs w:val="20"/>
          <w:color w:val="auto"/>
        </w:rPr>
      </w:pPr>
    </w:p>
    <w:p>
      <w:pPr>
        <w:ind w:right="140"/>
        <w:spacing w:after="0" w:line="233" w:lineRule="auto"/>
        <w:rPr>
          <w:sz w:val="20"/>
          <w:szCs w:val="20"/>
          <w:color w:val="auto"/>
        </w:rPr>
      </w:pPr>
      <w:r>
        <w:rPr>
          <w:rFonts w:ascii="Arial" w:cs="Arial" w:eastAsia="Arial" w:hAnsi="Arial"/>
          <w:sz w:val="18"/>
          <w:szCs w:val="18"/>
          <w:b w:val="1"/>
          <w:bCs w:val="1"/>
          <w:color w:val="auto"/>
        </w:rPr>
        <w:t xml:space="preserve">Other Transactions. </w:t>
      </w:r>
      <w:r>
        <w:rPr>
          <w:rFonts w:ascii="Arial" w:cs="Arial" w:eastAsia="Arial" w:hAnsi="Arial"/>
          <w:sz w:val="18"/>
          <w:szCs w:val="18"/>
          <w:color w:val="auto"/>
        </w:rPr>
        <w:t>In March 2019, a Hoover minority shareholder put some of his shares to the Company, which had a redemption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$0.6 million. Following the redemption, the Company owns 98.01% of Hoover. In June 2018, the Company incurred $6.2 million of interest expense related to the mandatorily redeemable noncontrolling interest redemption settlement at GHG. The mandatorily redeemable noncontrolling interest was redeemed and paid in July 2018.</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14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color w:val="auto"/>
        </w:rPr>
        <w:t xml:space="preserve">Money Market Investments. </w:t>
      </w:r>
      <w:r>
        <w:rPr>
          <w:rFonts w:ascii="Arial" w:cs="Arial" w:eastAsia="Arial" w:hAnsi="Arial"/>
          <w:sz w:val="18"/>
          <w:szCs w:val="18"/>
          <w:color w:val="auto"/>
        </w:rPr>
        <w:t>As of June 30, 2019 and December 31, 2018, the Company had money market investments of $71.0 million and</w:t>
      </w:r>
      <w:r>
        <w:rPr>
          <w:rFonts w:ascii="Arial" w:cs="Arial" w:eastAsia="Arial" w:hAnsi="Arial"/>
          <w:sz w:val="18"/>
          <w:szCs w:val="18"/>
          <w:b w:val="1"/>
          <w:bCs w:val="1"/>
          <w:color w:val="auto"/>
        </w:rPr>
        <w:t xml:space="preserve"> </w:t>
      </w:r>
      <w:r>
        <w:rPr>
          <w:rFonts w:ascii="Arial" w:cs="Arial" w:eastAsia="Arial" w:hAnsi="Arial"/>
          <w:sz w:val="18"/>
          <w:szCs w:val="18"/>
          <w:color w:val="auto"/>
        </w:rPr>
        <w:t>$75.5 million, respectively, that are classified as cash and cash equivalents in the Company’s Condensed Consolidated Balance Sheets.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Investments in Marketable Equity Securities. </w:t>
      </w:r>
      <w:r>
        <w:rPr>
          <w:rFonts w:ascii="Arial" w:cs="Arial" w:eastAsia="Arial" w:hAnsi="Arial"/>
          <w:sz w:val="18"/>
          <w:szCs w:val="18"/>
          <w:color w:val="auto"/>
        </w:rPr>
        <w:t>Investments in marketable equity securities consist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r>
      <w:tr>
        <w:trPr>
          <w:trHeight w:val="337"/>
        </w:trPr>
        <w:tc>
          <w:tcPr>
            <w:tcW w:w="8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383"/>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24"/>
                <w:szCs w:val="24"/>
                <w:color w:val="auto"/>
              </w:rPr>
            </w:pPr>
          </w:p>
        </w:tc>
        <w:tc>
          <w:tcPr>
            <w:tcW w:w="1200" w:type="dxa"/>
            <w:vAlign w:val="bottom"/>
          </w:tcPr>
          <w:p>
            <w:pPr>
              <w:jc w:val="right"/>
              <w:ind w:right="162"/>
              <w:spacing w:after="0"/>
              <w:rPr>
                <w:sz w:val="20"/>
                <w:szCs w:val="20"/>
                <w:color w:val="auto"/>
              </w:rPr>
            </w:pPr>
            <w:r>
              <w:rPr>
                <w:rFonts w:ascii="Arial" w:cs="Arial" w:eastAsia="Arial" w:hAnsi="Arial"/>
                <w:sz w:val="14"/>
                <w:szCs w:val="14"/>
                <w:color w:val="auto"/>
              </w:rPr>
              <w:t>December 31,</w:t>
            </w:r>
          </w:p>
        </w:tc>
      </w:tr>
      <w:tr>
        <w:trPr>
          <w:trHeight w:val="196"/>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2018</w:t>
            </w:r>
          </w:p>
        </w:tc>
      </w:tr>
      <w:tr>
        <w:trPr>
          <w:trHeight w:val="250"/>
        </w:trPr>
        <w:tc>
          <w:tcPr>
            <w:tcW w:w="8580" w:type="dxa"/>
            <w:vAlign w:val="bottom"/>
          </w:tcPr>
          <w:p>
            <w:pPr>
              <w:ind w:left="40"/>
              <w:spacing w:after="0"/>
              <w:rPr>
                <w:sz w:val="20"/>
                <w:szCs w:val="20"/>
                <w:color w:val="auto"/>
              </w:rPr>
            </w:pPr>
            <w:r>
              <w:rPr>
                <w:rFonts w:ascii="Arial" w:cs="Arial" w:eastAsia="Arial" w:hAnsi="Arial"/>
                <w:sz w:val="16"/>
                <w:szCs w:val="16"/>
                <w:color w:val="auto"/>
              </w:rPr>
              <w:t>Total cost</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ind w:right="63"/>
              <w:spacing w:after="0"/>
              <w:rPr>
                <w:sz w:val="20"/>
                <w:szCs w:val="20"/>
                <w:color w:val="auto"/>
              </w:rPr>
            </w:pPr>
            <w:r>
              <w:rPr>
                <w:rFonts w:ascii="Arial" w:cs="Arial" w:eastAsia="Arial" w:hAnsi="Arial"/>
                <w:sz w:val="16"/>
                <w:szCs w:val="16"/>
                <w:b w:val="1"/>
                <w:bCs w:val="1"/>
                <w:color w:val="auto"/>
              </w:rPr>
              <w:t>282,349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282,563</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Gross unrealized gains</w:t>
            </w:r>
          </w:p>
        </w:tc>
        <w:tc>
          <w:tcPr>
            <w:tcW w:w="240" w:type="dxa"/>
            <w:vAlign w:val="bottom"/>
          </w:tcPr>
          <w:p>
            <w:pPr>
              <w:spacing w:after="0"/>
              <w:rPr>
                <w:sz w:val="23"/>
                <w:szCs w:val="23"/>
                <w:color w:val="auto"/>
              </w:rPr>
            </w:pPr>
          </w:p>
        </w:tc>
        <w:tc>
          <w:tcPr>
            <w:tcW w:w="1160" w:type="dxa"/>
            <w:vAlign w:val="bottom"/>
          </w:tcPr>
          <w:p>
            <w:pPr>
              <w:jc w:val="right"/>
              <w:ind w:right="63"/>
              <w:spacing w:after="0"/>
              <w:rPr>
                <w:sz w:val="20"/>
                <w:szCs w:val="20"/>
                <w:color w:val="auto"/>
              </w:rPr>
            </w:pPr>
            <w:r>
              <w:rPr>
                <w:rFonts w:ascii="Arial" w:cs="Arial" w:eastAsia="Arial" w:hAnsi="Arial"/>
                <w:sz w:val="16"/>
                <w:szCs w:val="16"/>
                <w:b w:val="1"/>
                <w:bCs w:val="1"/>
                <w:color w:val="auto"/>
              </w:rPr>
              <w:t>235,885</w:t>
            </w:r>
          </w:p>
        </w:tc>
        <w:tc>
          <w:tcPr>
            <w:tcW w:w="240" w:type="dxa"/>
            <w:vAlign w:val="bottom"/>
          </w:tcPr>
          <w:p>
            <w:pPr>
              <w:spacing w:after="0"/>
              <w:rPr>
                <w:sz w:val="23"/>
                <w:szCs w:val="23"/>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216,111</w:t>
            </w: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color w:val="auto"/>
              </w:rPr>
              <w:t>Gross unrealized losses</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(135)</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(2,284)</w:t>
            </w:r>
          </w:p>
        </w:tc>
      </w:tr>
      <w:tr>
        <w:trPr>
          <w:trHeight w:val="26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Total Fair Value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518,099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496,390</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860"/>
        <w:spacing w:after="0" w:line="235" w:lineRule="auto"/>
        <w:rPr>
          <w:sz w:val="20"/>
          <w:szCs w:val="20"/>
          <w:color w:val="auto"/>
        </w:rPr>
      </w:pPr>
      <w:r>
        <w:rPr>
          <w:rFonts w:ascii="Arial" w:cs="Arial" w:eastAsia="Arial" w:hAnsi="Arial"/>
          <w:sz w:val="18"/>
          <w:szCs w:val="18"/>
          <w:color w:val="auto"/>
        </w:rPr>
        <w:t>The Company purchased $7.5 million of marketable equity securities during the first six months of 2019. There were no purchases of marketable equity securities during the first six months of 2018.</w:t>
      </w:r>
    </w:p>
    <w:p>
      <w:pPr>
        <w:spacing w:after="0" w:line="135" w:lineRule="exact"/>
        <w:rPr>
          <w:sz w:val="20"/>
          <w:szCs w:val="20"/>
          <w:color w:val="auto"/>
        </w:rPr>
      </w:pPr>
    </w:p>
    <w:p>
      <w:pPr>
        <w:jc w:val="both"/>
        <w:ind w:right="300"/>
        <w:spacing w:after="0" w:line="229" w:lineRule="auto"/>
        <w:rPr>
          <w:sz w:val="20"/>
          <w:szCs w:val="20"/>
          <w:color w:val="auto"/>
        </w:rPr>
      </w:pPr>
      <w:r>
        <w:rPr>
          <w:rFonts w:ascii="Arial" w:cs="Arial" w:eastAsia="Arial" w:hAnsi="Arial"/>
          <w:sz w:val="18"/>
          <w:szCs w:val="18"/>
          <w:color w:val="auto"/>
        </w:rPr>
        <w:t>During the first six months of 2019, the gross cumulative realized gains from the sales of marketable equity securities were $9.7 million. The total proceeds from such sales were $17.2 million. During the first six months of 2018, the gross cumulative realized gains from the sales of marketable equity securities were $37.3 million. The total proceeds from such sales were $66.7 million.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gain (loss) on marketable equity securities comprised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80" w:type="dxa"/>
            <w:vAlign w:val="bottom"/>
            <w:gridSpan w:val="3"/>
          </w:tcPr>
          <w:p>
            <w:pPr>
              <w:jc w:val="right"/>
              <w:ind w:right="361"/>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720" w:type="dxa"/>
            <w:vAlign w:val="bottom"/>
            <w:gridSpan w:val="3"/>
          </w:tcPr>
          <w:p>
            <w:pPr>
              <w:jc w:val="right"/>
              <w:ind w:right="26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7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7200" w:type="dxa"/>
            <w:vAlign w:val="bottom"/>
          </w:tcPr>
          <w:p>
            <w:pPr>
              <w:ind w:left="40"/>
              <w:spacing w:after="0"/>
              <w:rPr>
                <w:sz w:val="20"/>
                <w:szCs w:val="20"/>
                <w:color w:val="auto"/>
              </w:rPr>
            </w:pPr>
            <w:r>
              <w:rPr>
                <w:rFonts w:ascii="Arial" w:cs="Arial" w:eastAsia="Arial" w:hAnsi="Arial"/>
                <w:sz w:val="16"/>
                <w:szCs w:val="16"/>
                <w:color w:val="auto"/>
              </w:rPr>
              <w:t>Gain (loss) on marketable equity securities, net</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3"/>
              <w:spacing w:after="0"/>
              <w:rPr>
                <w:sz w:val="20"/>
                <w:szCs w:val="20"/>
                <w:color w:val="auto"/>
              </w:rPr>
            </w:pPr>
            <w:r>
              <w:rPr>
                <w:rFonts w:ascii="Arial" w:cs="Arial" w:eastAsia="Arial" w:hAnsi="Arial"/>
                <w:sz w:val="16"/>
                <w:szCs w:val="16"/>
                <w:b w:val="1"/>
                <w:bCs w:val="1"/>
                <w:color w:val="auto"/>
              </w:rPr>
              <w:t>7,791</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(2,554)</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63"/>
              <w:spacing w:after="0"/>
              <w:rPr>
                <w:sz w:val="20"/>
                <w:szCs w:val="20"/>
                <w:color w:val="auto"/>
              </w:rPr>
            </w:pPr>
            <w:r>
              <w:rPr>
                <w:rFonts w:ascii="Arial" w:cs="Arial" w:eastAsia="Arial" w:hAnsi="Arial"/>
                <w:sz w:val="16"/>
                <w:szCs w:val="16"/>
                <w:b w:val="1"/>
                <w:bCs w:val="1"/>
                <w:color w:val="auto"/>
              </w:rPr>
              <w:t>31,857</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97"/>
              </w:rPr>
              <w:t>(16,656)</w:t>
            </w:r>
          </w:p>
        </w:tc>
        <w:tc>
          <w:tcPr>
            <w:tcW w:w="0" w:type="dxa"/>
            <w:vAlign w:val="bottom"/>
          </w:tcPr>
          <w:p>
            <w:pPr>
              <w:spacing w:after="0"/>
              <w:rPr>
                <w:sz w:val="1"/>
                <w:szCs w:val="1"/>
                <w:color w:val="auto"/>
              </w:rPr>
            </w:pPr>
          </w:p>
        </w:tc>
      </w:tr>
      <w:tr>
        <w:trPr>
          <w:trHeight w:val="283"/>
        </w:trPr>
        <w:tc>
          <w:tcPr>
            <w:tcW w:w="7200" w:type="dxa"/>
            <w:vAlign w:val="bottom"/>
          </w:tcPr>
          <w:p>
            <w:pPr>
              <w:ind w:left="40"/>
              <w:spacing w:after="0"/>
              <w:rPr>
                <w:sz w:val="20"/>
                <w:szCs w:val="20"/>
                <w:color w:val="auto"/>
              </w:rPr>
            </w:pPr>
            <w:r>
              <w:rPr>
                <w:rFonts w:ascii="Arial" w:cs="Arial" w:eastAsia="Arial" w:hAnsi="Arial"/>
                <w:sz w:val="16"/>
                <w:szCs w:val="16"/>
                <w:color w:val="auto"/>
              </w:rPr>
              <w:t>Less: Net (gains) losses in earnings from marketable equity securities sold and donated</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2</w:t>
            </w: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1,660</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(2,980)</w:t>
            </w: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4,271</w:t>
            </w:r>
          </w:p>
        </w:tc>
        <w:tc>
          <w:tcPr>
            <w:tcW w:w="0" w:type="dxa"/>
            <w:vAlign w:val="bottom"/>
          </w:tcPr>
          <w:p>
            <w:pPr>
              <w:spacing w:after="0"/>
              <w:rPr>
                <w:sz w:val="1"/>
                <w:szCs w:val="1"/>
                <w:color w:val="auto"/>
              </w:rPr>
            </w:pPr>
          </w:p>
        </w:tc>
      </w:tr>
      <w:tr>
        <w:trPr>
          <w:trHeight w:val="204"/>
        </w:trPr>
        <w:tc>
          <w:tcPr>
            <w:tcW w:w="7200" w:type="dxa"/>
            <w:vAlign w:val="bottom"/>
          </w:tcPr>
          <w:p>
            <w:pPr>
              <w:ind w:left="40"/>
              <w:spacing w:after="0"/>
              <w:rPr>
                <w:sz w:val="20"/>
                <w:szCs w:val="20"/>
                <w:color w:val="auto"/>
              </w:rPr>
            </w:pPr>
            <w:r>
              <w:rPr>
                <w:rFonts w:ascii="Arial" w:cs="Arial" w:eastAsia="Arial" w:hAnsi="Arial"/>
                <w:sz w:val="16"/>
                <w:szCs w:val="16"/>
                <w:color w:val="auto"/>
              </w:rPr>
              <w:t>Net unrealized gains (losses) in earnings from marketable equity securities still held at the end of</w:t>
            </w: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vMerge w:val="restart"/>
          </w:tcPr>
          <w:p>
            <w:pPr>
              <w:jc w:val="right"/>
              <w:ind w:right="43"/>
              <w:spacing w:after="0"/>
              <w:rPr>
                <w:sz w:val="20"/>
                <w:szCs w:val="20"/>
                <w:color w:val="auto"/>
              </w:rPr>
            </w:pPr>
            <w:r>
              <w:rPr>
                <w:rFonts w:ascii="Arial" w:cs="Arial" w:eastAsia="Arial" w:hAnsi="Arial"/>
                <w:sz w:val="16"/>
                <w:szCs w:val="16"/>
                <w:b w:val="1"/>
                <w:bCs w:val="1"/>
                <w:color w:val="auto"/>
              </w:rPr>
              <w:t>7,793</w:t>
            </w:r>
          </w:p>
        </w:tc>
        <w:tc>
          <w:tcPr>
            <w:tcW w:w="3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ind w:right="21"/>
              <w:spacing w:after="0"/>
              <w:rPr>
                <w:sz w:val="20"/>
                <w:szCs w:val="20"/>
                <w:color w:val="auto"/>
              </w:rPr>
            </w:pPr>
            <w:r>
              <w:rPr>
                <w:rFonts w:ascii="Arial" w:cs="Arial" w:eastAsia="Arial" w:hAnsi="Arial"/>
                <w:sz w:val="16"/>
                <w:szCs w:val="16"/>
                <w:color w:val="auto"/>
              </w:rPr>
              <w:t>(894)</w:t>
            </w:r>
          </w:p>
        </w:tc>
        <w:tc>
          <w:tcPr>
            <w:tcW w:w="2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vMerge w:val="restart"/>
          </w:tcPr>
          <w:p>
            <w:pPr>
              <w:jc w:val="right"/>
              <w:ind w:right="63"/>
              <w:spacing w:after="0"/>
              <w:rPr>
                <w:sz w:val="20"/>
                <w:szCs w:val="20"/>
                <w:color w:val="auto"/>
              </w:rPr>
            </w:pPr>
            <w:r>
              <w:rPr>
                <w:rFonts w:ascii="Arial" w:cs="Arial" w:eastAsia="Arial" w:hAnsi="Arial"/>
                <w:sz w:val="16"/>
                <w:szCs w:val="16"/>
                <w:b w:val="1"/>
                <w:bCs w:val="1"/>
                <w:color w:val="auto"/>
              </w:rPr>
              <w:t>28,877</w:t>
            </w:r>
          </w:p>
        </w:tc>
        <w:tc>
          <w:tcPr>
            <w:tcW w:w="32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w w:val="97"/>
              </w:rPr>
              <w:t>(12,385)</w:t>
            </w:r>
          </w:p>
        </w:tc>
        <w:tc>
          <w:tcPr>
            <w:tcW w:w="0" w:type="dxa"/>
            <w:vAlign w:val="bottom"/>
          </w:tcPr>
          <w:p>
            <w:pPr>
              <w:spacing w:after="0"/>
              <w:rPr>
                <w:sz w:val="1"/>
                <w:szCs w:val="1"/>
                <w:color w:val="auto"/>
              </w:rPr>
            </w:pPr>
          </w:p>
        </w:tc>
      </w:tr>
      <w:tr>
        <w:trPr>
          <w:trHeight w:val="203"/>
        </w:trPr>
        <w:tc>
          <w:tcPr>
            <w:tcW w:w="7200" w:type="dxa"/>
            <w:vAlign w:val="bottom"/>
          </w:tcPr>
          <w:p>
            <w:pPr>
              <w:ind w:left="200"/>
              <w:spacing w:after="0"/>
              <w:rPr>
                <w:sz w:val="20"/>
                <w:szCs w:val="20"/>
                <w:color w:val="auto"/>
              </w:rPr>
            </w:pPr>
            <w:r>
              <w:rPr>
                <w:rFonts w:ascii="Arial" w:cs="Arial" w:eastAsia="Arial" w:hAnsi="Arial"/>
                <w:sz w:val="16"/>
                <w:szCs w:val="16"/>
                <w:color w:val="auto"/>
              </w:rPr>
              <w:t>the period</w:t>
            </w:r>
          </w:p>
        </w:tc>
        <w:tc>
          <w:tcPr>
            <w:tcW w:w="26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b w:val="1"/>
          <w:bCs w:val="1"/>
          <w:color w:val="auto"/>
        </w:rPr>
        <w:t xml:space="preserve">Investments in Affiliates. </w:t>
      </w:r>
      <w:r>
        <w:rPr>
          <w:rFonts w:ascii="Arial" w:cs="Arial" w:eastAsia="Arial" w:hAnsi="Arial"/>
          <w:sz w:val="18"/>
          <w:szCs w:val="18"/>
          <w:color w:val="auto"/>
        </w:rPr>
        <w:t>As of June 30, 2019, the Company held an approximate 11% interest in Intersection Holdings, LLC, and in several</w:t>
      </w:r>
      <w:r>
        <w:rPr>
          <w:rFonts w:ascii="Arial" w:cs="Arial" w:eastAsia="Arial" w:hAnsi="Arial"/>
          <w:sz w:val="18"/>
          <w:szCs w:val="18"/>
          <w:b w:val="1"/>
          <w:bCs w:val="1"/>
          <w:color w:val="auto"/>
        </w:rPr>
        <w:t xml:space="preserve"> </w:t>
      </w:r>
      <w:r>
        <w:rPr>
          <w:rFonts w:ascii="Arial" w:cs="Arial" w:eastAsia="Arial" w:hAnsi="Arial"/>
          <w:sz w:val="18"/>
          <w:szCs w:val="18"/>
          <w:color w:val="auto"/>
        </w:rPr>
        <w:t>other affiliates; GHG held a 40% interest in Residential Home Health Illinois, a 42.5% interest in Residential Hospice Illinois, a 40% interest in the joint venture formed between GHG and a Michigan hospital, and a 40% interest in the joint venture formed between GHG and Allegheny Health Network (AHN). For the three and six months ended June 30, 2019, the Company recorded $2.3 million and $4.6 million, respectively in revenue for services provided to the affiliates of GHG. For the three and six months ended June 30, 2018, the Company recorded $3.3 million and $7.0 million, respectively, in revenue for services provided to the affiliates of GHG.</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19" w:right="239" w:bottom="1440" w:gutter="0" w:footer="0" w:header="0"/>
        </w:sectPr>
      </w:pPr>
    </w:p>
    <w:bookmarkStart w:id="12" w:name="page13"/>
    <w:bookmarkEnd w:id="12"/>
    <w:p>
      <w:pPr>
        <w:ind w:right="240"/>
        <w:spacing w:after="0" w:line="227" w:lineRule="auto"/>
        <w:rPr>
          <w:sz w:val="20"/>
          <w:szCs w:val="20"/>
          <w:color w:val="auto"/>
        </w:rPr>
      </w:pPr>
      <w:r>
        <w:rPr>
          <w:rFonts w:ascii="Arial" w:cs="Arial" w:eastAsia="Arial" w:hAnsi="Arial"/>
          <w:sz w:val="18"/>
          <w:szCs w:val="18"/>
          <w:color w:val="auto"/>
        </w:rPr>
        <w:t>In the second quarter of 2019, the Company made an investment in Framebridge, a custom framing service company based in Washington, DC. The Company accounts for this investment under the equity method, and included it in Investments in Affiliates on the Condensed Consolidated Balance Sheet. Timothy J. O’Shaughnessy, President and Chief Executive Officer of Graham Holdings Company, is a personal investor in Framebridge and serves as Chairman of the Board.</w:t>
      </w:r>
    </w:p>
    <w:p>
      <w:pPr>
        <w:spacing w:after="0" w:line="135"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In February 2019, the Company sold its interest in Gimlet Media. In connection with this sale, the Company recorded a gain of $29.0 million in the first quarter of 2019. The total proceeds from the sale were $33.5 million.</w:t>
      </w:r>
    </w:p>
    <w:p>
      <w:pPr>
        <w:spacing w:after="0" w:line="135"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Additionally, Kaplan International Holdings Limited (KIHL) held a 45% interest in a joint venture formed with York University. KIHL agreed to loan the joint venture £25 million, of which £16 million was advanced as of December 31, 2017. In the second quarter of 2018, KIHL advanced a final amount of £6 million in additional funding to the joint venture under this agreement, bringing the total amount advanced to £22 million. The loan is repayable over 25 years at an interest rate of 7% and the loan is guaranteed by the University of York.</w:t>
      </w:r>
    </w:p>
    <w:p>
      <w:pPr>
        <w:spacing w:after="0" w:line="113" w:lineRule="exact"/>
        <w:rPr>
          <w:sz w:val="20"/>
          <w:szCs w:val="20"/>
          <w:color w:val="auto"/>
        </w:rPr>
      </w:pPr>
    </w:p>
    <w:p>
      <w:pPr>
        <w:spacing w:after="0" w:line="233" w:lineRule="auto"/>
        <w:rPr>
          <w:sz w:val="20"/>
          <w:szCs w:val="20"/>
          <w:color w:val="auto"/>
        </w:rPr>
      </w:pPr>
      <w:r>
        <w:rPr>
          <w:rFonts w:ascii="Arial" w:cs="Arial" w:eastAsia="Arial" w:hAnsi="Arial"/>
          <w:sz w:val="18"/>
          <w:szCs w:val="18"/>
          <w:b w:val="1"/>
          <w:bCs w:val="1"/>
          <w:color w:val="auto"/>
        </w:rPr>
        <w:t xml:space="preserve">Cost Method Investments. </w:t>
      </w:r>
      <w:r>
        <w:rPr>
          <w:rFonts w:ascii="Arial" w:cs="Arial" w:eastAsia="Arial" w:hAnsi="Arial"/>
          <w:sz w:val="18"/>
          <w:szCs w:val="18"/>
          <w:color w:val="auto"/>
        </w:rPr>
        <w:t>The Company held investments without readily determinable fair values in a number of equity securities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accounted for as cost method investments, which are recorded at cost, less impairment, and adjusted for observable price changes for identical or similar investments of the same issuer. The carrying value of these investments was $34.5 million and $30.6 million as of June 30, 2019 and December 31, 2018,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r>
      <w:tr>
        <w:trPr>
          <w:trHeight w:val="337"/>
        </w:trPr>
        <w:tc>
          <w:tcPr>
            <w:tcW w:w="8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363"/>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24"/>
                <w:szCs w:val="24"/>
                <w:color w:val="auto"/>
              </w:rPr>
            </w:pPr>
          </w:p>
        </w:tc>
        <w:tc>
          <w:tcPr>
            <w:tcW w:w="1200" w:type="dxa"/>
            <w:vAlign w:val="bottom"/>
          </w:tcPr>
          <w:p>
            <w:pPr>
              <w:jc w:val="right"/>
              <w:ind w:right="163"/>
              <w:spacing w:after="0"/>
              <w:rPr>
                <w:sz w:val="20"/>
                <w:szCs w:val="20"/>
                <w:color w:val="auto"/>
              </w:rPr>
            </w:pPr>
            <w:r>
              <w:rPr>
                <w:rFonts w:ascii="Arial" w:cs="Arial" w:eastAsia="Arial" w:hAnsi="Arial"/>
                <w:sz w:val="14"/>
                <w:szCs w:val="14"/>
                <w:color w:val="auto"/>
              </w:rPr>
              <w:t>December 31,</w:t>
            </w:r>
          </w:p>
        </w:tc>
      </w:tr>
      <w:tr>
        <w:trPr>
          <w:trHeight w:val="196"/>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color w:val="auto"/>
              </w:rPr>
              <w:t>2018</w:t>
            </w:r>
          </w:p>
        </w:tc>
      </w:tr>
      <w:tr>
        <w:trPr>
          <w:trHeight w:val="250"/>
        </w:trPr>
        <w:tc>
          <w:tcPr>
            <w:tcW w:w="8580" w:type="dxa"/>
            <w:vAlign w:val="bottom"/>
          </w:tcPr>
          <w:p>
            <w:pPr>
              <w:ind w:left="40"/>
              <w:spacing w:after="0"/>
              <w:rPr>
                <w:sz w:val="20"/>
                <w:szCs w:val="20"/>
                <w:color w:val="auto"/>
              </w:rPr>
            </w:pPr>
            <w:r>
              <w:rPr>
                <w:rFonts w:ascii="Arial" w:cs="Arial" w:eastAsia="Arial" w:hAnsi="Arial"/>
                <w:sz w:val="16"/>
                <w:szCs w:val="16"/>
                <w:color w:val="auto"/>
              </w:rPr>
              <w:t>Receivables from contracts with customers, less doubtful accounts of $13,212 and $14,775</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ind w:right="43"/>
              <w:spacing w:after="0"/>
              <w:rPr>
                <w:sz w:val="20"/>
                <w:szCs w:val="20"/>
                <w:color w:val="auto"/>
              </w:rPr>
            </w:pPr>
            <w:r>
              <w:rPr>
                <w:rFonts w:ascii="Arial" w:cs="Arial" w:eastAsia="Arial" w:hAnsi="Arial"/>
                <w:sz w:val="16"/>
                <w:szCs w:val="16"/>
                <w:b w:val="1"/>
                <w:bCs w:val="1"/>
                <w:color w:val="auto"/>
              </w:rPr>
              <w:t>506,734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538,021</w:t>
            </w: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color w:val="auto"/>
              </w:rPr>
              <w:t>Other receivables</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28,374</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44,259</w:t>
            </w:r>
          </w:p>
        </w:tc>
      </w:tr>
      <w:tr>
        <w:trPr>
          <w:trHeight w:val="264"/>
        </w:trPr>
        <w:tc>
          <w:tcPr>
            <w:tcW w:w="8580" w:type="dxa"/>
            <w:vAlign w:val="bottom"/>
          </w:tcPr>
          <w:p>
            <w:pPr>
              <w:spacing w:after="0"/>
              <w:rPr>
                <w:sz w:val="22"/>
                <w:szCs w:val="22"/>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535,108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582,280</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400"/>
        <w:spacing w:after="0" w:line="235" w:lineRule="auto"/>
        <w:rPr>
          <w:sz w:val="20"/>
          <w:szCs w:val="20"/>
          <w:color w:val="auto"/>
        </w:rPr>
      </w:pPr>
      <w:r>
        <w:rPr>
          <w:rFonts w:ascii="Arial" w:cs="Arial" w:eastAsia="Arial" w:hAnsi="Arial"/>
          <w:sz w:val="18"/>
          <w:szCs w:val="18"/>
          <w:color w:val="auto"/>
        </w:rPr>
        <w:t>Bad debt recovery was $0.1 million for the three months ended June 30, 2019 and bad debt expense was $0.3 million for the three months ended June 30, 2018. Bad debt expense was $0.1 million and $6.1 million for the six months ended June 30, 2019 and 2018, respectively.</w:t>
      </w:r>
    </w:p>
    <w:p>
      <w:pPr>
        <w:spacing w:after="0" w:line="113"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 CONTRACTS IN PROGRESS AND VEHICLE FLOOR PLAN PAYABLE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Inventories and contracts in progress consist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r>
      <w:tr>
        <w:trPr>
          <w:trHeight w:val="337"/>
        </w:trPr>
        <w:tc>
          <w:tcPr>
            <w:tcW w:w="8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362"/>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24"/>
                <w:szCs w:val="24"/>
                <w:color w:val="auto"/>
              </w:rPr>
            </w:pPr>
          </w:p>
        </w:tc>
        <w:tc>
          <w:tcPr>
            <w:tcW w:w="1200" w:type="dxa"/>
            <w:vAlign w:val="bottom"/>
          </w:tcPr>
          <w:p>
            <w:pPr>
              <w:jc w:val="right"/>
              <w:ind w:right="162"/>
              <w:spacing w:after="0"/>
              <w:rPr>
                <w:sz w:val="20"/>
                <w:szCs w:val="20"/>
                <w:color w:val="auto"/>
              </w:rPr>
            </w:pPr>
            <w:r>
              <w:rPr>
                <w:rFonts w:ascii="Arial" w:cs="Arial" w:eastAsia="Arial" w:hAnsi="Arial"/>
                <w:sz w:val="14"/>
                <w:szCs w:val="14"/>
                <w:color w:val="auto"/>
              </w:rPr>
              <w:t>December 31,</w:t>
            </w:r>
          </w:p>
        </w:tc>
      </w:tr>
      <w:tr>
        <w:trPr>
          <w:trHeight w:val="196"/>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2018</w:t>
            </w:r>
          </w:p>
        </w:tc>
      </w:tr>
      <w:tr>
        <w:trPr>
          <w:trHeight w:val="250"/>
        </w:trPr>
        <w:tc>
          <w:tcPr>
            <w:tcW w:w="8580" w:type="dxa"/>
            <w:vAlign w:val="bottom"/>
          </w:tcPr>
          <w:p>
            <w:pPr>
              <w:ind w:left="40"/>
              <w:spacing w:after="0"/>
              <w:rPr>
                <w:sz w:val="20"/>
                <w:szCs w:val="20"/>
                <w:color w:val="auto"/>
              </w:rPr>
            </w:pPr>
            <w:r>
              <w:rPr>
                <w:rFonts w:ascii="Arial" w:cs="Arial" w:eastAsia="Arial" w:hAnsi="Arial"/>
                <w:sz w:val="16"/>
                <w:szCs w:val="16"/>
                <w:color w:val="auto"/>
              </w:rPr>
              <w:t>Raw materials</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ind w:right="42"/>
              <w:spacing w:after="0"/>
              <w:rPr>
                <w:sz w:val="20"/>
                <w:szCs w:val="20"/>
                <w:color w:val="auto"/>
              </w:rPr>
            </w:pPr>
            <w:r>
              <w:rPr>
                <w:rFonts w:ascii="Arial" w:cs="Arial" w:eastAsia="Arial" w:hAnsi="Arial"/>
                <w:sz w:val="16"/>
                <w:szCs w:val="16"/>
                <w:b w:val="1"/>
                <w:bCs w:val="1"/>
                <w:color w:val="auto"/>
              </w:rPr>
              <w:t>35,937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37,248</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Work-in-process</w:t>
            </w:r>
          </w:p>
        </w:tc>
        <w:tc>
          <w:tcPr>
            <w:tcW w:w="240" w:type="dxa"/>
            <w:vAlign w:val="bottom"/>
          </w:tcPr>
          <w:p>
            <w:pPr>
              <w:spacing w:after="0"/>
              <w:rPr>
                <w:sz w:val="23"/>
                <w:szCs w:val="23"/>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b w:val="1"/>
                <w:bCs w:val="1"/>
                <w:color w:val="auto"/>
              </w:rPr>
              <w:t>10,979</w:t>
            </w:r>
          </w:p>
        </w:tc>
        <w:tc>
          <w:tcPr>
            <w:tcW w:w="260" w:type="dxa"/>
            <w:vAlign w:val="bottom"/>
          </w:tcPr>
          <w:p>
            <w:pPr>
              <w:spacing w:after="0"/>
              <w:rPr>
                <w:sz w:val="23"/>
                <w:szCs w:val="23"/>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11,633</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Finished goods</w:t>
            </w:r>
          </w:p>
        </w:tc>
        <w:tc>
          <w:tcPr>
            <w:tcW w:w="240" w:type="dxa"/>
            <w:vAlign w:val="bottom"/>
          </w:tcPr>
          <w:p>
            <w:pPr>
              <w:spacing w:after="0"/>
              <w:rPr>
                <w:sz w:val="23"/>
                <w:szCs w:val="23"/>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b w:val="1"/>
                <w:bCs w:val="1"/>
                <w:color w:val="auto"/>
              </w:rPr>
              <w:t>71,065</w:t>
            </w:r>
          </w:p>
        </w:tc>
        <w:tc>
          <w:tcPr>
            <w:tcW w:w="260" w:type="dxa"/>
            <w:vAlign w:val="bottom"/>
          </w:tcPr>
          <w:p>
            <w:pPr>
              <w:spacing w:after="0"/>
              <w:rPr>
                <w:sz w:val="23"/>
                <w:szCs w:val="23"/>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17,861</w:t>
            </w: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color w:val="auto"/>
              </w:rPr>
              <w:t>Contracts in progress</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2,434</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2,735</w:t>
            </w:r>
          </w:p>
        </w:tc>
      </w:tr>
      <w:tr>
        <w:trPr>
          <w:trHeight w:val="264"/>
        </w:trPr>
        <w:tc>
          <w:tcPr>
            <w:tcW w:w="8580" w:type="dxa"/>
            <w:vAlign w:val="bottom"/>
          </w:tcPr>
          <w:p>
            <w:pPr>
              <w:spacing w:after="0"/>
              <w:rPr>
                <w:sz w:val="22"/>
                <w:szCs w:val="22"/>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120,415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69,477</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The Company finances all new vehicle inventory through a standardized floor plan facility (the “floor plan facility”) with SunTrust Bank. The new vehicle floor plan facility bears interest at variable rates that are based on LIBOR plus 1.15% per annum. The weighted average interest rate for the floor plan facility was 3.4% and 3.5%, respectively, for the three and six months ended June 30, 2019. As of June 30, 2019, the aggregate capacity under the floor plan facility was $60 million, of which $50.4 million had been utilized, and is included in accounts payable and accrued liabilities in the Condensed Consolidated Balance Sheet. Changes in the vehicle floor plan payable are reported as cash flows from financing activities in the Condensed Consolidated Statements of Cash Flows.</w:t>
      </w:r>
    </w:p>
    <w:p>
      <w:pPr>
        <w:spacing w:after="0" w:line="137" w:lineRule="exact"/>
        <w:rPr>
          <w:sz w:val="20"/>
          <w:szCs w:val="20"/>
          <w:color w:val="auto"/>
        </w:rPr>
      </w:pPr>
    </w:p>
    <w:p>
      <w:pPr>
        <w:ind w:right="380"/>
        <w:spacing w:after="0" w:line="227" w:lineRule="auto"/>
        <w:rPr>
          <w:sz w:val="20"/>
          <w:szCs w:val="20"/>
          <w:color w:val="auto"/>
        </w:rPr>
      </w:pPr>
      <w:r>
        <w:rPr>
          <w:rFonts w:ascii="Arial" w:cs="Arial" w:eastAsia="Arial" w:hAnsi="Arial"/>
          <w:sz w:val="18"/>
          <w:szCs w:val="18"/>
          <w:color w:val="auto"/>
        </w:rPr>
        <w:t>The floor plan facility is collateralized by vehicle inventory and other assets of the relevant dealership subsidiary, and contains a number of covenants, including, among others, covenants restricting the dealership subsidiary with respect to the creation of liens and changes in ownership, officers and key management personnel. The Company was in compliance with all of these restrictive covenants as of June 30, 2019.</w:t>
      </w:r>
    </w:p>
    <w:p>
      <w:pPr>
        <w:spacing w:after="0" w:line="135"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The floor plan interest expense related to the new vehicle floor plan arrangements is offset by amounts received from manufacturers in the form of floor plan assistance capitalized in inventory and recorded against operating expense in the Condensed Consolidated Statements of Operations when the associated inventory is sold. For the</w:t>
      </w:r>
    </w:p>
    <w:p>
      <w:pPr>
        <w:sectPr>
          <w:pgSz w:w="11900" w:h="16838" w:orient="portrait"/>
          <w:cols w:equalWidth="0" w:num="1">
            <w:col w:w="11420"/>
          </w:cols>
          <w:pgMar w:left="240" w:top="719" w:right="23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719" w:right="239" w:bottom="1440" w:gutter="0" w:footer="0" w:header="0"/>
          <w:type w:val="continuous"/>
        </w:sectPr>
      </w:pPr>
    </w:p>
    <w:bookmarkStart w:id="13" w:name="page14"/>
    <w:bookmarkEnd w:id="13"/>
    <w:p>
      <w:pPr>
        <w:ind w:right="720"/>
        <w:spacing w:after="0" w:line="235" w:lineRule="auto"/>
        <w:rPr>
          <w:sz w:val="20"/>
          <w:szCs w:val="20"/>
          <w:color w:val="auto"/>
        </w:rPr>
      </w:pPr>
      <w:r>
        <w:rPr>
          <w:rFonts w:ascii="Arial" w:cs="Arial" w:eastAsia="Arial" w:hAnsi="Arial"/>
          <w:sz w:val="18"/>
          <w:szCs w:val="18"/>
          <w:color w:val="auto"/>
        </w:rPr>
        <w:t>three and six months ended June 30, 2019, the Company recognized a reduction in operating expense of $0.8 million and $1.2 million, respectively, related to manufacturer floor plan assistance.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16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Company has operating leases for substantially all of its educational facilities, corporate offices and other facilities used in conducting its business, as well as certain equipment. The Company determines if an arrangement is a lease at inception.</w:t>
      </w:r>
    </w:p>
    <w:p>
      <w:pPr>
        <w:spacing w:after="0" w:line="135"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Operating leases are included in lease right-of-use (“ROU”) assets, current portion of lease liabilities, and lease liabilities on the Company’s Condensed Consolidated Balance Sheets. ROU assets represent the Company’s right to use an underlying asset for the lease term and lease liabilities represent the Company’s obligation to make lease payments arising from the lease. Operating lease ROU assets and liabilities are recognized at the lease commencement date based on the present value of lease payments over the lease term. ROU assets also include any initial direct costs, prepaid lease payments and lease incentives received, when applicable. As most of the Company’s leases do not provide an implicit rate, the Company used its incremental borrowing rate based on the information available at the lease commencement date in determining the present value of lease payments. The Company used the incremental borrowing rate on December 31, 2018 for operating leases that commenced prior to that date.</w:t>
      </w:r>
    </w:p>
    <w:p>
      <w:pPr>
        <w:spacing w:after="0" w:line="136"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The Company’s lease terms may include options to extend or terminate the lease by one to 10 years or more when it is reasonably certain that the option will be exercised. Leases with a term of twelve months or less are not recorded on the balance sheet; however, lease expense for these leases is recognized on a straight-line basis. The Company has elected the practical expedient to not separate lease components from nonlease components. As such, lease expense includes these nonlease components, when applicable. Fixed lease expense is recognized on a straight-line basis over the lease term. Variable lease expense is recognized when incurred. The Company’s lease agreements do not contain any significant residual value guarantees or restrictive covenants. In some instances, the Company subleases its leased real estate facilities to third parties. The Company does not have significant financing leases.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40" w:type="dxa"/>
            <w:vAlign w:val="bottom"/>
          </w:tcPr>
          <w:p>
            <w:pPr>
              <w:spacing w:after="0"/>
              <w:rPr>
                <w:sz w:val="14"/>
                <w:szCs w:val="14"/>
                <w:color w:val="auto"/>
              </w:rPr>
            </w:pPr>
          </w:p>
        </w:tc>
        <w:tc>
          <w:tcPr>
            <w:tcW w:w="19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Three Months Ended June</w:t>
            </w:r>
          </w:p>
        </w:tc>
        <w:tc>
          <w:tcPr>
            <w:tcW w:w="2000" w:type="dxa"/>
            <w:vAlign w:val="bottom"/>
            <w:gridSpan w:val="2"/>
          </w:tcPr>
          <w:p>
            <w:pPr>
              <w:ind w:left="10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30, 2019</w:t>
            </w:r>
          </w:p>
        </w:tc>
        <w:tc>
          <w:tcPr>
            <w:tcW w:w="5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20"/>
              <w:spacing w:after="0"/>
              <w:rPr>
                <w:sz w:val="20"/>
                <w:szCs w:val="20"/>
                <w:color w:val="auto"/>
              </w:rPr>
            </w:pPr>
            <w:r>
              <w:rPr>
                <w:rFonts w:ascii="Arial" w:cs="Arial" w:eastAsia="Arial" w:hAnsi="Arial"/>
                <w:sz w:val="14"/>
                <w:szCs w:val="14"/>
                <w:b w:val="1"/>
                <w:bCs w:val="1"/>
                <w:color w:val="auto"/>
              </w:rPr>
              <w:t>2019</w:t>
            </w:r>
          </w:p>
        </w:tc>
      </w:tr>
      <w:tr>
        <w:trPr>
          <w:trHeight w:val="250"/>
        </w:trPr>
        <w:tc>
          <w:tcPr>
            <w:tcW w:w="7440" w:type="dxa"/>
            <w:vAlign w:val="bottom"/>
          </w:tcPr>
          <w:p>
            <w:pPr>
              <w:ind w:left="40"/>
              <w:spacing w:after="0"/>
              <w:rPr>
                <w:sz w:val="20"/>
                <w:szCs w:val="20"/>
                <w:color w:val="auto"/>
              </w:rPr>
            </w:pPr>
            <w:r>
              <w:rPr>
                <w:rFonts w:ascii="Arial" w:cs="Arial" w:eastAsia="Arial" w:hAnsi="Arial"/>
                <w:sz w:val="16"/>
                <w:szCs w:val="16"/>
                <w:color w:val="auto"/>
              </w:rPr>
              <w:t>Operating lease cost</w:t>
            </w:r>
          </w:p>
        </w:tc>
        <w:tc>
          <w:tcPr>
            <w:tcW w:w="400" w:type="dxa"/>
            <w:vAlign w:val="bottom"/>
          </w:tcPr>
          <w:p>
            <w:pPr>
              <w:jc w:val="right"/>
              <w:ind w:right="202"/>
              <w:spacing w:after="0"/>
              <w:rPr>
                <w:sz w:val="20"/>
                <w:szCs w:val="20"/>
                <w:color w:val="auto"/>
              </w:rPr>
            </w:pPr>
            <w:r>
              <w:rPr>
                <w:rFonts w:ascii="Arial" w:cs="Arial" w:eastAsia="Arial" w:hAnsi="Arial"/>
                <w:sz w:val="16"/>
                <w:szCs w:val="16"/>
                <w:b w:val="1"/>
                <w:bCs w:val="1"/>
                <w:color w:val="auto"/>
              </w:rPr>
              <w:t>$</w:t>
            </w:r>
          </w:p>
        </w:tc>
        <w:tc>
          <w:tcPr>
            <w:tcW w:w="1580" w:type="dxa"/>
            <w:vAlign w:val="bottom"/>
          </w:tcPr>
          <w:p>
            <w:pPr>
              <w:jc w:val="right"/>
              <w:ind w:right="60"/>
              <w:spacing w:after="0"/>
              <w:rPr>
                <w:sz w:val="20"/>
                <w:szCs w:val="20"/>
                <w:color w:val="auto"/>
              </w:rPr>
            </w:pPr>
            <w:r>
              <w:rPr>
                <w:rFonts w:ascii="Arial" w:cs="Arial" w:eastAsia="Arial" w:hAnsi="Arial"/>
                <w:sz w:val="16"/>
                <w:szCs w:val="16"/>
                <w:b w:val="1"/>
                <w:bCs w:val="1"/>
                <w:color w:val="auto"/>
              </w:rPr>
              <w:t>24,279</w:t>
            </w:r>
          </w:p>
        </w:tc>
        <w:tc>
          <w:tcPr>
            <w:tcW w:w="54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1460" w:type="dxa"/>
            <w:vAlign w:val="bottom"/>
          </w:tcPr>
          <w:p>
            <w:pPr>
              <w:jc w:val="right"/>
              <w:ind w:right="20"/>
              <w:spacing w:after="0"/>
              <w:rPr>
                <w:sz w:val="20"/>
                <w:szCs w:val="20"/>
                <w:color w:val="auto"/>
              </w:rPr>
            </w:pPr>
            <w:r>
              <w:rPr>
                <w:rFonts w:ascii="Arial" w:cs="Arial" w:eastAsia="Arial" w:hAnsi="Arial"/>
                <w:sz w:val="16"/>
                <w:szCs w:val="16"/>
                <w:b w:val="1"/>
                <w:bCs w:val="1"/>
                <w:color w:val="auto"/>
              </w:rPr>
              <w:t>49,289</w:t>
            </w:r>
          </w:p>
        </w:tc>
      </w:tr>
      <w:tr>
        <w:trPr>
          <w:trHeight w:val="270"/>
        </w:trPr>
        <w:tc>
          <w:tcPr>
            <w:tcW w:w="7440" w:type="dxa"/>
            <w:vAlign w:val="bottom"/>
          </w:tcPr>
          <w:p>
            <w:pPr>
              <w:ind w:left="40"/>
              <w:spacing w:after="0"/>
              <w:rPr>
                <w:sz w:val="20"/>
                <w:szCs w:val="20"/>
                <w:color w:val="auto"/>
              </w:rPr>
            </w:pPr>
            <w:r>
              <w:rPr>
                <w:rFonts w:ascii="Arial" w:cs="Arial" w:eastAsia="Arial" w:hAnsi="Arial"/>
                <w:sz w:val="16"/>
                <w:szCs w:val="16"/>
                <w:color w:val="auto"/>
              </w:rPr>
              <w:t>Short-term and month-to-month lease cost</w:t>
            </w:r>
          </w:p>
        </w:tc>
        <w:tc>
          <w:tcPr>
            <w:tcW w:w="400" w:type="dxa"/>
            <w:vAlign w:val="bottom"/>
          </w:tcPr>
          <w:p>
            <w:pPr>
              <w:spacing w:after="0"/>
              <w:rPr>
                <w:sz w:val="23"/>
                <w:szCs w:val="23"/>
                <w:color w:val="auto"/>
              </w:rPr>
            </w:pPr>
          </w:p>
        </w:tc>
        <w:tc>
          <w:tcPr>
            <w:tcW w:w="1580" w:type="dxa"/>
            <w:vAlign w:val="bottom"/>
          </w:tcPr>
          <w:p>
            <w:pPr>
              <w:jc w:val="right"/>
              <w:ind w:right="60"/>
              <w:spacing w:after="0"/>
              <w:rPr>
                <w:sz w:val="20"/>
                <w:szCs w:val="20"/>
                <w:color w:val="auto"/>
              </w:rPr>
            </w:pPr>
            <w:r>
              <w:rPr>
                <w:rFonts w:ascii="Arial" w:cs="Arial" w:eastAsia="Arial" w:hAnsi="Arial"/>
                <w:sz w:val="16"/>
                <w:szCs w:val="16"/>
                <w:b w:val="1"/>
                <w:bCs w:val="1"/>
                <w:color w:val="auto"/>
              </w:rPr>
              <w:t>4,960</w:t>
            </w:r>
          </w:p>
        </w:tc>
        <w:tc>
          <w:tcPr>
            <w:tcW w:w="540" w:type="dxa"/>
            <w:vAlign w:val="bottom"/>
          </w:tcPr>
          <w:p>
            <w:pPr>
              <w:spacing w:after="0"/>
              <w:rPr>
                <w:sz w:val="23"/>
                <w:szCs w:val="23"/>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b w:val="1"/>
                <w:bCs w:val="1"/>
                <w:color w:val="auto"/>
              </w:rPr>
              <w:t>9,773</w:t>
            </w:r>
          </w:p>
        </w:tc>
      </w:tr>
      <w:tr>
        <w:trPr>
          <w:trHeight w:val="270"/>
        </w:trPr>
        <w:tc>
          <w:tcPr>
            <w:tcW w:w="7440" w:type="dxa"/>
            <w:vAlign w:val="bottom"/>
          </w:tcPr>
          <w:p>
            <w:pPr>
              <w:ind w:left="40"/>
              <w:spacing w:after="0"/>
              <w:rPr>
                <w:sz w:val="20"/>
                <w:szCs w:val="20"/>
                <w:color w:val="auto"/>
              </w:rPr>
            </w:pPr>
            <w:r>
              <w:rPr>
                <w:rFonts w:ascii="Arial" w:cs="Arial" w:eastAsia="Arial" w:hAnsi="Arial"/>
                <w:sz w:val="16"/>
                <w:szCs w:val="16"/>
                <w:color w:val="auto"/>
              </w:rPr>
              <w:t>Variable lease cost</w:t>
            </w:r>
          </w:p>
        </w:tc>
        <w:tc>
          <w:tcPr>
            <w:tcW w:w="400" w:type="dxa"/>
            <w:vAlign w:val="bottom"/>
          </w:tcPr>
          <w:p>
            <w:pPr>
              <w:spacing w:after="0"/>
              <w:rPr>
                <w:sz w:val="23"/>
                <w:szCs w:val="23"/>
                <w:color w:val="auto"/>
              </w:rPr>
            </w:pPr>
          </w:p>
        </w:tc>
        <w:tc>
          <w:tcPr>
            <w:tcW w:w="1580" w:type="dxa"/>
            <w:vAlign w:val="bottom"/>
          </w:tcPr>
          <w:p>
            <w:pPr>
              <w:jc w:val="right"/>
              <w:ind w:right="60"/>
              <w:spacing w:after="0"/>
              <w:rPr>
                <w:sz w:val="20"/>
                <w:szCs w:val="20"/>
                <w:color w:val="auto"/>
              </w:rPr>
            </w:pPr>
            <w:r>
              <w:rPr>
                <w:rFonts w:ascii="Arial" w:cs="Arial" w:eastAsia="Arial" w:hAnsi="Arial"/>
                <w:sz w:val="16"/>
                <w:szCs w:val="16"/>
                <w:b w:val="1"/>
                <w:bCs w:val="1"/>
                <w:color w:val="auto"/>
              </w:rPr>
              <w:t>5,606</w:t>
            </w:r>
          </w:p>
        </w:tc>
        <w:tc>
          <w:tcPr>
            <w:tcW w:w="540" w:type="dxa"/>
            <w:vAlign w:val="bottom"/>
          </w:tcPr>
          <w:p>
            <w:pPr>
              <w:spacing w:after="0"/>
              <w:rPr>
                <w:sz w:val="23"/>
                <w:szCs w:val="23"/>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b w:val="1"/>
                <w:bCs w:val="1"/>
                <w:color w:val="auto"/>
              </w:rPr>
              <w:t>9,962</w:t>
            </w:r>
          </w:p>
        </w:tc>
      </w:tr>
      <w:tr>
        <w:trPr>
          <w:trHeight w:val="283"/>
        </w:trPr>
        <w:tc>
          <w:tcPr>
            <w:tcW w:w="7440" w:type="dxa"/>
            <w:vAlign w:val="bottom"/>
          </w:tcPr>
          <w:p>
            <w:pPr>
              <w:ind w:left="40"/>
              <w:spacing w:after="0"/>
              <w:rPr>
                <w:sz w:val="20"/>
                <w:szCs w:val="20"/>
                <w:color w:val="auto"/>
              </w:rPr>
            </w:pPr>
            <w:r>
              <w:rPr>
                <w:rFonts w:ascii="Arial" w:cs="Arial" w:eastAsia="Arial" w:hAnsi="Arial"/>
                <w:sz w:val="16"/>
                <w:szCs w:val="16"/>
                <w:color w:val="auto"/>
              </w:rPr>
              <w:t>Sublease income</w:t>
            </w:r>
          </w:p>
        </w:tc>
        <w:tc>
          <w:tcPr>
            <w:tcW w:w="4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(5,041)</w:t>
            </w:r>
          </w:p>
        </w:tc>
        <w:tc>
          <w:tcPr>
            <w:tcW w:w="5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(9,693)</w:t>
            </w:r>
          </w:p>
        </w:tc>
      </w:tr>
      <w:tr>
        <w:trPr>
          <w:trHeight w:val="26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Total net lease cost</w:t>
            </w:r>
          </w:p>
        </w:tc>
        <w:tc>
          <w:tcPr>
            <w:tcW w:w="4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w:t>
            </w:r>
          </w:p>
        </w:tc>
        <w:tc>
          <w:tcPr>
            <w:tcW w:w="15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29,804</w:t>
            </w:r>
          </w:p>
        </w:tc>
        <w:tc>
          <w:tcPr>
            <w:tcW w:w="54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59,331</w:t>
            </w:r>
          </w:p>
        </w:tc>
      </w:tr>
      <w:tr>
        <w:trPr>
          <w:trHeight w:val="20"/>
        </w:trPr>
        <w:tc>
          <w:tcPr>
            <w:tcW w:w="74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In connection with the sale of the KHE Campuses business, the Company is the guarantor of several leases for which it has established ROU assets and lease liabilities (see Note 15). Any lease cost or sublease income related to these leases is recorded in other non-operating income. The total net lease cost related to these leases was $0.3 million and $0.6 million, respectively, for the three and six months ended June 30, 2019.</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Supplemental information related to leases was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6200" w:type="dxa"/>
            <w:vAlign w:val="bottom"/>
          </w:tcPr>
          <w:p>
            <w:pPr>
              <w:jc w:val="center"/>
              <w:ind w:left="4128"/>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2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620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2019</w:t>
            </w:r>
          </w:p>
        </w:tc>
      </w:tr>
    </w:tbl>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9380" w:type="dxa"/>
            <w:vAlign w:val="bottom"/>
          </w:tcPr>
          <w:p>
            <w:pPr>
              <w:spacing w:after="0"/>
              <w:rPr>
                <w:sz w:val="20"/>
                <w:szCs w:val="20"/>
                <w:color w:val="auto"/>
              </w:rPr>
            </w:pPr>
            <w:r>
              <w:rPr>
                <w:rFonts w:ascii="Arial" w:cs="Arial" w:eastAsia="Arial" w:hAnsi="Arial"/>
                <w:sz w:val="16"/>
                <w:szCs w:val="16"/>
                <w:b w:val="1"/>
                <w:bCs w:val="1"/>
                <w:color w:val="auto"/>
              </w:rPr>
              <w:t>Cash Flow Information:</w:t>
            </w: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43"/>
        </w:trPr>
        <w:tc>
          <w:tcPr>
            <w:tcW w:w="9380" w:type="dxa"/>
            <w:vAlign w:val="bottom"/>
          </w:tcPr>
          <w:p>
            <w:pPr>
              <w:ind w:left="240"/>
              <w:spacing w:after="0"/>
              <w:rPr>
                <w:sz w:val="20"/>
                <w:szCs w:val="20"/>
                <w:color w:val="auto"/>
              </w:rPr>
            </w:pPr>
            <w:r>
              <w:rPr>
                <w:rFonts w:ascii="Arial" w:cs="Arial" w:eastAsia="Arial" w:hAnsi="Arial"/>
                <w:sz w:val="16"/>
                <w:szCs w:val="16"/>
                <w:color w:val="auto"/>
              </w:rPr>
              <w:t>Operating cash flows from operating leases (payments)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700" w:type="dxa"/>
            <w:vAlign w:val="bottom"/>
          </w:tcPr>
          <w:p>
            <w:pPr>
              <w:jc w:val="right"/>
              <w:ind w:right="100"/>
              <w:spacing w:after="0"/>
              <w:rPr>
                <w:sz w:val="20"/>
                <w:szCs w:val="20"/>
                <w:color w:val="auto"/>
              </w:rPr>
            </w:pPr>
            <w:r>
              <w:rPr>
                <w:rFonts w:ascii="Arial" w:cs="Arial" w:eastAsia="Arial" w:hAnsi="Arial"/>
                <w:sz w:val="16"/>
                <w:szCs w:val="16"/>
                <w:b w:val="1"/>
                <w:bCs w:val="1"/>
                <w:color w:val="auto"/>
              </w:rPr>
              <w:t>56,845</w:t>
            </w:r>
          </w:p>
        </w:tc>
      </w:tr>
      <w:tr>
        <w:trPr>
          <w:trHeight w:val="243"/>
        </w:trPr>
        <w:tc>
          <w:tcPr>
            <w:tcW w:w="9380" w:type="dxa"/>
            <w:vAlign w:val="bottom"/>
          </w:tcPr>
          <w:p>
            <w:pPr>
              <w:ind w:left="240"/>
              <w:spacing w:after="0"/>
              <w:rPr>
                <w:sz w:val="20"/>
                <w:szCs w:val="20"/>
                <w:color w:val="auto"/>
              </w:rPr>
            </w:pPr>
            <w:r>
              <w:rPr>
                <w:rFonts w:ascii="Arial" w:cs="Arial" w:eastAsia="Arial" w:hAnsi="Arial"/>
                <w:sz w:val="16"/>
                <w:szCs w:val="16"/>
                <w:color w:val="auto"/>
              </w:rPr>
              <w:t>Right-of-use assets obtained in exchange for new operating lease liabilities (noncash)</w:t>
            </w:r>
          </w:p>
        </w:tc>
        <w:tc>
          <w:tcPr>
            <w:tcW w:w="300" w:type="dxa"/>
            <w:vAlign w:val="bottom"/>
          </w:tcPr>
          <w:p>
            <w:pPr>
              <w:spacing w:after="0"/>
              <w:rPr>
                <w:sz w:val="21"/>
                <w:szCs w:val="21"/>
                <w:color w:val="auto"/>
              </w:rPr>
            </w:pPr>
          </w:p>
        </w:tc>
        <w:tc>
          <w:tcPr>
            <w:tcW w:w="1700" w:type="dxa"/>
            <w:vAlign w:val="bottom"/>
          </w:tcPr>
          <w:p>
            <w:pPr>
              <w:jc w:val="right"/>
              <w:ind w:right="100"/>
              <w:spacing w:after="0"/>
              <w:rPr>
                <w:sz w:val="20"/>
                <w:szCs w:val="20"/>
                <w:color w:val="auto"/>
              </w:rPr>
            </w:pPr>
            <w:r>
              <w:rPr>
                <w:rFonts w:ascii="Arial" w:cs="Arial" w:eastAsia="Arial" w:hAnsi="Arial"/>
                <w:sz w:val="16"/>
                <w:szCs w:val="16"/>
                <w:b w:val="1"/>
                <w:bCs w:val="1"/>
                <w:color w:val="auto"/>
              </w:rPr>
              <w:t>33,263</w:t>
            </w:r>
          </w:p>
        </w:tc>
      </w:tr>
      <w:tr>
        <w:trPr>
          <w:trHeight w:val="526"/>
        </w:trPr>
        <w:tc>
          <w:tcPr>
            <w:tcW w:w="93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As of June 30, 2019</w:t>
            </w:r>
          </w:p>
        </w:tc>
      </w:tr>
      <w:tr>
        <w:trPr>
          <w:trHeight w:val="251"/>
        </w:trPr>
        <w:tc>
          <w:tcPr>
            <w:tcW w:w="9380" w:type="dxa"/>
            <w:vAlign w:val="bottom"/>
          </w:tcPr>
          <w:p>
            <w:pPr>
              <w:spacing w:after="0"/>
              <w:rPr>
                <w:sz w:val="20"/>
                <w:szCs w:val="20"/>
                <w:color w:val="auto"/>
              </w:rPr>
            </w:pPr>
            <w:r>
              <w:rPr>
                <w:rFonts w:ascii="Arial" w:cs="Arial" w:eastAsia="Arial" w:hAnsi="Arial"/>
                <w:sz w:val="16"/>
                <w:szCs w:val="16"/>
                <w:b w:val="1"/>
                <w:bCs w:val="1"/>
                <w:color w:val="auto"/>
              </w:rPr>
              <w:t>Balance Sheet Information:</w:t>
            </w:r>
          </w:p>
        </w:tc>
        <w:tc>
          <w:tcPr>
            <w:tcW w:w="3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43"/>
        </w:trPr>
        <w:tc>
          <w:tcPr>
            <w:tcW w:w="9380" w:type="dxa"/>
            <w:vAlign w:val="bottom"/>
          </w:tcPr>
          <w:p>
            <w:pPr>
              <w:ind w:left="240"/>
              <w:spacing w:after="0"/>
              <w:rPr>
                <w:sz w:val="20"/>
                <w:szCs w:val="20"/>
                <w:color w:val="auto"/>
              </w:rPr>
            </w:pPr>
            <w:r>
              <w:rPr>
                <w:rFonts w:ascii="Arial" w:cs="Arial" w:eastAsia="Arial" w:hAnsi="Arial"/>
                <w:sz w:val="16"/>
                <w:szCs w:val="16"/>
                <w:color w:val="auto"/>
              </w:rPr>
              <w:t>Lease right-of-use assets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700" w:type="dxa"/>
            <w:vAlign w:val="bottom"/>
          </w:tcPr>
          <w:p>
            <w:pPr>
              <w:jc w:val="right"/>
              <w:ind w:right="100"/>
              <w:spacing w:after="0"/>
              <w:rPr>
                <w:sz w:val="20"/>
                <w:szCs w:val="20"/>
                <w:color w:val="auto"/>
              </w:rPr>
            </w:pPr>
            <w:r>
              <w:rPr>
                <w:rFonts w:ascii="Arial" w:cs="Arial" w:eastAsia="Arial" w:hAnsi="Arial"/>
                <w:sz w:val="16"/>
                <w:szCs w:val="16"/>
                <w:b w:val="1"/>
                <w:bCs w:val="1"/>
                <w:color w:val="auto"/>
              </w:rPr>
              <w:t>361,603</w:t>
            </w:r>
          </w:p>
        </w:tc>
      </w:tr>
      <w:tr>
        <w:trPr>
          <w:trHeight w:val="486"/>
        </w:trPr>
        <w:tc>
          <w:tcPr>
            <w:tcW w:w="9380" w:type="dxa"/>
            <w:vAlign w:val="bottom"/>
          </w:tcPr>
          <w:p>
            <w:pPr>
              <w:ind w:left="240"/>
              <w:spacing w:after="0"/>
              <w:rPr>
                <w:sz w:val="20"/>
                <w:szCs w:val="20"/>
                <w:color w:val="auto"/>
              </w:rPr>
            </w:pPr>
            <w:r>
              <w:rPr>
                <w:rFonts w:ascii="Arial" w:cs="Arial" w:eastAsia="Arial" w:hAnsi="Arial"/>
                <w:sz w:val="16"/>
                <w:szCs w:val="16"/>
                <w:color w:val="auto"/>
              </w:rPr>
              <w:t>Current lease liabilities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700" w:type="dxa"/>
            <w:vAlign w:val="bottom"/>
          </w:tcPr>
          <w:p>
            <w:pPr>
              <w:jc w:val="right"/>
              <w:ind w:right="100"/>
              <w:spacing w:after="0"/>
              <w:rPr>
                <w:sz w:val="20"/>
                <w:szCs w:val="20"/>
                <w:color w:val="auto"/>
              </w:rPr>
            </w:pPr>
            <w:r>
              <w:rPr>
                <w:rFonts w:ascii="Arial" w:cs="Arial" w:eastAsia="Arial" w:hAnsi="Arial"/>
                <w:sz w:val="16"/>
                <w:szCs w:val="16"/>
                <w:b w:val="1"/>
                <w:bCs w:val="1"/>
                <w:color w:val="auto"/>
              </w:rPr>
              <w:t>80,628</w:t>
            </w:r>
          </w:p>
        </w:tc>
      </w:tr>
      <w:tr>
        <w:trPr>
          <w:trHeight w:val="256"/>
        </w:trPr>
        <w:tc>
          <w:tcPr>
            <w:tcW w:w="9380" w:type="dxa"/>
            <w:vAlign w:val="bottom"/>
          </w:tcPr>
          <w:p>
            <w:pPr>
              <w:ind w:left="240"/>
              <w:spacing w:after="0"/>
              <w:rPr>
                <w:sz w:val="20"/>
                <w:szCs w:val="20"/>
                <w:color w:val="auto"/>
              </w:rPr>
            </w:pPr>
            <w:r>
              <w:rPr>
                <w:rFonts w:ascii="Arial" w:cs="Arial" w:eastAsia="Arial" w:hAnsi="Arial"/>
                <w:sz w:val="16"/>
                <w:szCs w:val="16"/>
                <w:color w:val="auto"/>
              </w:rPr>
              <w:t>Noncurrent lease liabilities</w:t>
            </w:r>
          </w:p>
        </w:tc>
        <w:tc>
          <w:tcPr>
            <w:tcW w:w="3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323,466</w:t>
            </w:r>
          </w:p>
        </w:tc>
      </w:tr>
      <w:tr>
        <w:trPr>
          <w:trHeight w:val="224"/>
        </w:trPr>
        <w:tc>
          <w:tcPr>
            <w:tcW w:w="9380" w:type="dxa"/>
            <w:vAlign w:val="bottom"/>
          </w:tcPr>
          <w:p>
            <w:pPr>
              <w:ind w:left="460"/>
              <w:spacing w:after="0"/>
              <w:rPr>
                <w:sz w:val="20"/>
                <w:szCs w:val="20"/>
                <w:color w:val="auto"/>
              </w:rPr>
            </w:pPr>
            <w:r>
              <w:rPr>
                <w:rFonts w:ascii="Arial" w:cs="Arial" w:eastAsia="Arial" w:hAnsi="Arial"/>
                <w:sz w:val="16"/>
                <w:szCs w:val="16"/>
                <w:b w:val="1"/>
                <w:bCs w:val="1"/>
                <w:color w:val="auto"/>
              </w:rPr>
              <w:t>Total lease liabilities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700" w:type="dxa"/>
            <w:vAlign w:val="bottom"/>
          </w:tcPr>
          <w:p>
            <w:pPr>
              <w:jc w:val="right"/>
              <w:ind w:right="100"/>
              <w:spacing w:after="0"/>
              <w:rPr>
                <w:sz w:val="20"/>
                <w:szCs w:val="20"/>
                <w:color w:val="auto"/>
              </w:rPr>
            </w:pPr>
            <w:r>
              <w:rPr>
                <w:rFonts w:ascii="Arial" w:cs="Arial" w:eastAsia="Arial" w:hAnsi="Arial"/>
                <w:sz w:val="16"/>
                <w:szCs w:val="16"/>
                <w:b w:val="1"/>
                <w:bCs w:val="1"/>
                <w:color w:val="auto"/>
              </w:rPr>
              <w:t>404,094</w:t>
            </w:r>
          </w:p>
        </w:tc>
      </w:tr>
      <w:tr>
        <w:trPr>
          <w:trHeight w:val="486"/>
        </w:trPr>
        <w:tc>
          <w:tcPr>
            <w:tcW w:w="9380" w:type="dxa"/>
            <w:vAlign w:val="bottom"/>
          </w:tcPr>
          <w:p>
            <w:pPr>
              <w:spacing w:after="0"/>
              <w:rPr>
                <w:sz w:val="20"/>
                <w:szCs w:val="20"/>
                <w:color w:val="auto"/>
              </w:rPr>
            </w:pPr>
            <w:r>
              <w:rPr>
                <w:rFonts w:ascii="Arial" w:cs="Arial" w:eastAsia="Arial" w:hAnsi="Arial"/>
                <w:sz w:val="16"/>
                <w:szCs w:val="16"/>
                <w:color w:val="auto"/>
              </w:rPr>
              <w:t>Weighted average remaining lease term (years)</w:t>
            </w:r>
          </w:p>
        </w:tc>
        <w:tc>
          <w:tcPr>
            <w:tcW w:w="300" w:type="dxa"/>
            <w:vAlign w:val="bottom"/>
          </w:tcPr>
          <w:p>
            <w:pPr>
              <w:spacing w:after="0"/>
              <w:rPr>
                <w:sz w:val="24"/>
                <w:szCs w:val="24"/>
                <w:color w:val="auto"/>
              </w:rPr>
            </w:pPr>
          </w:p>
        </w:tc>
        <w:tc>
          <w:tcPr>
            <w:tcW w:w="1700" w:type="dxa"/>
            <w:vAlign w:val="bottom"/>
          </w:tcPr>
          <w:p>
            <w:pPr>
              <w:jc w:val="right"/>
              <w:ind w:right="100"/>
              <w:spacing w:after="0"/>
              <w:rPr>
                <w:sz w:val="20"/>
                <w:szCs w:val="20"/>
                <w:color w:val="auto"/>
              </w:rPr>
            </w:pPr>
            <w:r>
              <w:rPr>
                <w:rFonts w:ascii="Arial" w:cs="Arial" w:eastAsia="Arial" w:hAnsi="Arial"/>
                <w:sz w:val="16"/>
                <w:szCs w:val="16"/>
                <w:b w:val="1"/>
                <w:bCs w:val="1"/>
                <w:color w:val="auto"/>
              </w:rPr>
              <w:t>6.8</w:t>
            </w:r>
          </w:p>
        </w:tc>
      </w:tr>
      <w:tr>
        <w:trPr>
          <w:trHeight w:val="243"/>
        </w:trPr>
        <w:tc>
          <w:tcPr>
            <w:tcW w:w="9380" w:type="dxa"/>
            <w:vAlign w:val="bottom"/>
          </w:tcPr>
          <w:p>
            <w:pPr>
              <w:spacing w:after="0"/>
              <w:rPr>
                <w:sz w:val="20"/>
                <w:szCs w:val="20"/>
                <w:color w:val="auto"/>
              </w:rPr>
            </w:pPr>
            <w:r>
              <w:rPr>
                <w:rFonts w:ascii="Arial" w:cs="Arial" w:eastAsia="Arial" w:hAnsi="Arial"/>
                <w:sz w:val="16"/>
                <w:szCs w:val="16"/>
                <w:color w:val="auto"/>
              </w:rPr>
              <w:t>Weighted average discount rate</w:t>
            </w:r>
          </w:p>
        </w:tc>
        <w:tc>
          <w:tcPr>
            <w:tcW w:w="3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4.0%</w:t>
            </w:r>
          </w:p>
        </w:tc>
      </w:tr>
    </w:tbl>
    <w:p>
      <w:pPr>
        <w:spacing w:after="0" w:line="200" w:lineRule="exact"/>
        <w:rPr>
          <w:sz w:val="20"/>
          <w:szCs w:val="20"/>
          <w:color w:val="auto"/>
        </w:rPr>
      </w:pPr>
    </w:p>
    <w:p>
      <w:pPr>
        <w:sectPr>
          <w:pgSz w:w="11900" w:h="16838" w:orient="portrait"/>
          <w:cols w:equalWidth="0" w:num="1">
            <w:col w:w="11420"/>
          </w:cols>
          <w:pgMar w:left="240" w:top="719" w:right="2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719"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color w:val="auto"/>
        </w:rPr>
        <w:t>Maturities of lease liabilities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June 30, 2019</w:t>
            </w:r>
          </w:p>
        </w:tc>
      </w:tr>
      <w:tr>
        <w:trPr>
          <w:trHeight w:val="223"/>
        </w:trPr>
        <w:tc>
          <w:tcPr>
            <w:tcW w:w="9940" w:type="dxa"/>
            <w:vAlign w:val="bottom"/>
          </w:tcPr>
          <w:p>
            <w:pPr>
              <w:ind w:left="40"/>
              <w:spacing w:after="0"/>
              <w:rPr>
                <w:sz w:val="20"/>
                <w:szCs w:val="20"/>
                <w:color w:val="auto"/>
              </w:rPr>
            </w:pPr>
            <w:r>
              <w:rPr>
                <w:rFonts w:ascii="Arial" w:cs="Arial" w:eastAsia="Arial" w:hAnsi="Arial"/>
                <w:sz w:val="16"/>
                <w:szCs w:val="16"/>
                <w:color w:val="auto"/>
              </w:rPr>
              <w:t>2019</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20"/>
              <w:spacing w:after="0"/>
              <w:rPr>
                <w:sz w:val="20"/>
                <w:szCs w:val="20"/>
                <w:color w:val="auto"/>
              </w:rPr>
            </w:pPr>
            <w:r>
              <w:rPr>
                <w:rFonts w:ascii="Arial" w:cs="Arial" w:eastAsia="Arial" w:hAnsi="Arial"/>
                <w:sz w:val="16"/>
                <w:szCs w:val="16"/>
                <w:b w:val="1"/>
                <w:bCs w:val="1"/>
                <w:color w:val="auto"/>
              </w:rPr>
              <w:t>47,463</w:t>
            </w:r>
          </w:p>
        </w:tc>
      </w:tr>
      <w:tr>
        <w:trPr>
          <w:trHeight w:val="243"/>
        </w:trPr>
        <w:tc>
          <w:tcPr>
            <w:tcW w:w="9940" w:type="dxa"/>
            <w:vAlign w:val="bottom"/>
          </w:tcPr>
          <w:p>
            <w:pPr>
              <w:ind w:left="40"/>
              <w:spacing w:after="0"/>
              <w:rPr>
                <w:sz w:val="20"/>
                <w:szCs w:val="20"/>
                <w:color w:val="auto"/>
              </w:rPr>
            </w:pPr>
            <w:r>
              <w:rPr>
                <w:rFonts w:ascii="Arial" w:cs="Arial" w:eastAsia="Arial" w:hAnsi="Arial"/>
                <w:sz w:val="16"/>
                <w:szCs w:val="16"/>
                <w:color w:val="auto"/>
              </w:rPr>
              <w:t>2020</w:t>
            </w:r>
          </w:p>
        </w:tc>
        <w:tc>
          <w:tcPr>
            <w:tcW w:w="200" w:type="dxa"/>
            <w:vAlign w:val="bottom"/>
          </w:tcPr>
          <w:p>
            <w:pPr>
              <w:spacing w:after="0"/>
              <w:rPr>
                <w:sz w:val="21"/>
                <w:szCs w:val="21"/>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b w:val="1"/>
                <w:bCs w:val="1"/>
                <w:color w:val="auto"/>
              </w:rPr>
              <w:t>90,945</w:t>
            </w:r>
          </w:p>
        </w:tc>
      </w:tr>
      <w:tr>
        <w:trPr>
          <w:trHeight w:val="243"/>
        </w:trPr>
        <w:tc>
          <w:tcPr>
            <w:tcW w:w="9940" w:type="dxa"/>
            <w:vAlign w:val="bottom"/>
          </w:tcPr>
          <w:p>
            <w:pPr>
              <w:ind w:left="40"/>
              <w:spacing w:after="0"/>
              <w:rPr>
                <w:sz w:val="20"/>
                <w:szCs w:val="20"/>
                <w:color w:val="auto"/>
              </w:rPr>
            </w:pPr>
            <w:r>
              <w:rPr>
                <w:rFonts w:ascii="Arial" w:cs="Arial" w:eastAsia="Arial" w:hAnsi="Arial"/>
                <w:sz w:val="16"/>
                <w:szCs w:val="16"/>
                <w:color w:val="auto"/>
              </w:rPr>
              <w:t>2021</w:t>
            </w:r>
          </w:p>
        </w:tc>
        <w:tc>
          <w:tcPr>
            <w:tcW w:w="200" w:type="dxa"/>
            <w:vAlign w:val="bottom"/>
          </w:tcPr>
          <w:p>
            <w:pPr>
              <w:spacing w:after="0"/>
              <w:rPr>
                <w:sz w:val="21"/>
                <w:szCs w:val="21"/>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b w:val="1"/>
                <w:bCs w:val="1"/>
                <w:color w:val="auto"/>
              </w:rPr>
              <w:t>72,940</w:t>
            </w:r>
          </w:p>
        </w:tc>
      </w:tr>
      <w:tr>
        <w:trPr>
          <w:trHeight w:val="243"/>
        </w:trPr>
        <w:tc>
          <w:tcPr>
            <w:tcW w:w="9940" w:type="dxa"/>
            <w:vAlign w:val="bottom"/>
          </w:tcPr>
          <w:p>
            <w:pPr>
              <w:ind w:left="40"/>
              <w:spacing w:after="0"/>
              <w:rPr>
                <w:sz w:val="20"/>
                <w:szCs w:val="20"/>
                <w:color w:val="auto"/>
              </w:rPr>
            </w:pPr>
            <w:r>
              <w:rPr>
                <w:rFonts w:ascii="Arial" w:cs="Arial" w:eastAsia="Arial" w:hAnsi="Arial"/>
                <w:sz w:val="16"/>
                <w:szCs w:val="16"/>
                <w:color w:val="auto"/>
              </w:rPr>
              <w:t>2022</w:t>
            </w:r>
          </w:p>
        </w:tc>
        <w:tc>
          <w:tcPr>
            <w:tcW w:w="200" w:type="dxa"/>
            <w:vAlign w:val="bottom"/>
          </w:tcPr>
          <w:p>
            <w:pPr>
              <w:spacing w:after="0"/>
              <w:rPr>
                <w:sz w:val="21"/>
                <w:szCs w:val="21"/>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b w:val="1"/>
                <w:bCs w:val="1"/>
                <w:color w:val="auto"/>
              </w:rPr>
              <w:t>57,898</w:t>
            </w:r>
          </w:p>
        </w:tc>
      </w:tr>
      <w:tr>
        <w:trPr>
          <w:trHeight w:val="243"/>
        </w:trPr>
        <w:tc>
          <w:tcPr>
            <w:tcW w:w="9940" w:type="dxa"/>
            <w:vAlign w:val="bottom"/>
          </w:tcPr>
          <w:p>
            <w:pPr>
              <w:ind w:left="40"/>
              <w:spacing w:after="0"/>
              <w:rPr>
                <w:sz w:val="20"/>
                <w:szCs w:val="20"/>
                <w:color w:val="auto"/>
              </w:rPr>
            </w:pPr>
            <w:r>
              <w:rPr>
                <w:rFonts w:ascii="Arial" w:cs="Arial" w:eastAsia="Arial" w:hAnsi="Arial"/>
                <w:sz w:val="16"/>
                <w:szCs w:val="16"/>
                <w:color w:val="auto"/>
              </w:rPr>
              <w:t>2023</w:t>
            </w:r>
          </w:p>
        </w:tc>
        <w:tc>
          <w:tcPr>
            <w:tcW w:w="200" w:type="dxa"/>
            <w:vAlign w:val="bottom"/>
          </w:tcPr>
          <w:p>
            <w:pPr>
              <w:spacing w:after="0"/>
              <w:rPr>
                <w:sz w:val="21"/>
                <w:szCs w:val="21"/>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b w:val="1"/>
                <w:bCs w:val="1"/>
                <w:color w:val="auto"/>
              </w:rPr>
              <w:t>49,627</w:t>
            </w:r>
          </w:p>
        </w:tc>
      </w:tr>
      <w:tr>
        <w:trPr>
          <w:trHeight w:val="256"/>
        </w:trPr>
        <w:tc>
          <w:tcPr>
            <w:tcW w:w="994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144,935</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Total payments</w:t>
            </w:r>
          </w:p>
        </w:tc>
        <w:tc>
          <w:tcPr>
            <w:tcW w:w="200" w:type="dxa"/>
            <w:vAlign w:val="bottom"/>
          </w:tcPr>
          <w:p>
            <w:pPr>
              <w:spacing w:after="0"/>
              <w:rPr>
                <w:sz w:val="19"/>
                <w:szCs w:val="19"/>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b w:val="1"/>
                <w:bCs w:val="1"/>
                <w:color w:val="auto"/>
              </w:rPr>
              <w:t>463,808</w:t>
            </w:r>
          </w:p>
        </w:tc>
      </w:tr>
      <w:tr>
        <w:trPr>
          <w:trHeight w:val="256"/>
        </w:trPr>
        <w:tc>
          <w:tcPr>
            <w:tcW w:w="9940" w:type="dxa"/>
            <w:vAlign w:val="bottom"/>
          </w:tcPr>
          <w:p>
            <w:pPr>
              <w:ind w:left="40"/>
              <w:spacing w:after="0"/>
              <w:rPr>
                <w:sz w:val="20"/>
                <w:szCs w:val="20"/>
                <w:color w:val="auto"/>
              </w:rPr>
            </w:pPr>
            <w:r>
              <w:rPr>
                <w:rFonts w:ascii="Arial" w:cs="Arial" w:eastAsia="Arial" w:hAnsi="Arial"/>
                <w:sz w:val="16"/>
                <w:szCs w:val="16"/>
                <w:color w:val="auto"/>
              </w:rPr>
              <w:t>Less: Imputed interest</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(59,714)</w:t>
            </w:r>
          </w:p>
        </w:tc>
      </w:tr>
      <w:tr>
        <w:trPr>
          <w:trHeight w:val="240"/>
        </w:trPr>
        <w:tc>
          <w:tcPr>
            <w:tcW w:w="9940" w:type="dxa"/>
            <w:vAlign w:val="bottom"/>
          </w:tcPr>
          <w:p>
            <w:pPr>
              <w:ind w:left="4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404,094</w:t>
            </w:r>
          </w:p>
        </w:tc>
      </w:tr>
      <w:tr>
        <w:trPr>
          <w:trHeight w:val="20"/>
        </w:trPr>
        <w:tc>
          <w:tcPr>
            <w:tcW w:w="9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180"/>
        <w:spacing w:after="0" w:line="229" w:lineRule="auto"/>
        <w:rPr>
          <w:sz w:val="20"/>
          <w:szCs w:val="20"/>
          <w:color w:val="auto"/>
        </w:rPr>
      </w:pPr>
      <w:r>
        <w:rPr>
          <w:rFonts w:ascii="Arial" w:cs="Arial" w:eastAsia="Arial" w:hAnsi="Arial"/>
          <w:sz w:val="18"/>
          <w:szCs w:val="18"/>
          <w:color w:val="auto"/>
        </w:rPr>
        <w:t>As of June 30, 2019, the Company has entered into operating leases, including educational and other facilities, that have not yet commenced that have minimum lease payments of $25.9 million. These operating leases will commence in fiscal years 2019 and 2020 with lease terms of two to 20 years.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related to periods prior to the adoption of new lease accounting guidance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2018, future minimum rental payments under noncancelable operating leases approximate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December 31, 2018</w:t>
            </w:r>
          </w:p>
        </w:tc>
      </w:tr>
      <w:tr>
        <w:trPr>
          <w:trHeight w:val="223"/>
        </w:trPr>
        <w:tc>
          <w:tcPr>
            <w:tcW w:w="9480" w:type="dxa"/>
            <w:vAlign w:val="bottom"/>
          </w:tcPr>
          <w:p>
            <w:pPr>
              <w:ind w:left="40"/>
              <w:spacing w:after="0"/>
              <w:rPr>
                <w:sz w:val="20"/>
                <w:szCs w:val="20"/>
                <w:color w:val="auto"/>
              </w:rPr>
            </w:pPr>
            <w:r>
              <w:rPr>
                <w:rFonts w:ascii="Arial" w:cs="Arial" w:eastAsia="Arial" w:hAnsi="Arial"/>
                <w:sz w:val="16"/>
                <w:szCs w:val="16"/>
                <w:color w:val="auto"/>
              </w:rPr>
              <w:t>2019</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720" w:type="dxa"/>
            <w:vAlign w:val="bottom"/>
          </w:tcPr>
          <w:p>
            <w:pPr>
              <w:jc w:val="right"/>
              <w:ind w:right="20"/>
              <w:spacing w:after="0"/>
              <w:rPr>
                <w:sz w:val="20"/>
                <w:szCs w:val="20"/>
                <w:color w:val="auto"/>
              </w:rPr>
            </w:pPr>
            <w:r>
              <w:rPr>
                <w:rFonts w:ascii="Arial" w:cs="Arial" w:eastAsia="Arial" w:hAnsi="Arial"/>
                <w:sz w:val="16"/>
                <w:szCs w:val="16"/>
                <w:b w:val="1"/>
                <w:bCs w:val="1"/>
                <w:color w:val="auto"/>
              </w:rPr>
              <w:t>101,009</w:t>
            </w:r>
          </w:p>
        </w:tc>
      </w:tr>
      <w:tr>
        <w:trPr>
          <w:trHeight w:val="243"/>
        </w:trPr>
        <w:tc>
          <w:tcPr>
            <w:tcW w:w="9480" w:type="dxa"/>
            <w:vAlign w:val="bottom"/>
          </w:tcPr>
          <w:p>
            <w:pPr>
              <w:ind w:left="40"/>
              <w:spacing w:after="0"/>
              <w:rPr>
                <w:sz w:val="20"/>
                <w:szCs w:val="20"/>
                <w:color w:val="auto"/>
              </w:rPr>
            </w:pPr>
            <w:r>
              <w:rPr>
                <w:rFonts w:ascii="Arial" w:cs="Arial" w:eastAsia="Arial" w:hAnsi="Arial"/>
                <w:sz w:val="16"/>
                <w:szCs w:val="16"/>
                <w:color w:val="auto"/>
              </w:rPr>
              <w:t>2020</w:t>
            </w:r>
          </w:p>
        </w:tc>
        <w:tc>
          <w:tcPr>
            <w:tcW w:w="220" w:type="dxa"/>
            <w:vAlign w:val="bottom"/>
          </w:tcPr>
          <w:p>
            <w:pPr>
              <w:spacing w:after="0"/>
              <w:rPr>
                <w:sz w:val="21"/>
                <w:szCs w:val="21"/>
                <w:color w:val="auto"/>
              </w:rPr>
            </w:pPr>
          </w:p>
        </w:tc>
        <w:tc>
          <w:tcPr>
            <w:tcW w:w="1720" w:type="dxa"/>
            <w:vAlign w:val="bottom"/>
          </w:tcPr>
          <w:p>
            <w:pPr>
              <w:jc w:val="right"/>
              <w:ind w:right="20"/>
              <w:spacing w:after="0"/>
              <w:rPr>
                <w:sz w:val="20"/>
                <w:szCs w:val="20"/>
                <w:color w:val="auto"/>
              </w:rPr>
            </w:pPr>
            <w:r>
              <w:rPr>
                <w:rFonts w:ascii="Arial" w:cs="Arial" w:eastAsia="Arial" w:hAnsi="Arial"/>
                <w:sz w:val="16"/>
                <w:szCs w:val="16"/>
                <w:b w:val="1"/>
                <w:bCs w:val="1"/>
                <w:color w:val="auto"/>
              </w:rPr>
              <w:t>84,945</w:t>
            </w:r>
          </w:p>
        </w:tc>
      </w:tr>
      <w:tr>
        <w:trPr>
          <w:trHeight w:val="243"/>
        </w:trPr>
        <w:tc>
          <w:tcPr>
            <w:tcW w:w="9480" w:type="dxa"/>
            <w:vAlign w:val="bottom"/>
          </w:tcPr>
          <w:p>
            <w:pPr>
              <w:ind w:left="40"/>
              <w:spacing w:after="0"/>
              <w:rPr>
                <w:sz w:val="20"/>
                <w:szCs w:val="20"/>
                <w:color w:val="auto"/>
              </w:rPr>
            </w:pPr>
            <w:r>
              <w:rPr>
                <w:rFonts w:ascii="Arial" w:cs="Arial" w:eastAsia="Arial" w:hAnsi="Arial"/>
                <w:sz w:val="16"/>
                <w:szCs w:val="16"/>
                <w:color w:val="auto"/>
              </w:rPr>
              <w:t>2021</w:t>
            </w:r>
          </w:p>
        </w:tc>
        <w:tc>
          <w:tcPr>
            <w:tcW w:w="220" w:type="dxa"/>
            <w:vAlign w:val="bottom"/>
          </w:tcPr>
          <w:p>
            <w:pPr>
              <w:spacing w:after="0"/>
              <w:rPr>
                <w:sz w:val="21"/>
                <w:szCs w:val="21"/>
                <w:color w:val="auto"/>
              </w:rPr>
            </w:pPr>
          </w:p>
        </w:tc>
        <w:tc>
          <w:tcPr>
            <w:tcW w:w="1720" w:type="dxa"/>
            <w:vAlign w:val="bottom"/>
          </w:tcPr>
          <w:p>
            <w:pPr>
              <w:jc w:val="right"/>
              <w:ind w:right="20"/>
              <w:spacing w:after="0"/>
              <w:rPr>
                <w:sz w:val="20"/>
                <w:szCs w:val="20"/>
                <w:color w:val="auto"/>
              </w:rPr>
            </w:pPr>
            <w:r>
              <w:rPr>
                <w:rFonts w:ascii="Arial" w:cs="Arial" w:eastAsia="Arial" w:hAnsi="Arial"/>
                <w:sz w:val="16"/>
                <w:szCs w:val="16"/>
                <w:b w:val="1"/>
                <w:bCs w:val="1"/>
                <w:color w:val="auto"/>
              </w:rPr>
              <w:t>72,031</w:t>
            </w:r>
          </w:p>
        </w:tc>
      </w:tr>
      <w:tr>
        <w:trPr>
          <w:trHeight w:val="243"/>
        </w:trPr>
        <w:tc>
          <w:tcPr>
            <w:tcW w:w="9480" w:type="dxa"/>
            <w:vAlign w:val="bottom"/>
          </w:tcPr>
          <w:p>
            <w:pPr>
              <w:ind w:left="40"/>
              <w:spacing w:after="0"/>
              <w:rPr>
                <w:sz w:val="20"/>
                <w:szCs w:val="20"/>
                <w:color w:val="auto"/>
              </w:rPr>
            </w:pPr>
            <w:r>
              <w:rPr>
                <w:rFonts w:ascii="Arial" w:cs="Arial" w:eastAsia="Arial" w:hAnsi="Arial"/>
                <w:sz w:val="16"/>
                <w:szCs w:val="16"/>
                <w:color w:val="auto"/>
              </w:rPr>
              <w:t>2022</w:t>
            </w:r>
          </w:p>
        </w:tc>
        <w:tc>
          <w:tcPr>
            <w:tcW w:w="220" w:type="dxa"/>
            <w:vAlign w:val="bottom"/>
          </w:tcPr>
          <w:p>
            <w:pPr>
              <w:spacing w:after="0"/>
              <w:rPr>
                <w:sz w:val="21"/>
                <w:szCs w:val="21"/>
                <w:color w:val="auto"/>
              </w:rPr>
            </w:pPr>
          </w:p>
        </w:tc>
        <w:tc>
          <w:tcPr>
            <w:tcW w:w="1720" w:type="dxa"/>
            <w:vAlign w:val="bottom"/>
          </w:tcPr>
          <w:p>
            <w:pPr>
              <w:jc w:val="right"/>
              <w:ind w:right="20"/>
              <w:spacing w:after="0"/>
              <w:rPr>
                <w:sz w:val="20"/>
                <w:szCs w:val="20"/>
                <w:color w:val="auto"/>
              </w:rPr>
            </w:pPr>
            <w:r>
              <w:rPr>
                <w:rFonts w:ascii="Arial" w:cs="Arial" w:eastAsia="Arial" w:hAnsi="Arial"/>
                <w:sz w:val="16"/>
                <w:szCs w:val="16"/>
                <w:b w:val="1"/>
                <w:bCs w:val="1"/>
                <w:color w:val="auto"/>
              </w:rPr>
              <w:t>53,709</w:t>
            </w:r>
          </w:p>
        </w:tc>
      </w:tr>
      <w:tr>
        <w:trPr>
          <w:trHeight w:val="243"/>
        </w:trPr>
        <w:tc>
          <w:tcPr>
            <w:tcW w:w="9480" w:type="dxa"/>
            <w:vAlign w:val="bottom"/>
          </w:tcPr>
          <w:p>
            <w:pPr>
              <w:ind w:left="40"/>
              <w:spacing w:after="0"/>
              <w:rPr>
                <w:sz w:val="20"/>
                <w:szCs w:val="20"/>
                <w:color w:val="auto"/>
              </w:rPr>
            </w:pPr>
            <w:r>
              <w:rPr>
                <w:rFonts w:ascii="Arial" w:cs="Arial" w:eastAsia="Arial" w:hAnsi="Arial"/>
                <w:sz w:val="16"/>
                <w:szCs w:val="16"/>
                <w:color w:val="auto"/>
              </w:rPr>
              <w:t>2023</w:t>
            </w:r>
          </w:p>
        </w:tc>
        <w:tc>
          <w:tcPr>
            <w:tcW w:w="220" w:type="dxa"/>
            <w:vAlign w:val="bottom"/>
          </w:tcPr>
          <w:p>
            <w:pPr>
              <w:spacing w:after="0"/>
              <w:rPr>
                <w:sz w:val="21"/>
                <w:szCs w:val="21"/>
                <w:color w:val="auto"/>
              </w:rPr>
            </w:pPr>
          </w:p>
        </w:tc>
        <w:tc>
          <w:tcPr>
            <w:tcW w:w="1720" w:type="dxa"/>
            <w:vAlign w:val="bottom"/>
          </w:tcPr>
          <w:p>
            <w:pPr>
              <w:jc w:val="right"/>
              <w:ind w:right="20"/>
              <w:spacing w:after="0"/>
              <w:rPr>
                <w:sz w:val="20"/>
                <w:szCs w:val="20"/>
                <w:color w:val="auto"/>
              </w:rPr>
            </w:pPr>
            <w:r>
              <w:rPr>
                <w:rFonts w:ascii="Arial" w:cs="Arial" w:eastAsia="Arial" w:hAnsi="Arial"/>
                <w:sz w:val="16"/>
                <w:szCs w:val="16"/>
                <w:b w:val="1"/>
                <w:bCs w:val="1"/>
                <w:color w:val="auto"/>
              </w:rPr>
              <w:t>47,091</w:t>
            </w:r>
          </w:p>
        </w:tc>
      </w:tr>
      <w:tr>
        <w:trPr>
          <w:trHeight w:val="256"/>
        </w:trPr>
        <w:tc>
          <w:tcPr>
            <w:tcW w:w="948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2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115,948</w:t>
            </w:r>
          </w:p>
        </w:tc>
      </w:tr>
      <w:tr>
        <w:trPr>
          <w:trHeight w:val="237"/>
        </w:trPr>
        <w:tc>
          <w:tcPr>
            <w:tcW w:w="948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474,733</w:t>
            </w:r>
          </w:p>
        </w:tc>
      </w:tr>
      <w:tr>
        <w:trPr>
          <w:trHeight w:val="20"/>
        </w:trPr>
        <w:tc>
          <w:tcPr>
            <w:tcW w:w="9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Minimum payments have not been reduced by minimum sublease rentals of $66.0 million due in the future under noncancelable subleases.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OTHER INTANGIBLE ASSETS</w:t>
      </w:r>
    </w:p>
    <w:p>
      <w:pPr>
        <w:spacing w:after="0" w:line="166" w:lineRule="exact"/>
        <w:rPr>
          <w:sz w:val="20"/>
          <w:szCs w:val="20"/>
          <w:color w:val="auto"/>
        </w:rPr>
      </w:pPr>
    </w:p>
    <w:p>
      <w:pPr>
        <w:ind w:right="460"/>
        <w:spacing w:after="0" w:line="227" w:lineRule="auto"/>
        <w:rPr>
          <w:sz w:val="20"/>
          <w:szCs w:val="20"/>
          <w:color w:val="auto"/>
        </w:rPr>
      </w:pPr>
      <w:r>
        <w:rPr>
          <w:rFonts w:ascii="Arial" w:cs="Arial" w:eastAsia="Arial" w:hAnsi="Arial"/>
          <w:sz w:val="18"/>
          <w:szCs w:val="18"/>
          <w:color w:val="auto"/>
        </w:rPr>
        <w:t>Amortization of intangible assets for the three months ended June 30, 2019 and 2018 was $12.9 million and $11.4 million, respectively. Amortization of intangible assets for the six months ended June 30, 2019 and 2018 was $25.9 million and $21.8 million, respectively. Amortization of intangible assets is estimated to be approximately $26 million for the remainder of 2019, $49 million in 2020, $43 million in 2021, $37 million in 2022, $29 million in 2023 and $54 million thereafter.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281"/>
              <w:spacing w:after="0"/>
              <w:rPr>
                <w:sz w:val="20"/>
                <w:szCs w:val="20"/>
                <w:color w:val="auto"/>
              </w:rPr>
            </w:pPr>
            <w:r>
              <w:rPr>
                <w:rFonts w:ascii="Arial" w:cs="Arial" w:eastAsia="Arial" w:hAnsi="Arial"/>
                <w:sz w:val="14"/>
                <w:szCs w:val="14"/>
                <w:b w:val="1"/>
                <w:bCs w:val="1"/>
                <w:color w:val="auto"/>
              </w:rPr>
              <w:t>Television</w:t>
            </w: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right"/>
              <w:ind w:right="441"/>
              <w:spacing w:after="0"/>
              <w:rPr>
                <w:sz w:val="20"/>
                <w:szCs w:val="20"/>
                <w:color w:val="auto"/>
              </w:rPr>
            </w:pPr>
            <w:r>
              <w:rPr>
                <w:rFonts w:ascii="Arial" w:cs="Arial" w:eastAsia="Arial" w:hAnsi="Arial"/>
                <w:sz w:val="14"/>
                <w:szCs w:val="14"/>
                <w:b w:val="1"/>
                <w:bCs w:val="1"/>
                <w:color w:val="auto"/>
              </w:rPr>
              <w:t>Other</w:t>
            </w: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6"/>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Education</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Broadcasting</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Healthcare</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Businesses</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Total</w:t>
            </w:r>
          </w:p>
        </w:tc>
      </w:tr>
      <w:tr>
        <w:trPr>
          <w:trHeight w:val="250"/>
        </w:trPr>
        <w:tc>
          <w:tcPr>
            <w:tcW w:w="4120" w:type="dxa"/>
            <w:vAlign w:val="bottom"/>
          </w:tcPr>
          <w:p>
            <w:pPr>
              <w:ind w:left="40"/>
              <w:spacing w:after="0"/>
              <w:rPr>
                <w:sz w:val="20"/>
                <w:szCs w:val="20"/>
                <w:color w:val="auto"/>
              </w:rPr>
            </w:pPr>
            <w:r>
              <w:rPr>
                <w:rFonts w:ascii="Arial" w:cs="Arial" w:eastAsia="Arial" w:hAnsi="Arial"/>
                <w:sz w:val="16"/>
                <w:szCs w:val="16"/>
                <w:color w:val="auto"/>
              </w:rPr>
              <w:t>Balance as of December 31, 2018</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120" w:type="dxa"/>
            <w:vAlign w:val="bottom"/>
          </w:tcPr>
          <w:p>
            <w:pPr>
              <w:ind w:left="280"/>
              <w:spacing w:after="0"/>
              <w:rPr>
                <w:sz w:val="20"/>
                <w:szCs w:val="20"/>
                <w:color w:val="auto"/>
              </w:rPr>
            </w:pPr>
            <w:r>
              <w:rPr>
                <w:rFonts w:ascii="Arial" w:cs="Arial" w:eastAsia="Arial" w:hAnsi="Arial"/>
                <w:sz w:val="16"/>
                <w:szCs w:val="16"/>
                <w:color w:val="auto"/>
              </w:rPr>
              <w:t>Goodwill</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1,128,699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190,815</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69,626</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255,024</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1,644,164</w:t>
            </w:r>
          </w:p>
        </w:tc>
      </w:tr>
      <w:tr>
        <w:trPr>
          <w:trHeight w:val="283"/>
        </w:trPr>
        <w:tc>
          <w:tcPr>
            <w:tcW w:w="4120" w:type="dxa"/>
            <w:vAlign w:val="bottom"/>
          </w:tcPr>
          <w:p>
            <w:pPr>
              <w:ind w:left="280"/>
              <w:spacing w:after="0"/>
              <w:rPr>
                <w:sz w:val="20"/>
                <w:szCs w:val="20"/>
                <w:color w:val="auto"/>
              </w:rPr>
            </w:pPr>
            <w:r>
              <w:rPr>
                <w:rFonts w:ascii="Arial" w:cs="Arial" w:eastAsia="Arial" w:hAnsi="Arial"/>
                <w:sz w:val="16"/>
                <w:szCs w:val="16"/>
                <w:color w:val="auto"/>
              </w:rPr>
              <w:t>Accumulated impairment losses</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(331,151)</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(15,301)</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(346,452)</w:t>
            </w:r>
          </w:p>
        </w:tc>
      </w:tr>
      <w:tr>
        <w:trPr>
          <w:trHeight w:val="251"/>
        </w:trPr>
        <w:tc>
          <w:tcPr>
            <w:tcW w:w="4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797,548</w:t>
            </w:r>
          </w:p>
        </w:tc>
        <w:tc>
          <w:tcPr>
            <w:tcW w:w="240" w:type="dxa"/>
            <w:vAlign w:val="bottom"/>
          </w:tcPr>
          <w:p>
            <w:pPr>
              <w:spacing w:after="0"/>
              <w:rPr>
                <w:sz w:val="21"/>
                <w:szCs w:val="21"/>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190,815</w:t>
            </w:r>
          </w:p>
        </w:tc>
        <w:tc>
          <w:tcPr>
            <w:tcW w:w="300" w:type="dxa"/>
            <w:vAlign w:val="bottom"/>
          </w:tcPr>
          <w:p>
            <w:pPr>
              <w:spacing w:after="0"/>
              <w:rPr>
                <w:sz w:val="21"/>
                <w:szCs w:val="21"/>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69,626</w:t>
            </w:r>
          </w:p>
        </w:tc>
        <w:tc>
          <w:tcPr>
            <w:tcW w:w="300" w:type="dxa"/>
            <w:vAlign w:val="bottom"/>
          </w:tcPr>
          <w:p>
            <w:pPr>
              <w:spacing w:after="0"/>
              <w:rPr>
                <w:sz w:val="21"/>
                <w:szCs w:val="21"/>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239,723</w:t>
            </w:r>
          </w:p>
        </w:tc>
        <w:tc>
          <w:tcPr>
            <w:tcW w:w="40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1,297,712</w:t>
            </w:r>
          </w:p>
        </w:tc>
      </w:tr>
      <w:tr>
        <w:trPr>
          <w:trHeight w:val="270"/>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Acquisitions</w:t>
            </w:r>
          </w:p>
        </w:tc>
        <w:tc>
          <w:tcPr>
            <w:tcW w:w="240" w:type="dxa"/>
            <w:vAlign w:val="bottom"/>
          </w:tcPr>
          <w:p>
            <w:pPr>
              <w:spacing w:after="0"/>
              <w:rPr>
                <w:sz w:val="23"/>
                <w:szCs w:val="23"/>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b w:val="1"/>
                <w:bCs w:val="1"/>
                <w:color w:val="auto"/>
              </w:rPr>
              <w:t>239</w:t>
            </w:r>
          </w:p>
        </w:tc>
        <w:tc>
          <w:tcPr>
            <w:tcW w:w="30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b w:val="1"/>
                <w:bCs w:val="1"/>
                <w:color w:val="auto"/>
              </w:rPr>
              <w:t>39,121</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39,360</w:t>
            </w:r>
          </w:p>
        </w:tc>
      </w:tr>
      <w:tr>
        <w:trPr>
          <w:trHeight w:val="283"/>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Foreign currency exchange rate changes</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(1,111)</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(1,111)</w:t>
            </w:r>
          </w:p>
        </w:tc>
      </w:tr>
      <w:tr>
        <w:trPr>
          <w:trHeight w:val="251"/>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Balance as of June 30, 2019</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120" w:type="dxa"/>
            <w:vAlign w:val="bottom"/>
          </w:tcPr>
          <w:p>
            <w:pPr>
              <w:ind w:left="280"/>
              <w:spacing w:after="0"/>
              <w:rPr>
                <w:sz w:val="20"/>
                <w:szCs w:val="20"/>
                <w:color w:val="auto"/>
              </w:rPr>
            </w:pPr>
            <w:r>
              <w:rPr>
                <w:rFonts w:ascii="Arial" w:cs="Arial" w:eastAsia="Arial" w:hAnsi="Arial"/>
                <w:sz w:val="16"/>
                <w:szCs w:val="16"/>
                <w:b w:val="1"/>
                <w:bCs w:val="1"/>
                <w:color w:val="auto"/>
              </w:rPr>
              <w:t>Goodwill</w:t>
            </w:r>
          </w:p>
        </w:tc>
        <w:tc>
          <w:tcPr>
            <w:tcW w:w="240" w:type="dxa"/>
            <w:vAlign w:val="bottom"/>
          </w:tcPr>
          <w:p>
            <w:pPr>
              <w:spacing w:after="0"/>
              <w:rPr>
                <w:sz w:val="23"/>
                <w:szCs w:val="23"/>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b w:val="1"/>
                <w:bCs w:val="1"/>
                <w:color w:val="auto"/>
              </w:rPr>
              <w:t>1,127,588</w:t>
            </w:r>
          </w:p>
        </w:tc>
        <w:tc>
          <w:tcPr>
            <w:tcW w:w="240" w:type="dxa"/>
            <w:vAlign w:val="bottom"/>
          </w:tcPr>
          <w:p>
            <w:pPr>
              <w:spacing w:after="0"/>
              <w:rPr>
                <w:sz w:val="23"/>
                <w:szCs w:val="23"/>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b w:val="1"/>
                <w:bCs w:val="1"/>
                <w:color w:val="auto"/>
              </w:rPr>
              <w:t>190,815</w:t>
            </w:r>
          </w:p>
        </w:tc>
        <w:tc>
          <w:tcPr>
            <w:tcW w:w="300" w:type="dxa"/>
            <w:vAlign w:val="bottom"/>
          </w:tcPr>
          <w:p>
            <w:pPr>
              <w:spacing w:after="0"/>
              <w:rPr>
                <w:sz w:val="23"/>
                <w:szCs w:val="23"/>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b w:val="1"/>
                <w:bCs w:val="1"/>
                <w:color w:val="auto"/>
              </w:rPr>
              <w:t>69,865</w:t>
            </w:r>
          </w:p>
        </w:tc>
        <w:tc>
          <w:tcPr>
            <w:tcW w:w="30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b w:val="1"/>
                <w:bCs w:val="1"/>
                <w:color w:val="auto"/>
              </w:rPr>
              <w:t>294,145</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1,682,413</w:t>
            </w:r>
          </w:p>
        </w:tc>
      </w:tr>
      <w:tr>
        <w:trPr>
          <w:trHeight w:val="283"/>
        </w:trPr>
        <w:tc>
          <w:tcPr>
            <w:tcW w:w="4120" w:type="dxa"/>
            <w:vAlign w:val="bottom"/>
          </w:tcPr>
          <w:p>
            <w:pPr>
              <w:ind w:left="280"/>
              <w:spacing w:after="0"/>
              <w:rPr>
                <w:sz w:val="20"/>
                <w:szCs w:val="20"/>
                <w:color w:val="auto"/>
              </w:rPr>
            </w:pPr>
            <w:r>
              <w:rPr>
                <w:rFonts w:ascii="Arial" w:cs="Arial" w:eastAsia="Arial" w:hAnsi="Arial"/>
                <w:sz w:val="16"/>
                <w:szCs w:val="16"/>
                <w:b w:val="1"/>
                <w:bCs w:val="1"/>
                <w:color w:val="auto"/>
              </w:rPr>
              <w:t>Accumulated impairment losses</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(331,151)</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(15,301)</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(346,452)</w:t>
            </w:r>
          </w:p>
        </w:tc>
      </w:tr>
      <w:tr>
        <w:trPr>
          <w:trHeight w:val="264"/>
        </w:trPr>
        <w:tc>
          <w:tcPr>
            <w:tcW w:w="41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796,437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190,815</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69,865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278,844</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1,335,961</w:t>
            </w: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19" w:right="23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719"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color w:val="auto"/>
        </w:rPr>
        <w:t>The changes in carrying amount of goodwill at the Company’s education division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421"/>
              <w:spacing w:after="0"/>
              <w:rPr>
                <w:sz w:val="20"/>
                <w:szCs w:val="20"/>
                <w:color w:val="auto"/>
              </w:rPr>
            </w:pPr>
            <w:r>
              <w:rPr>
                <w:rFonts w:ascii="Arial" w:cs="Arial" w:eastAsia="Arial" w:hAnsi="Arial"/>
                <w:sz w:val="14"/>
                <w:szCs w:val="14"/>
                <w:b w:val="1"/>
                <w:bCs w:val="1"/>
                <w:color w:val="auto"/>
              </w:rPr>
              <w:t>Kaplan</w:t>
            </w:r>
          </w:p>
        </w:tc>
        <w:tc>
          <w:tcPr>
            <w:tcW w:w="300" w:type="dxa"/>
            <w:vAlign w:val="bottom"/>
          </w:tcPr>
          <w:p>
            <w:pPr>
              <w:spacing w:after="0"/>
              <w:rPr>
                <w:sz w:val="14"/>
                <w:szCs w:val="14"/>
                <w:color w:val="auto"/>
              </w:rPr>
            </w:pPr>
          </w:p>
        </w:tc>
        <w:tc>
          <w:tcPr>
            <w:tcW w:w="1180" w:type="dxa"/>
            <w:vAlign w:val="bottom"/>
          </w:tcPr>
          <w:p>
            <w:pPr>
              <w:jc w:val="right"/>
              <w:ind w:right="421"/>
              <w:spacing w:after="0"/>
              <w:rPr>
                <w:sz w:val="20"/>
                <w:szCs w:val="20"/>
                <w:color w:val="auto"/>
              </w:rPr>
            </w:pPr>
            <w:r>
              <w:rPr>
                <w:rFonts w:ascii="Arial" w:cs="Arial" w:eastAsia="Arial" w:hAnsi="Arial"/>
                <w:sz w:val="14"/>
                <w:szCs w:val="14"/>
                <w:b w:val="1"/>
                <w:bCs w:val="1"/>
                <w:color w:val="auto"/>
              </w:rPr>
              <w:t>Higher</w:t>
            </w:r>
          </w:p>
        </w:tc>
        <w:tc>
          <w:tcPr>
            <w:tcW w:w="260" w:type="dxa"/>
            <w:vAlign w:val="bottom"/>
          </w:tcPr>
          <w:p>
            <w:pPr>
              <w:spacing w:after="0"/>
              <w:rPr>
                <w:sz w:val="14"/>
                <w:szCs w:val="14"/>
                <w:color w:val="auto"/>
              </w:rPr>
            </w:pPr>
          </w:p>
        </w:tc>
        <w:tc>
          <w:tcPr>
            <w:tcW w:w="1200" w:type="dxa"/>
            <w:vAlign w:val="bottom"/>
          </w:tcPr>
          <w:p>
            <w:pPr>
              <w:jc w:val="right"/>
              <w:ind w:right="501"/>
              <w:spacing w:after="0"/>
              <w:rPr>
                <w:sz w:val="20"/>
                <w:szCs w:val="20"/>
                <w:color w:val="auto"/>
              </w:rPr>
            </w:pPr>
            <w:r>
              <w:rPr>
                <w:rFonts w:ascii="Arial" w:cs="Arial" w:eastAsia="Arial" w:hAnsi="Arial"/>
                <w:sz w:val="14"/>
                <w:szCs w:val="14"/>
                <w:b w:val="1"/>
                <w:bCs w:val="1"/>
                <w:color w:val="auto"/>
              </w:rPr>
              <w:t>Test</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6"/>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International</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Education</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Preparation</w:t>
            </w:r>
          </w:p>
        </w:tc>
        <w:tc>
          <w:tcPr>
            <w:tcW w:w="14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Professional (U.S.)</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Total</w:t>
            </w:r>
          </w:p>
        </w:tc>
      </w:tr>
      <w:tr>
        <w:trPr>
          <w:trHeight w:val="250"/>
        </w:trPr>
        <w:tc>
          <w:tcPr>
            <w:tcW w:w="4100" w:type="dxa"/>
            <w:vAlign w:val="bottom"/>
          </w:tcPr>
          <w:p>
            <w:pPr>
              <w:ind w:left="40"/>
              <w:spacing w:after="0"/>
              <w:rPr>
                <w:sz w:val="20"/>
                <w:szCs w:val="20"/>
                <w:color w:val="auto"/>
              </w:rPr>
            </w:pPr>
            <w:r>
              <w:rPr>
                <w:rFonts w:ascii="Arial" w:cs="Arial" w:eastAsia="Arial" w:hAnsi="Arial"/>
                <w:sz w:val="16"/>
                <w:szCs w:val="16"/>
                <w:color w:val="auto"/>
              </w:rPr>
              <w:t>Balance as of December 31, 2018</w:t>
            </w: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100" w:type="dxa"/>
            <w:vAlign w:val="bottom"/>
          </w:tcPr>
          <w:p>
            <w:pPr>
              <w:ind w:left="280"/>
              <w:spacing w:after="0"/>
              <w:rPr>
                <w:sz w:val="20"/>
                <w:szCs w:val="20"/>
                <w:color w:val="auto"/>
              </w:rPr>
            </w:pPr>
            <w:r>
              <w:rPr>
                <w:rFonts w:ascii="Arial" w:cs="Arial" w:eastAsia="Arial" w:hAnsi="Arial"/>
                <w:sz w:val="16"/>
                <w:szCs w:val="16"/>
                <w:color w:val="auto"/>
              </w:rPr>
              <w:t>Goodwill</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81"/>
              <w:spacing w:after="0"/>
              <w:rPr>
                <w:sz w:val="20"/>
                <w:szCs w:val="20"/>
                <w:color w:val="auto"/>
              </w:rPr>
            </w:pPr>
            <w:r>
              <w:rPr>
                <w:rFonts w:ascii="Arial" w:cs="Arial" w:eastAsia="Arial" w:hAnsi="Arial"/>
                <w:sz w:val="16"/>
                <w:szCs w:val="16"/>
                <w:color w:val="auto"/>
              </w:rPr>
              <w:t>583,424</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81"/>
              <w:spacing w:after="0"/>
              <w:rPr>
                <w:sz w:val="20"/>
                <w:szCs w:val="20"/>
                <w:color w:val="auto"/>
              </w:rPr>
            </w:pPr>
            <w:r>
              <w:rPr>
                <w:rFonts w:ascii="Arial" w:cs="Arial" w:eastAsia="Arial" w:hAnsi="Arial"/>
                <w:sz w:val="16"/>
                <w:szCs w:val="16"/>
                <w:color w:val="auto"/>
              </w:rPr>
              <w:t>174,564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166,920</w:t>
            </w:r>
          </w:p>
        </w:tc>
        <w:tc>
          <w:tcPr>
            <w:tcW w:w="440" w:type="dxa"/>
            <w:vAlign w:val="bottom"/>
          </w:tcPr>
          <w:p>
            <w:pPr>
              <w:ind w:lef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203,791</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1,128,699</w:t>
            </w:r>
          </w:p>
        </w:tc>
      </w:tr>
      <w:tr>
        <w:trPr>
          <w:trHeight w:val="283"/>
        </w:trPr>
        <w:tc>
          <w:tcPr>
            <w:tcW w:w="4100" w:type="dxa"/>
            <w:vAlign w:val="bottom"/>
          </w:tcPr>
          <w:p>
            <w:pPr>
              <w:ind w:left="280"/>
              <w:spacing w:after="0"/>
              <w:rPr>
                <w:sz w:val="20"/>
                <w:szCs w:val="20"/>
                <w:color w:val="auto"/>
              </w:rPr>
            </w:pPr>
            <w:r>
              <w:rPr>
                <w:rFonts w:ascii="Arial" w:cs="Arial" w:eastAsia="Arial" w:hAnsi="Arial"/>
                <w:sz w:val="16"/>
                <w:szCs w:val="16"/>
                <w:color w:val="auto"/>
              </w:rPr>
              <w:t>Accumulated impairment losses</w:t>
            </w: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(111,324)</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(102,259)</w:t>
            </w: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(117,568)</w:t>
            </w: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(331,151)</w:t>
            </w:r>
          </w:p>
        </w:tc>
      </w:tr>
      <w:tr>
        <w:trPr>
          <w:trHeight w:val="251"/>
        </w:trPr>
        <w:tc>
          <w:tcPr>
            <w:tcW w:w="4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81"/>
              <w:spacing w:after="0"/>
              <w:rPr>
                <w:sz w:val="20"/>
                <w:szCs w:val="20"/>
                <w:color w:val="auto"/>
              </w:rPr>
            </w:pPr>
            <w:r>
              <w:rPr>
                <w:rFonts w:ascii="Arial" w:cs="Arial" w:eastAsia="Arial" w:hAnsi="Arial"/>
                <w:sz w:val="16"/>
                <w:szCs w:val="16"/>
                <w:color w:val="auto"/>
              </w:rPr>
              <w:t>583,424</w:t>
            </w:r>
          </w:p>
        </w:tc>
        <w:tc>
          <w:tcPr>
            <w:tcW w:w="300" w:type="dxa"/>
            <w:vAlign w:val="bottom"/>
          </w:tcPr>
          <w:p>
            <w:pPr>
              <w:spacing w:after="0"/>
              <w:rPr>
                <w:sz w:val="21"/>
                <w:szCs w:val="21"/>
                <w:color w:val="auto"/>
              </w:rPr>
            </w:pPr>
          </w:p>
        </w:tc>
        <w:tc>
          <w:tcPr>
            <w:tcW w:w="1180" w:type="dxa"/>
            <w:vAlign w:val="bottom"/>
          </w:tcPr>
          <w:p>
            <w:pPr>
              <w:jc w:val="right"/>
              <w:ind w:right="81"/>
              <w:spacing w:after="0"/>
              <w:rPr>
                <w:sz w:val="20"/>
                <w:szCs w:val="20"/>
                <w:color w:val="auto"/>
              </w:rPr>
            </w:pPr>
            <w:r>
              <w:rPr>
                <w:rFonts w:ascii="Arial" w:cs="Arial" w:eastAsia="Arial" w:hAnsi="Arial"/>
                <w:sz w:val="16"/>
                <w:szCs w:val="16"/>
                <w:color w:val="auto"/>
              </w:rPr>
              <w:t>63,240</w:t>
            </w:r>
          </w:p>
        </w:tc>
        <w:tc>
          <w:tcPr>
            <w:tcW w:w="260" w:type="dxa"/>
            <w:vAlign w:val="bottom"/>
          </w:tcPr>
          <w:p>
            <w:pPr>
              <w:spacing w:after="0"/>
              <w:rPr>
                <w:sz w:val="21"/>
                <w:szCs w:val="21"/>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64,661</w:t>
            </w:r>
          </w:p>
        </w:tc>
        <w:tc>
          <w:tcPr>
            <w:tcW w:w="440" w:type="dxa"/>
            <w:vAlign w:val="bottom"/>
          </w:tcPr>
          <w:p>
            <w:pPr>
              <w:spacing w:after="0"/>
              <w:rPr>
                <w:sz w:val="21"/>
                <w:szCs w:val="21"/>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86,223</w:t>
            </w:r>
          </w:p>
        </w:tc>
        <w:tc>
          <w:tcPr>
            <w:tcW w:w="38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797,548</w:t>
            </w:r>
          </w:p>
        </w:tc>
      </w:tr>
      <w:tr>
        <w:trPr>
          <w:trHeight w:val="283"/>
        </w:trPr>
        <w:tc>
          <w:tcPr>
            <w:tcW w:w="4100" w:type="dxa"/>
            <w:vAlign w:val="bottom"/>
          </w:tcPr>
          <w:p>
            <w:pPr>
              <w:ind w:left="40"/>
              <w:spacing w:after="0"/>
              <w:rPr>
                <w:sz w:val="20"/>
                <w:szCs w:val="20"/>
                <w:color w:val="auto"/>
              </w:rPr>
            </w:pPr>
            <w:r>
              <w:rPr>
                <w:rFonts w:ascii="Arial" w:cs="Arial" w:eastAsia="Arial" w:hAnsi="Arial"/>
                <w:sz w:val="16"/>
                <w:szCs w:val="16"/>
                <w:b w:val="1"/>
                <w:bCs w:val="1"/>
                <w:color w:val="auto"/>
              </w:rPr>
              <w:t>Foreign currency exchange rate changes</w:t>
            </w: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(1,182)</w:t>
            </w: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71</w:t>
            </w: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(1,111)</w:t>
            </w:r>
          </w:p>
        </w:tc>
      </w:tr>
      <w:tr>
        <w:trPr>
          <w:trHeight w:val="251"/>
        </w:trPr>
        <w:tc>
          <w:tcPr>
            <w:tcW w:w="4100" w:type="dxa"/>
            <w:vAlign w:val="bottom"/>
          </w:tcPr>
          <w:p>
            <w:pPr>
              <w:ind w:left="40"/>
              <w:spacing w:after="0"/>
              <w:rPr>
                <w:sz w:val="20"/>
                <w:szCs w:val="20"/>
                <w:color w:val="auto"/>
              </w:rPr>
            </w:pPr>
            <w:r>
              <w:rPr>
                <w:rFonts w:ascii="Arial" w:cs="Arial" w:eastAsia="Arial" w:hAnsi="Arial"/>
                <w:sz w:val="16"/>
                <w:szCs w:val="16"/>
                <w:b w:val="1"/>
                <w:bCs w:val="1"/>
                <w:color w:val="auto"/>
              </w:rPr>
              <w:t>Balance as of June 30, 2019</w:t>
            </w: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100" w:type="dxa"/>
            <w:vAlign w:val="bottom"/>
          </w:tcPr>
          <w:p>
            <w:pPr>
              <w:ind w:left="280"/>
              <w:spacing w:after="0"/>
              <w:rPr>
                <w:sz w:val="20"/>
                <w:szCs w:val="20"/>
                <w:color w:val="auto"/>
              </w:rPr>
            </w:pPr>
            <w:r>
              <w:rPr>
                <w:rFonts w:ascii="Arial" w:cs="Arial" w:eastAsia="Arial" w:hAnsi="Arial"/>
                <w:sz w:val="16"/>
                <w:szCs w:val="16"/>
                <w:b w:val="1"/>
                <w:bCs w:val="1"/>
                <w:color w:val="auto"/>
              </w:rPr>
              <w:t>Goodwill</w:t>
            </w:r>
          </w:p>
        </w:tc>
        <w:tc>
          <w:tcPr>
            <w:tcW w:w="180" w:type="dxa"/>
            <w:vAlign w:val="bottom"/>
          </w:tcPr>
          <w:p>
            <w:pPr>
              <w:spacing w:after="0"/>
              <w:rPr>
                <w:sz w:val="23"/>
                <w:szCs w:val="23"/>
                <w:color w:val="auto"/>
              </w:rPr>
            </w:pPr>
          </w:p>
        </w:tc>
        <w:tc>
          <w:tcPr>
            <w:tcW w:w="1240" w:type="dxa"/>
            <w:vAlign w:val="bottom"/>
          </w:tcPr>
          <w:p>
            <w:pPr>
              <w:jc w:val="right"/>
              <w:ind w:right="81"/>
              <w:spacing w:after="0"/>
              <w:rPr>
                <w:sz w:val="20"/>
                <w:szCs w:val="20"/>
                <w:color w:val="auto"/>
              </w:rPr>
            </w:pPr>
            <w:r>
              <w:rPr>
                <w:rFonts w:ascii="Arial" w:cs="Arial" w:eastAsia="Arial" w:hAnsi="Arial"/>
                <w:sz w:val="16"/>
                <w:szCs w:val="16"/>
                <w:b w:val="1"/>
                <w:bCs w:val="1"/>
                <w:color w:val="auto"/>
              </w:rPr>
              <w:t>582,242</w:t>
            </w:r>
          </w:p>
        </w:tc>
        <w:tc>
          <w:tcPr>
            <w:tcW w:w="300" w:type="dxa"/>
            <w:vAlign w:val="bottom"/>
          </w:tcPr>
          <w:p>
            <w:pPr>
              <w:spacing w:after="0"/>
              <w:rPr>
                <w:sz w:val="23"/>
                <w:szCs w:val="23"/>
                <w:color w:val="auto"/>
              </w:rPr>
            </w:pPr>
          </w:p>
        </w:tc>
        <w:tc>
          <w:tcPr>
            <w:tcW w:w="1180" w:type="dxa"/>
            <w:vAlign w:val="bottom"/>
          </w:tcPr>
          <w:p>
            <w:pPr>
              <w:jc w:val="right"/>
              <w:ind w:right="81"/>
              <w:spacing w:after="0"/>
              <w:rPr>
                <w:sz w:val="20"/>
                <w:szCs w:val="20"/>
                <w:color w:val="auto"/>
              </w:rPr>
            </w:pPr>
            <w:r>
              <w:rPr>
                <w:rFonts w:ascii="Arial" w:cs="Arial" w:eastAsia="Arial" w:hAnsi="Arial"/>
                <w:sz w:val="16"/>
                <w:szCs w:val="16"/>
                <w:b w:val="1"/>
                <w:bCs w:val="1"/>
                <w:color w:val="auto"/>
              </w:rPr>
              <w:t>174,564</w:t>
            </w:r>
          </w:p>
        </w:tc>
        <w:tc>
          <w:tcPr>
            <w:tcW w:w="26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b w:val="1"/>
                <w:bCs w:val="1"/>
                <w:color w:val="auto"/>
              </w:rPr>
              <w:t>166,920</w:t>
            </w:r>
          </w:p>
        </w:tc>
        <w:tc>
          <w:tcPr>
            <w:tcW w:w="44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203,862</w:t>
            </w:r>
          </w:p>
        </w:tc>
        <w:tc>
          <w:tcPr>
            <w:tcW w:w="38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1,127,588</w:t>
            </w:r>
          </w:p>
        </w:tc>
      </w:tr>
      <w:tr>
        <w:trPr>
          <w:trHeight w:val="283"/>
        </w:trPr>
        <w:tc>
          <w:tcPr>
            <w:tcW w:w="4100" w:type="dxa"/>
            <w:vAlign w:val="bottom"/>
          </w:tcPr>
          <w:p>
            <w:pPr>
              <w:ind w:left="280"/>
              <w:spacing w:after="0"/>
              <w:rPr>
                <w:sz w:val="20"/>
                <w:szCs w:val="20"/>
                <w:color w:val="auto"/>
              </w:rPr>
            </w:pPr>
            <w:r>
              <w:rPr>
                <w:rFonts w:ascii="Arial" w:cs="Arial" w:eastAsia="Arial" w:hAnsi="Arial"/>
                <w:sz w:val="16"/>
                <w:szCs w:val="16"/>
                <w:b w:val="1"/>
                <w:bCs w:val="1"/>
                <w:color w:val="auto"/>
              </w:rPr>
              <w:t>Accumulated impairment losses</w:t>
            </w: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(111,324)</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(102,259)</w:t>
            </w: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(117,568)</w:t>
            </w: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(331,151)</w:t>
            </w:r>
          </w:p>
        </w:tc>
      </w:tr>
      <w:tr>
        <w:trPr>
          <w:trHeight w:val="264"/>
        </w:trPr>
        <w:tc>
          <w:tcPr>
            <w:tcW w:w="4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582,242</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63,240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64,661</w:t>
            </w:r>
          </w:p>
        </w:tc>
        <w:tc>
          <w:tcPr>
            <w:tcW w:w="44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86,294</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796,437</w:t>
            </w:r>
          </w:p>
        </w:tc>
      </w:tr>
      <w:tr>
        <w:trPr>
          <w:trHeight w:val="20"/>
        </w:trPr>
        <w:tc>
          <w:tcPr>
            <w:tcW w:w="4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As of June 30, 2019</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As of December 31, 2018</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9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center"/>
              <w:ind w:right="101"/>
              <w:spacing w:after="0"/>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121"/>
              <w:spacing w:after="0"/>
              <w:rPr>
                <w:sz w:val="20"/>
                <w:szCs w:val="20"/>
                <w:color w:val="auto"/>
              </w:rPr>
            </w:pPr>
            <w:r>
              <w:rPr>
                <w:rFonts w:ascii="Arial" w:cs="Arial" w:eastAsia="Arial" w:hAnsi="Arial"/>
                <w:sz w:val="14"/>
                <w:szCs w:val="14"/>
                <w:color w:val="auto"/>
              </w:rPr>
              <w:t>Gross</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center"/>
              <w:ind w:right="142"/>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62"/>
        </w:trPr>
        <w:tc>
          <w:tcPr>
            <w:tcW w:w="2960" w:type="dxa"/>
            <w:vAlign w:val="bottom"/>
          </w:tcPr>
          <w:p>
            <w:pPr>
              <w:spacing w:after="0"/>
              <w:rPr>
                <w:sz w:val="14"/>
                <w:szCs w:val="14"/>
                <w:color w:val="auto"/>
              </w:rPr>
            </w:pPr>
          </w:p>
        </w:tc>
        <w:tc>
          <w:tcPr>
            <w:tcW w:w="1400" w:type="dxa"/>
            <w:vAlign w:val="bottom"/>
          </w:tcPr>
          <w:p>
            <w:pPr>
              <w:jc w:val="center"/>
              <w:ind w:right="21"/>
              <w:spacing w:after="0"/>
              <w:rPr>
                <w:sz w:val="20"/>
                <w:szCs w:val="20"/>
                <w:color w:val="auto"/>
              </w:rPr>
            </w:pPr>
            <w:r>
              <w:rPr>
                <w:rFonts w:ascii="Arial" w:cs="Arial" w:eastAsia="Arial" w:hAnsi="Arial"/>
                <w:sz w:val="14"/>
                <w:szCs w:val="14"/>
                <w:b w:val="1"/>
                <w:bCs w:val="1"/>
                <w:color w:val="auto"/>
              </w:rPr>
              <w:t>Useful Life</w:t>
            </w:r>
          </w:p>
        </w:tc>
        <w:tc>
          <w:tcPr>
            <w:tcW w:w="180" w:type="dxa"/>
            <w:vAlign w:val="bottom"/>
          </w:tcPr>
          <w:p>
            <w:pPr>
              <w:spacing w:after="0"/>
              <w:rPr>
                <w:sz w:val="14"/>
                <w:szCs w:val="14"/>
                <w:color w:val="auto"/>
              </w:rPr>
            </w:pPr>
          </w:p>
        </w:tc>
        <w:tc>
          <w:tcPr>
            <w:tcW w:w="880" w:type="dxa"/>
            <w:vAlign w:val="bottom"/>
          </w:tcPr>
          <w:p>
            <w:pPr>
              <w:jc w:val="center"/>
              <w:ind w:right="121"/>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4"/>
                <w:szCs w:val="14"/>
                <w:color w:val="auto"/>
              </w:rPr>
            </w:pPr>
          </w:p>
        </w:tc>
        <w:tc>
          <w:tcPr>
            <w:tcW w:w="1200" w:type="dxa"/>
            <w:vAlign w:val="bottom"/>
          </w:tcPr>
          <w:p>
            <w:pPr>
              <w:jc w:val="center"/>
              <w:ind w:right="141"/>
              <w:spacing w:after="0"/>
              <w:rPr>
                <w:sz w:val="20"/>
                <w:szCs w:val="20"/>
                <w:color w:val="auto"/>
              </w:rPr>
            </w:pPr>
            <w:r>
              <w:rPr>
                <w:rFonts w:ascii="Arial" w:cs="Arial" w:eastAsia="Arial" w:hAnsi="Arial"/>
                <w:sz w:val="14"/>
                <w:szCs w:val="14"/>
                <w:b w:val="1"/>
                <w:bCs w:val="1"/>
                <w:color w:val="auto"/>
              </w:rPr>
              <w:t>Accumulated</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Net Carrying</w:t>
            </w:r>
          </w:p>
        </w:tc>
        <w:tc>
          <w:tcPr>
            <w:tcW w:w="160" w:type="dxa"/>
            <w:vAlign w:val="bottom"/>
          </w:tcPr>
          <w:p>
            <w:pPr>
              <w:spacing w:after="0"/>
              <w:rPr>
                <w:sz w:val="14"/>
                <w:szCs w:val="14"/>
                <w:color w:val="auto"/>
              </w:rPr>
            </w:pPr>
          </w:p>
        </w:tc>
        <w:tc>
          <w:tcPr>
            <w:tcW w:w="860" w:type="dxa"/>
            <w:vAlign w:val="bottom"/>
          </w:tcPr>
          <w:p>
            <w:pPr>
              <w:jc w:val="center"/>
              <w:ind w:right="121"/>
              <w:spacing w:after="0"/>
              <w:rPr>
                <w:sz w:val="20"/>
                <w:szCs w:val="20"/>
                <w:color w:val="auto"/>
              </w:rPr>
            </w:pPr>
            <w:r>
              <w:rPr>
                <w:rFonts w:ascii="Arial" w:cs="Arial" w:eastAsia="Arial" w:hAnsi="Arial"/>
                <w:sz w:val="14"/>
                <w:szCs w:val="14"/>
                <w:color w:val="auto"/>
              </w:rPr>
              <w:t>Carrying</w:t>
            </w:r>
          </w:p>
        </w:tc>
        <w:tc>
          <w:tcPr>
            <w:tcW w:w="240" w:type="dxa"/>
            <w:vAlign w:val="bottom"/>
          </w:tcPr>
          <w:p>
            <w:pPr>
              <w:spacing w:after="0"/>
              <w:rPr>
                <w:sz w:val="14"/>
                <w:szCs w:val="14"/>
                <w:color w:val="auto"/>
              </w:rPr>
            </w:pPr>
          </w:p>
        </w:tc>
        <w:tc>
          <w:tcPr>
            <w:tcW w:w="1020" w:type="dxa"/>
            <w:vAlign w:val="bottom"/>
          </w:tcPr>
          <w:p>
            <w:pPr>
              <w:jc w:val="right"/>
              <w:ind w:right="101"/>
              <w:spacing w:after="0"/>
              <w:rPr>
                <w:sz w:val="20"/>
                <w:szCs w:val="20"/>
                <w:color w:val="auto"/>
              </w:rPr>
            </w:pPr>
            <w:r>
              <w:rPr>
                <w:rFonts w:ascii="Arial" w:cs="Arial" w:eastAsia="Arial" w:hAnsi="Arial"/>
                <w:sz w:val="14"/>
                <w:szCs w:val="14"/>
                <w:color w:val="auto"/>
              </w:rPr>
              <w:t>Accumulated</w:t>
            </w:r>
          </w:p>
        </w:tc>
        <w:tc>
          <w:tcPr>
            <w:tcW w:w="280" w:type="dxa"/>
            <w:vAlign w:val="bottom"/>
          </w:tcPr>
          <w:p>
            <w:pPr>
              <w:spacing w:after="0"/>
              <w:rPr>
                <w:sz w:val="14"/>
                <w:szCs w:val="14"/>
                <w:color w:val="auto"/>
              </w:rPr>
            </w:pPr>
          </w:p>
        </w:tc>
        <w:tc>
          <w:tcPr>
            <w:tcW w:w="840" w:type="dxa"/>
            <w:vAlign w:val="bottom"/>
          </w:tcPr>
          <w:p>
            <w:pPr>
              <w:jc w:val="center"/>
              <w:ind w:right="142"/>
              <w:spacing w:after="0"/>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196"/>
        </w:trPr>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4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Range</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Amount</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color w:val="auto"/>
              </w:rPr>
              <w:t>Amortization</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50"/>
        </w:trPr>
        <w:tc>
          <w:tcPr>
            <w:tcW w:w="2960" w:type="dxa"/>
            <w:vAlign w:val="bottom"/>
          </w:tcPr>
          <w:p>
            <w:pPr>
              <w:ind w:left="40"/>
              <w:spacing w:after="0"/>
              <w:rPr>
                <w:sz w:val="20"/>
                <w:szCs w:val="20"/>
                <w:color w:val="auto"/>
              </w:rPr>
            </w:pPr>
            <w:r>
              <w:rPr>
                <w:rFonts w:ascii="Arial" w:cs="Arial" w:eastAsia="Arial" w:hAnsi="Arial"/>
                <w:sz w:val="16"/>
                <w:szCs w:val="16"/>
                <w:b w:val="1"/>
                <w:bCs w:val="1"/>
                <w:color w:val="auto"/>
              </w:rPr>
              <w:t>Amortized Intangible Assets</w:t>
            </w:r>
          </w:p>
        </w:tc>
        <w:tc>
          <w:tcPr>
            <w:tcW w:w="1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960" w:type="dxa"/>
            <w:vAlign w:val="bottom"/>
          </w:tcPr>
          <w:p>
            <w:pPr>
              <w:ind w:left="180"/>
              <w:spacing w:after="0"/>
              <w:rPr>
                <w:sz w:val="20"/>
                <w:szCs w:val="20"/>
                <w:color w:val="auto"/>
              </w:rPr>
            </w:pPr>
            <w:r>
              <w:rPr>
                <w:rFonts w:ascii="Arial" w:cs="Arial" w:eastAsia="Arial" w:hAnsi="Arial"/>
                <w:sz w:val="16"/>
                <w:szCs w:val="16"/>
                <w:color w:val="auto"/>
              </w:rPr>
              <w:t>Student and customer relationships</w:t>
            </w:r>
          </w:p>
        </w:tc>
        <w:tc>
          <w:tcPr>
            <w:tcW w:w="1400" w:type="dxa"/>
            <w:vAlign w:val="bottom"/>
          </w:tcPr>
          <w:p>
            <w:pPr>
              <w:jc w:val="center"/>
              <w:ind w:right="21"/>
              <w:spacing w:after="0"/>
              <w:rPr>
                <w:sz w:val="20"/>
                <w:szCs w:val="20"/>
                <w:color w:val="auto"/>
              </w:rPr>
            </w:pPr>
            <w:r>
              <w:rPr>
                <w:rFonts w:ascii="Arial" w:cs="Arial" w:eastAsia="Arial" w:hAnsi="Arial"/>
                <w:sz w:val="16"/>
                <w:szCs w:val="16"/>
                <w:b w:val="1"/>
                <w:bCs w:val="1"/>
                <w:color w:val="auto"/>
              </w:rPr>
              <w:t>2–10 years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282,879</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121"/>
              <w:spacing w:after="0"/>
              <w:rPr>
                <w:sz w:val="20"/>
                <w:szCs w:val="20"/>
                <w:color w:val="auto"/>
              </w:rPr>
            </w:pPr>
            <w:r>
              <w:rPr>
                <w:rFonts w:ascii="Arial" w:cs="Arial" w:eastAsia="Arial" w:hAnsi="Arial"/>
                <w:sz w:val="16"/>
                <w:szCs w:val="16"/>
                <w:b w:val="1"/>
                <w:bCs w:val="1"/>
                <w:color w:val="auto"/>
              </w:rPr>
              <w:t>131,101</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140"/>
              <w:spacing w:after="0"/>
              <w:rPr>
                <w:sz w:val="20"/>
                <w:szCs w:val="20"/>
                <w:color w:val="auto"/>
              </w:rPr>
            </w:pPr>
            <w:r>
              <w:rPr>
                <w:rFonts w:ascii="Arial" w:cs="Arial" w:eastAsia="Arial" w:hAnsi="Arial"/>
                <w:sz w:val="16"/>
                <w:szCs w:val="16"/>
                <w:b w:val="1"/>
                <w:bCs w:val="1"/>
                <w:color w:val="auto"/>
              </w:rPr>
              <w:t>151,778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282,761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114,429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168,332</w:t>
            </w:r>
          </w:p>
        </w:tc>
        <w:tc>
          <w:tcPr>
            <w:tcW w:w="0" w:type="dxa"/>
            <w:vAlign w:val="bottom"/>
          </w:tcPr>
          <w:p>
            <w:pPr>
              <w:spacing w:after="0"/>
              <w:rPr>
                <w:sz w:val="1"/>
                <w:szCs w:val="1"/>
                <w:color w:val="auto"/>
              </w:rPr>
            </w:pPr>
          </w:p>
        </w:tc>
      </w:tr>
      <w:tr>
        <w:trPr>
          <w:trHeight w:val="270"/>
        </w:trPr>
        <w:tc>
          <w:tcPr>
            <w:tcW w:w="2960" w:type="dxa"/>
            <w:vAlign w:val="bottom"/>
          </w:tcPr>
          <w:p>
            <w:pPr>
              <w:ind w:left="180"/>
              <w:spacing w:after="0"/>
              <w:rPr>
                <w:sz w:val="20"/>
                <w:szCs w:val="20"/>
                <w:color w:val="auto"/>
              </w:rPr>
            </w:pPr>
            <w:r>
              <w:rPr>
                <w:rFonts w:ascii="Arial" w:cs="Arial" w:eastAsia="Arial" w:hAnsi="Arial"/>
                <w:sz w:val="16"/>
                <w:szCs w:val="16"/>
                <w:color w:val="auto"/>
              </w:rPr>
              <w:t>Trade names and trademarks</w:t>
            </w:r>
          </w:p>
        </w:tc>
        <w:tc>
          <w:tcPr>
            <w:tcW w:w="1400" w:type="dxa"/>
            <w:vAlign w:val="bottom"/>
          </w:tcPr>
          <w:p>
            <w:pPr>
              <w:jc w:val="center"/>
              <w:ind w:right="21"/>
              <w:spacing w:after="0"/>
              <w:rPr>
                <w:sz w:val="20"/>
                <w:szCs w:val="20"/>
                <w:color w:val="auto"/>
              </w:rPr>
            </w:pPr>
            <w:r>
              <w:rPr>
                <w:rFonts w:ascii="Arial" w:cs="Arial" w:eastAsia="Arial" w:hAnsi="Arial"/>
                <w:sz w:val="16"/>
                <w:szCs w:val="16"/>
                <w:b w:val="1"/>
                <w:bCs w:val="1"/>
                <w:color w:val="auto"/>
              </w:rPr>
              <w:t>2–10 years</w:t>
            </w: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87,308</w:t>
            </w:r>
          </w:p>
        </w:tc>
        <w:tc>
          <w:tcPr>
            <w:tcW w:w="240" w:type="dxa"/>
            <w:vAlign w:val="bottom"/>
          </w:tcPr>
          <w:p>
            <w:pPr>
              <w:spacing w:after="0"/>
              <w:rPr>
                <w:sz w:val="23"/>
                <w:szCs w:val="23"/>
                <w:color w:val="auto"/>
              </w:rPr>
            </w:pPr>
          </w:p>
        </w:tc>
        <w:tc>
          <w:tcPr>
            <w:tcW w:w="1200" w:type="dxa"/>
            <w:vAlign w:val="bottom"/>
          </w:tcPr>
          <w:p>
            <w:pPr>
              <w:jc w:val="right"/>
              <w:ind w:right="121"/>
              <w:spacing w:after="0"/>
              <w:rPr>
                <w:sz w:val="20"/>
                <w:szCs w:val="20"/>
                <w:color w:val="auto"/>
              </w:rPr>
            </w:pPr>
            <w:r>
              <w:rPr>
                <w:rFonts w:ascii="Arial" w:cs="Arial" w:eastAsia="Arial" w:hAnsi="Arial"/>
                <w:sz w:val="16"/>
                <w:szCs w:val="16"/>
                <w:b w:val="1"/>
                <w:bCs w:val="1"/>
                <w:color w:val="auto"/>
              </w:rPr>
              <w:t>44,113</w:t>
            </w:r>
          </w:p>
        </w:tc>
        <w:tc>
          <w:tcPr>
            <w:tcW w:w="200" w:type="dxa"/>
            <w:vAlign w:val="bottom"/>
          </w:tcPr>
          <w:p>
            <w:pPr>
              <w:spacing w:after="0"/>
              <w:rPr>
                <w:sz w:val="23"/>
                <w:szCs w:val="23"/>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b w:val="1"/>
                <w:bCs w:val="1"/>
                <w:color w:val="auto"/>
              </w:rPr>
              <w:t>43,195</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87,285</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39,825</w:t>
            </w:r>
          </w:p>
        </w:tc>
        <w:tc>
          <w:tcPr>
            <w:tcW w:w="280" w:type="dxa"/>
            <w:vAlign w:val="bottom"/>
          </w:tcPr>
          <w:p>
            <w:pPr>
              <w:spacing w:after="0"/>
              <w:rPr>
                <w:sz w:val="23"/>
                <w:szCs w:val="23"/>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47,460</w:t>
            </w:r>
          </w:p>
        </w:tc>
        <w:tc>
          <w:tcPr>
            <w:tcW w:w="0" w:type="dxa"/>
            <w:vAlign w:val="bottom"/>
          </w:tcPr>
          <w:p>
            <w:pPr>
              <w:spacing w:after="0"/>
              <w:rPr>
                <w:sz w:val="1"/>
                <w:szCs w:val="1"/>
                <w:color w:val="auto"/>
              </w:rPr>
            </w:pPr>
          </w:p>
        </w:tc>
      </w:tr>
      <w:tr>
        <w:trPr>
          <w:trHeight w:val="270"/>
        </w:trPr>
        <w:tc>
          <w:tcPr>
            <w:tcW w:w="2960" w:type="dxa"/>
            <w:vAlign w:val="bottom"/>
          </w:tcPr>
          <w:p>
            <w:pPr>
              <w:ind w:left="180"/>
              <w:spacing w:after="0"/>
              <w:rPr>
                <w:sz w:val="20"/>
                <w:szCs w:val="20"/>
                <w:color w:val="auto"/>
              </w:rPr>
            </w:pPr>
            <w:r>
              <w:rPr>
                <w:rFonts w:ascii="Arial" w:cs="Arial" w:eastAsia="Arial" w:hAnsi="Arial"/>
                <w:sz w:val="16"/>
                <w:szCs w:val="16"/>
                <w:color w:val="auto"/>
              </w:rPr>
              <w:t>Network affiliation agreements</w:t>
            </w:r>
          </w:p>
        </w:tc>
        <w:tc>
          <w:tcPr>
            <w:tcW w:w="1400" w:type="dxa"/>
            <w:vAlign w:val="bottom"/>
          </w:tcPr>
          <w:p>
            <w:pPr>
              <w:jc w:val="center"/>
              <w:ind w:right="21"/>
              <w:spacing w:after="0"/>
              <w:rPr>
                <w:sz w:val="20"/>
                <w:szCs w:val="20"/>
                <w:color w:val="auto"/>
              </w:rPr>
            </w:pPr>
            <w:r>
              <w:rPr>
                <w:rFonts w:ascii="Arial" w:cs="Arial" w:eastAsia="Arial" w:hAnsi="Arial"/>
                <w:sz w:val="16"/>
                <w:szCs w:val="16"/>
                <w:b w:val="1"/>
                <w:bCs w:val="1"/>
                <w:color w:val="auto"/>
              </w:rPr>
              <w:t>10 years</w:t>
            </w: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17,400</w:t>
            </w:r>
          </w:p>
        </w:tc>
        <w:tc>
          <w:tcPr>
            <w:tcW w:w="240" w:type="dxa"/>
            <w:vAlign w:val="bottom"/>
          </w:tcPr>
          <w:p>
            <w:pPr>
              <w:spacing w:after="0"/>
              <w:rPr>
                <w:sz w:val="23"/>
                <w:szCs w:val="23"/>
                <w:color w:val="auto"/>
              </w:rPr>
            </w:pPr>
          </w:p>
        </w:tc>
        <w:tc>
          <w:tcPr>
            <w:tcW w:w="1200" w:type="dxa"/>
            <w:vAlign w:val="bottom"/>
          </w:tcPr>
          <w:p>
            <w:pPr>
              <w:jc w:val="right"/>
              <w:ind w:right="121"/>
              <w:spacing w:after="0"/>
              <w:rPr>
                <w:sz w:val="20"/>
                <w:szCs w:val="20"/>
                <w:color w:val="auto"/>
              </w:rPr>
            </w:pPr>
            <w:r>
              <w:rPr>
                <w:rFonts w:ascii="Arial" w:cs="Arial" w:eastAsia="Arial" w:hAnsi="Arial"/>
                <w:sz w:val="16"/>
                <w:szCs w:val="16"/>
                <w:b w:val="1"/>
                <w:bCs w:val="1"/>
                <w:color w:val="auto"/>
              </w:rPr>
              <w:t>4,277</w:t>
            </w:r>
          </w:p>
        </w:tc>
        <w:tc>
          <w:tcPr>
            <w:tcW w:w="200" w:type="dxa"/>
            <w:vAlign w:val="bottom"/>
          </w:tcPr>
          <w:p>
            <w:pPr>
              <w:spacing w:after="0"/>
              <w:rPr>
                <w:sz w:val="23"/>
                <w:szCs w:val="23"/>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b w:val="1"/>
                <w:bCs w:val="1"/>
                <w:color w:val="auto"/>
              </w:rPr>
              <w:t>13,123</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17,400</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3,408</w:t>
            </w:r>
          </w:p>
        </w:tc>
        <w:tc>
          <w:tcPr>
            <w:tcW w:w="280" w:type="dxa"/>
            <w:vAlign w:val="bottom"/>
          </w:tcPr>
          <w:p>
            <w:pPr>
              <w:spacing w:after="0"/>
              <w:rPr>
                <w:sz w:val="23"/>
                <w:szCs w:val="23"/>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13,992</w:t>
            </w:r>
          </w:p>
        </w:tc>
        <w:tc>
          <w:tcPr>
            <w:tcW w:w="0" w:type="dxa"/>
            <w:vAlign w:val="bottom"/>
          </w:tcPr>
          <w:p>
            <w:pPr>
              <w:spacing w:after="0"/>
              <w:rPr>
                <w:sz w:val="1"/>
                <w:szCs w:val="1"/>
                <w:color w:val="auto"/>
              </w:rPr>
            </w:pPr>
          </w:p>
        </w:tc>
      </w:tr>
      <w:tr>
        <w:trPr>
          <w:trHeight w:val="270"/>
        </w:trPr>
        <w:tc>
          <w:tcPr>
            <w:tcW w:w="2960" w:type="dxa"/>
            <w:vAlign w:val="bottom"/>
          </w:tcPr>
          <w:p>
            <w:pPr>
              <w:ind w:left="180"/>
              <w:spacing w:after="0"/>
              <w:rPr>
                <w:sz w:val="20"/>
                <w:szCs w:val="20"/>
                <w:color w:val="auto"/>
              </w:rPr>
            </w:pPr>
            <w:r>
              <w:rPr>
                <w:rFonts w:ascii="Arial" w:cs="Arial" w:eastAsia="Arial" w:hAnsi="Arial"/>
                <w:sz w:val="16"/>
                <w:szCs w:val="16"/>
                <w:color w:val="auto"/>
              </w:rPr>
              <w:t>Databases and technology</w:t>
            </w:r>
          </w:p>
        </w:tc>
        <w:tc>
          <w:tcPr>
            <w:tcW w:w="1400" w:type="dxa"/>
            <w:vAlign w:val="bottom"/>
          </w:tcPr>
          <w:p>
            <w:pPr>
              <w:jc w:val="center"/>
              <w:ind w:right="21"/>
              <w:spacing w:after="0"/>
              <w:rPr>
                <w:sz w:val="20"/>
                <w:szCs w:val="20"/>
                <w:color w:val="auto"/>
              </w:rPr>
            </w:pPr>
            <w:r>
              <w:rPr>
                <w:rFonts w:ascii="Arial" w:cs="Arial" w:eastAsia="Arial" w:hAnsi="Arial"/>
                <w:sz w:val="16"/>
                <w:szCs w:val="16"/>
                <w:b w:val="1"/>
                <w:bCs w:val="1"/>
                <w:color w:val="auto"/>
              </w:rPr>
              <w:t>3–6 years</w:t>
            </w: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27,020</w:t>
            </w:r>
          </w:p>
        </w:tc>
        <w:tc>
          <w:tcPr>
            <w:tcW w:w="240" w:type="dxa"/>
            <w:vAlign w:val="bottom"/>
          </w:tcPr>
          <w:p>
            <w:pPr>
              <w:spacing w:after="0"/>
              <w:rPr>
                <w:sz w:val="23"/>
                <w:szCs w:val="23"/>
                <w:color w:val="auto"/>
              </w:rPr>
            </w:pPr>
          </w:p>
        </w:tc>
        <w:tc>
          <w:tcPr>
            <w:tcW w:w="1200" w:type="dxa"/>
            <w:vAlign w:val="bottom"/>
          </w:tcPr>
          <w:p>
            <w:pPr>
              <w:jc w:val="right"/>
              <w:ind w:right="121"/>
              <w:spacing w:after="0"/>
              <w:rPr>
                <w:sz w:val="20"/>
                <w:szCs w:val="20"/>
                <w:color w:val="auto"/>
              </w:rPr>
            </w:pPr>
            <w:r>
              <w:rPr>
                <w:rFonts w:ascii="Arial" w:cs="Arial" w:eastAsia="Arial" w:hAnsi="Arial"/>
                <w:sz w:val="16"/>
                <w:szCs w:val="16"/>
                <w:b w:val="1"/>
                <w:bCs w:val="1"/>
                <w:color w:val="auto"/>
              </w:rPr>
              <w:t>10,902</w:t>
            </w:r>
          </w:p>
        </w:tc>
        <w:tc>
          <w:tcPr>
            <w:tcW w:w="200" w:type="dxa"/>
            <w:vAlign w:val="bottom"/>
          </w:tcPr>
          <w:p>
            <w:pPr>
              <w:spacing w:after="0"/>
              <w:rPr>
                <w:sz w:val="23"/>
                <w:szCs w:val="23"/>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b w:val="1"/>
                <w:bCs w:val="1"/>
                <w:color w:val="auto"/>
              </w:rPr>
              <w:t>16,118</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27,041</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8,471</w:t>
            </w:r>
          </w:p>
        </w:tc>
        <w:tc>
          <w:tcPr>
            <w:tcW w:w="280" w:type="dxa"/>
            <w:vAlign w:val="bottom"/>
          </w:tcPr>
          <w:p>
            <w:pPr>
              <w:spacing w:after="0"/>
              <w:rPr>
                <w:sz w:val="23"/>
                <w:szCs w:val="23"/>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18,570</w:t>
            </w:r>
          </w:p>
        </w:tc>
        <w:tc>
          <w:tcPr>
            <w:tcW w:w="0" w:type="dxa"/>
            <w:vAlign w:val="bottom"/>
          </w:tcPr>
          <w:p>
            <w:pPr>
              <w:spacing w:after="0"/>
              <w:rPr>
                <w:sz w:val="1"/>
                <w:szCs w:val="1"/>
                <w:color w:val="auto"/>
              </w:rPr>
            </w:pPr>
          </w:p>
        </w:tc>
      </w:tr>
      <w:tr>
        <w:trPr>
          <w:trHeight w:val="270"/>
        </w:trPr>
        <w:tc>
          <w:tcPr>
            <w:tcW w:w="2960" w:type="dxa"/>
            <w:vAlign w:val="bottom"/>
          </w:tcPr>
          <w:p>
            <w:pPr>
              <w:ind w:left="180"/>
              <w:spacing w:after="0"/>
              <w:rPr>
                <w:sz w:val="20"/>
                <w:szCs w:val="20"/>
                <w:color w:val="auto"/>
              </w:rPr>
            </w:pPr>
            <w:r>
              <w:rPr>
                <w:rFonts w:ascii="Arial" w:cs="Arial" w:eastAsia="Arial" w:hAnsi="Arial"/>
                <w:sz w:val="16"/>
                <w:szCs w:val="16"/>
                <w:color w:val="auto"/>
              </w:rPr>
              <w:t>Noncompete agreements</w:t>
            </w:r>
          </w:p>
        </w:tc>
        <w:tc>
          <w:tcPr>
            <w:tcW w:w="1400" w:type="dxa"/>
            <w:vAlign w:val="bottom"/>
          </w:tcPr>
          <w:p>
            <w:pPr>
              <w:jc w:val="center"/>
              <w:ind w:right="21"/>
              <w:spacing w:after="0"/>
              <w:rPr>
                <w:sz w:val="20"/>
                <w:szCs w:val="20"/>
                <w:color w:val="auto"/>
              </w:rPr>
            </w:pPr>
            <w:r>
              <w:rPr>
                <w:rFonts w:ascii="Arial" w:cs="Arial" w:eastAsia="Arial" w:hAnsi="Arial"/>
                <w:sz w:val="16"/>
                <w:szCs w:val="16"/>
                <w:b w:val="1"/>
                <w:bCs w:val="1"/>
                <w:color w:val="auto"/>
              </w:rPr>
              <w:t>2–5 years</w:t>
            </w: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1,358</w:t>
            </w:r>
          </w:p>
        </w:tc>
        <w:tc>
          <w:tcPr>
            <w:tcW w:w="240" w:type="dxa"/>
            <w:vAlign w:val="bottom"/>
          </w:tcPr>
          <w:p>
            <w:pPr>
              <w:spacing w:after="0"/>
              <w:rPr>
                <w:sz w:val="23"/>
                <w:szCs w:val="23"/>
                <w:color w:val="auto"/>
              </w:rPr>
            </w:pPr>
          </w:p>
        </w:tc>
        <w:tc>
          <w:tcPr>
            <w:tcW w:w="1200" w:type="dxa"/>
            <w:vAlign w:val="bottom"/>
          </w:tcPr>
          <w:p>
            <w:pPr>
              <w:jc w:val="right"/>
              <w:ind w:right="121"/>
              <w:spacing w:after="0"/>
              <w:rPr>
                <w:sz w:val="20"/>
                <w:szCs w:val="20"/>
                <w:color w:val="auto"/>
              </w:rPr>
            </w:pPr>
            <w:r>
              <w:rPr>
                <w:rFonts w:ascii="Arial" w:cs="Arial" w:eastAsia="Arial" w:hAnsi="Arial"/>
                <w:sz w:val="16"/>
                <w:szCs w:val="16"/>
                <w:b w:val="1"/>
                <w:bCs w:val="1"/>
                <w:color w:val="auto"/>
              </w:rPr>
              <w:t>897</w:t>
            </w:r>
          </w:p>
        </w:tc>
        <w:tc>
          <w:tcPr>
            <w:tcW w:w="200" w:type="dxa"/>
            <w:vAlign w:val="bottom"/>
          </w:tcPr>
          <w:p>
            <w:pPr>
              <w:spacing w:after="0"/>
              <w:rPr>
                <w:sz w:val="23"/>
                <w:szCs w:val="23"/>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b w:val="1"/>
                <w:bCs w:val="1"/>
                <w:color w:val="auto"/>
              </w:rPr>
              <w:t>461</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1,088</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838</w:t>
            </w:r>
          </w:p>
        </w:tc>
        <w:tc>
          <w:tcPr>
            <w:tcW w:w="280" w:type="dxa"/>
            <w:vAlign w:val="bottom"/>
          </w:tcPr>
          <w:p>
            <w:pPr>
              <w:spacing w:after="0"/>
              <w:rPr>
                <w:sz w:val="23"/>
                <w:szCs w:val="23"/>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83"/>
        </w:trPr>
        <w:tc>
          <w:tcPr>
            <w:tcW w:w="2960" w:type="dxa"/>
            <w:vAlign w:val="bottom"/>
          </w:tcPr>
          <w:p>
            <w:pPr>
              <w:ind w:left="180"/>
              <w:spacing w:after="0"/>
              <w:rPr>
                <w:sz w:val="20"/>
                <w:szCs w:val="20"/>
                <w:color w:val="auto"/>
              </w:rPr>
            </w:pPr>
            <w:r>
              <w:rPr>
                <w:rFonts w:ascii="Arial" w:cs="Arial" w:eastAsia="Arial" w:hAnsi="Arial"/>
                <w:sz w:val="16"/>
                <w:szCs w:val="16"/>
                <w:color w:val="auto"/>
              </w:rPr>
              <w:t>Other</w:t>
            </w:r>
          </w:p>
        </w:tc>
        <w:tc>
          <w:tcPr>
            <w:tcW w:w="1400" w:type="dxa"/>
            <w:vAlign w:val="bottom"/>
          </w:tcPr>
          <w:p>
            <w:pPr>
              <w:jc w:val="center"/>
              <w:ind w:right="21"/>
              <w:spacing w:after="0"/>
              <w:rPr>
                <w:sz w:val="20"/>
                <w:szCs w:val="20"/>
                <w:color w:val="auto"/>
              </w:rPr>
            </w:pPr>
            <w:r>
              <w:rPr>
                <w:rFonts w:ascii="Arial" w:cs="Arial" w:eastAsia="Arial" w:hAnsi="Arial"/>
                <w:sz w:val="16"/>
                <w:szCs w:val="16"/>
                <w:b w:val="1"/>
                <w:bCs w:val="1"/>
                <w:color w:val="auto"/>
              </w:rPr>
              <w:t>1–8 years</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24,530</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11,530</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13,000</w:t>
            </w: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24,530</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9,873</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14,657</w:t>
            </w:r>
          </w:p>
        </w:tc>
        <w:tc>
          <w:tcPr>
            <w:tcW w:w="0" w:type="dxa"/>
            <w:vAlign w:val="bottom"/>
          </w:tcPr>
          <w:p>
            <w:pPr>
              <w:spacing w:after="0"/>
              <w:rPr>
                <w:sz w:val="1"/>
                <w:szCs w:val="1"/>
                <w:color w:val="auto"/>
              </w:rPr>
            </w:pPr>
          </w:p>
        </w:tc>
      </w:tr>
      <w:tr>
        <w:trPr>
          <w:trHeight w:val="264"/>
        </w:trPr>
        <w:tc>
          <w:tcPr>
            <w:tcW w:w="29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440,495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202,820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237,675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440,105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176,844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263,261</w:t>
            </w:r>
          </w:p>
        </w:tc>
        <w:tc>
          <w:tcPr>
            <w:tcW w:w="0" w:type="dxa"/>
            <w:vAlign w:val="bottom"/>
          </w:tcPr>
          <w:p>
            <w:pPr>
              <w:spacing w:after="0"/>
              <w:rPr>
                <w:sz w:val="1"/>
                <w:szCs w:val="1"/>
                <w:color w:val="auto"/>
              </w:rPr>
            </w:pPr>
          </w:p>
        </w:tc>
      </w:tr>
      <w:tr>
        <w:trPr>
          <w:trHeight w:val="20"/>
        </w:trPr>
        <w:tc>
          <w:tcPr>
            <w:tcW w:w="29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Indefinite-Lived Intangible Assets</w:t>
            </w:r>
          </w:p>
        </w:tc>
        <w:tc>
          <w:tcPr>
            <w:tcW w:w="1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960" w:type="dxa"/>
            <w:vAlign w:val="bottom"/>
            <w:vMerge w:val="continue"/>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960" w:type="dxa"/>
            <w:vAlign w:val="bottom"/>
          </w:tcPr>
          <w:p>
            <w:pPr>
              <w:ind w:left="180"/>
              <w:spacing w:after="0"/>
              <w:rPr>
                <w:sz w:val="20"/>
                <w:szCs w:val="20"/>
                <w:color w:val="auto"/>
              </w:rPr>
            </w:pPr>
            <w:r>
              <w:rPr>
                <w:rFonts w:ascii="Arial" w:cs="Arial" w:eastAsia="Arial" w:hAnsi="Arial"/>
                <w:sz w:val="16"/>
                <w:szCs w:val="16"/>
                <w:color w:val="auto"/>
              </w:rPr>
              <w:t>Trade names and trademarks</w:t>
            </w:r>
          </w:p>
        </w:tc>
        <w:tc>
          <w:tcPr>
            <w:tcW w:w="14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80,036</w:t>
            </w: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80,102</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960" w:type="dxa"/>
            <w:vAlign w:val="bottom"/>
          </w:tcPr>
          <w:p>
            <w:pPr>
              <w:ind w:left="180"/>
              <w:spacing w:after="0"/>
              <w:rPr>
                <w:sz w:val="20"/>
                <w:szCs w:val="20"/>
                <w:color w:val="auto"/>
              </w:rPr>
            </w:pPr>
            <w:r>
              <w:rPr>
                <w:rFonts w:ascii="Arial" w:cs="Arial" w:eastAsia="Arial" w:hAnsi="Arial"/>
                <w:sz w:val="16"/>
                <w:szCs w:val="16"/>
                <w:color w:val="auto"/>
              </w:rPr>
              <w:t>Franchise agreements</w:t>
            </w:r>
          </w:p>
        </w:tc>
        <w:tc>
          <w:tcPr>
            <w:tcW w:w="1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28,000</w:t>
            </w: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960" w:type="dxa"/>
            <w:vAlign w:val="bottom"/>
          </w:tcPr>
          <w:p>
            <w:pPr>
              <w:ind w:left="180"/>
              <w:spacing w:after="0"/>
              <w:rPr>
                <w:sz w:val="20"/>
                <w:szCs w:val="20"/>
                <w:color w:val="auto"/>
              </w:rPr>
            </w:pPr>
            <w:r>
              <w:rPr>
                <w:rFonts w:ascii="Arial" w:cs="Arial" w:eastAsia="Arial" w:hAnsi="Arial"/>
                <w:sz w:val="16"/>
                <w:szCs w:val="16"/>
                <w:color w:val="auto"/>
              </w:rPr>
              <w:t>FCC licenses</w:t>
            </w:r>
          </w:p>
        </w:tc>
        <w:tc>
          <w:tcPr>
            <w:tcW w:w="1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18,800</w:t>
            </w: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18,800</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2960" w:type="dxa"/>
            <w:vAlign w:val="bottom"/>
          </w:tcPr>
          <w:p>
            <w:pPr>
              <w:ind w:left="180"/>
              <w:spacing w:after="0"/>
              <w:rPr>
                <w:sz w:val="20"/>
                <w:szCs w:val="20"/>
                <w:color w:val="auto"/>
              </w:rPr>
            </w:pPr>
            <w:r>
              <w:rPr>
                <w:rFonts w:ascii="Arial" w:cs="Arial" w:eastAsia="Arial" w:hAnsi="Arial"/>
                <w:sz w:val="16"/>
                <w:szCs w:val="16"/>
                <w:color w:val="auto"/>
              </w:rPr>
              <w:t>Licensure and accreditation</w:t>
            </w:r>
          </w:p>
        </w:tc>
        <w:tc>
          <w:tcPr>
            <w:tcW w:w="14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150</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150</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9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126,986</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99,052</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consist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r>
      <w:tr>
        <w:trPr>
          <w:trHeight w:val="337"/>
        </w:trPr>
        <w:tc>
          <w:tcPr>
            <w:tcW w:w="8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382"/>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24"/>
                <w:szCs w:val="24"/>
                <w:color w:val="auto"/>
              </w:rPr>
            </w:pPr>
          </w:p>
        </w:tc>
        <w:tc>
          <w:tcPr>
            <w:tcW w:w="1200" w:type="dxa"/>
            <w:vAlign w:val="bottom"/>
          </w:tcPr>
          <w:p>
            <w:pPr>
              <w:jc w:val="right"/>
              <w:ind w:right="160"/>
              <w:spacing w:after="0"/>
              <w:rPr>
                <w:sz w:val="20"/>
                <w:szCs w:val="20"/>
                <w:color w:val="auto"/>
              </w:rPr>
            </w:pPr>
            <w:r>
              <w:rPr>
                <w:rFonts w:ascii="Arial" w:cs="Arial" w:eastAsia="Arial" w:hAnsi="Arial"/>
                <w:sz w:val="14"/>
                <w:szCs w:val="14"/>
                <w:color w:val="auto"/>
              </w:rPr>
              <w:t>December 31,</w:t>
            </w:r>
          </w:p>
        </w:tc>
      </w:tr>
      <w:tr>
        <w:trPr>
          <w:trHeight w:val="196"/>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2018</w:t>
            </w:r>
          </w:p>
        </w:tc>
      </w:tr>
      <w:tr>
        <w:trPr>
          <w:trHeight w:val="306"/>
        </w:trPr>
        <w:tc>
          <w:tcPr>
            <w:tcW w:w="8580" w:type="dxa"/>
            <w:vAlign w:val="bottom"/>
          </w:tcPr>
          <w:p>
            <w:pPr>
              <w:ind w:left="40"/>
              <w:spacing w:after="0"/>
              <w:rPr>
                <w:sz w:val="20"/>
                <w:szCs w:val="20"/>
                <w:color w:val="auto"/>
              </w:rPr>
            </w:pPr>
            <w:r>
              <w:rPr>
                <w:rFonts w:ascii="Arial" w:cs="Arial" w:eastAsia="Arial" w:hAnsi="Arial"/>
                <w:sz w:val="16"/>
                <w:szCs w:val="16"/>
                <w:color w:val="auto"/>
              </w:rPr>
              <w:t xml:space="preserve">5.75% unsecured notes due June 1, 2026 </w:t>
            </w:r>
            <w:r>
              <w:rPr>
                <w:rFonts w:ascii="Arial" w:cs="Arial" w:eastAsia="Arial" w:hAnsi="Arial"/>
                <w:sz w:val="21"/>
                <w:szCs w:val="21"/>
                <w:color w:val="auto"/>
                <w:vertAlign w:val="superscript"/>
              </w:rPr>
              <w:t>(1)</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ind w:right="62"/>
              <w:spacing w:after="0"/>
              <w:rPr>
                <w:sz w:val="20"/>
                <w:szCs w:val="20"/>
                <w:color w:val="auto"/>
              </w:rPr>
            </w:pPr>
            <w:r>
              <w:rPr>
                <w:rFonts w:ascii="Arial" w:cs="Arial" w:eastAsia="Arial" w:hAnsi="Arial"/>
                <w:sz w:val="16"/>
                <w:szCs w:val="16"/>
                <w:b w:val="1"/>
                <w:bCs w:val="1"/>
                <w:color w:val="auto"/>
              </w:rPr>
              <w:t>395,031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394,675</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 xml:space="preserve">U.K. Credit facility </w:t>
            </w:r>
            <w:r>
              <w:rPr>
                <w:rFonts w:ascii="Arial" w:cs="Arial" w:eastAsia="Arial" w:hAnsi="Arial"/>
                <w:sz w:val="21"/>
                <w:szCs w:val="21"/>
                <w:color w:val="auto"/>
                <w:vertAlign w:val="superscript"/>
              </w:rPr>
              <w:t>(2)</w:t>
            </w:r>
          </w:p>
        </w:tc>
        <w:tc>
          <w:tcPr>
            <w:tcW w:w="240" w:type="dxa"/>
            <w:vAlign w:val="bottom"/>
          </w:tcPr>
          <w:p>
            <w:pPr>
              <w:spacing w:after="0"/>
              <w:rPr>
                <w:sz w:val="23"/>
                <w:szCs w:val="23"/>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b w:val="1"/>
                <w:bCs w:val="1"/>
                <w:color w:val="auto"/>
              </w:rPr>
              <w:t>82,324</w:t>
            </w:r>
          </w:p>
        </w:tc>
        <w:tc>
          <w:tcPr>
            <w:tcW w:w="240" w:type="dxa"/>
            <w:vAlign w:val="bottom"/>
          </w:tcPr>
          <w:p>
            <w:pPr>
              <w:spacing w:after="0"/>
              <w:rPr>
                <w:sz w:val="23"/>
                <w:szCs w:val="23"/>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82,366</w:t>
            </w:r>
          </w:p>
        </w:tc>
      </w:tr>
      <w:tr>
        <w:trPr>
          <w:trHeight w:val="221"/>
        </w:trPr>
        <w:tc>
          <w:tcPr>
            <w:tcW w:w="8580" w:type="dxa"/>
            <w:vAlign w:val="bottom"/>
          </w:tcPr>
          <w:p>
            <w:pPr>
              <w:ind w:left="40"/>
              <w:spacing w:after="0"/>
              <w:rPr>
                <w:sz w:val="20"/>
                <w:szCs w:val="20"/>
                <w:color w:val="auto"/>
              </w:rPr>
            </w:pPr>
            <w:r>
              <w:rPr>
                <w:rFonts w:ascii="Arial" w:cs="Arial" w:eastAsia="Arial" w:hAnsi="Arial"/>
                <w:sz w:val="16"/>
                <w:szCs w:val="16"/>
                <w:color w:val="auto"/>
              </w:rPr>
              <w:t>Commerical note</w:t>
            </w:r>
          </w:p>
        </w:tc>
        <w:tc>
          <w:tcPr>
            <w:tcW w:w="240" w:type="dxa"/>
            <w:vAlign w:val="bottom"/>
          </w:tcPr>
          <w:p>
            <w:pPr>
              <w:spacing w:after="0"/>
              <w:rPr>
                <w:sz w:val="19"/>
                <w:szCs w:val="19"/>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b w:val="1"/>
                <w:bCs w:val="1"/>
                <w:color w:val="auto"/>
              </w:rPr>
              <w:t>29,000</w:t>
            </w:r>
          </w:p>
        </w:tc>
        <w:tc>
          <w:tcPr>
            <w:tcW w:w="240" w:type="dxa"/>
            <w:vAlign w:val="bottom"/>
          </w:tcPr>
          <w:p>
            <w:pPr>
              <w:spacing w:after="0"/>
              <w:rPr>
                <w:sz w:val="19"/>
                <w:szCs w:val="19"/>
                <w:color w:val="auto"/>
              </w:rPr>
            </w:pPr>
          </w:p>
        </w:tc>
        <w:tc>
          <w:tcPr>
            <w:tcW w:w="1200" w:type="dxa"/>
            <w:vAlign w:val="bottom"/>
          </w:tcPr>
          <w:p>
            <w:pPr>
              <w:jc w:val="right"/>
              <w:ind w:right="20"/>
              <w:spacing w:after="0"/>
              <w:rPr>
                <w:sz w:val="20"/>
                <w:szCs w:val="20"/>
                <w:color w:val="auto"/>
              </w:rPr>
            </w:pPr>
            <w:r>
              <w:rPr>
                <w:rFonts w:ascii="Arial" w:cs="Arial" w:eastAsia="Arial" w:hAnsi="Arial"/>
                <w:sz w:val="18"/>
                <w:szCs w:val="18"/>
                <w:color w:val="auto"/>
              </w:rPr>
              <w:t>—</w:t>
            </w:r>
          </w:p>
        </w:tc>
      </w:tr>
      <w:tr>
        <w:trPr>
          <w:trHeight w:val="277"/>
        </w:trPr>
        <w:tc>
          <w:tcPr>
            <w:tcW w:w="8580" w:type="dxa"/>
            <w:vAlign w:val="bottom"/>
          </w:tcPr>
          <w:p>
            <w:pPr>
              <w:ind w:left="40"/>
              <w:spacing w:after="0"/>
              <w:rPr>
                <w:sz w:val="20"/>
                <w:szCs w:val="20"/>
                <w:color w:val="auto"/>
              </w:rPr>
            </w:pPr>
            <w:r>
              <w:rPr>
                <w:rFonts w:ascii="Arial" w:cs="Arial" w:eastAsia="Arial" w:hAnsi="Arial"/>
                <w:sz w:val="16"/>
                <w:szCs w:val="16"/>
                <w:color w:val="auto"/>
              </w:rPr>
              <w:t>Other indebtedness</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90</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96</w:t>
            </w:r>
          </w:p>
        </w:tc>
      </w:tr>
      <w:tr>
        <w:trPr>
          <w:trHeight w:val="251"/>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Total Debt</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ind w:right="62"/>
              <w:spacing w:after="0"/>
              <w:rPr>
                <w:sz w:val="20"/>
                <w:szCs w:val="20"/>
                <w:color w:val="auto"/>
              </w:rPr>
            </w:pPr>
            <w:r>
              <w:rPr>
                <w:rFonts w:ascii="Arial" w:cs="Arial" w:eastAsia="Arial" w:hAnsi="Arial"/>
                <w:sz w:val="16"/>
                <w:szCs w:val="16"/>
                <w:b w:val="1"/>
                <w:bCs w:val="1"/>
                <w:color w:val="auto"/>
              </w:rPr>
              <w:t>506,445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477,137</w:t>
            </w: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color w:val="auto"/>
              </w:rPr>
              <w:t>Less: current portion</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(9,351)</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(6,360)</w:t>
            </w:r>
          </w:p>
        </w:tc>
      </w:tr>
      <w:tr>
        <w:trPr>
          <w:trHeight w:val="26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Total Long-Term Debt</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497,094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470,777</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___________</w:t>
      </w:r>
      <w:r>
        <w:rPr>
          <w:rFonts w:ascii="Arial" w:cs="Arial" w:eastAsia="Arial" w:hAnsi="Arial"/>
          <w:sz w:val="10"/>
          <w:szCs w:val="10"/>
          <w:color w:val="auto"/>
        </w:rPr>
        <w:t>_</w:t>
      </w:r>
    </w:p>
    <w:p>
      <w:pPr>
        <w:spacing w:after="0" w:line="217" w:lineRule="exact"/>
        <w:rPr>
          <w:sz w:val="20"/>
          <w:szCs w:val="20"/>
          <w:color w:val="auto"/>
        </w:rPr>
      </w:pPr>
    </w:p>
    <w:p>
      <w:pPr>
        <w:ind w:left="420" w:hanging="412"/>
        <w:spacing w:after="0"/>
        <w:tabs>
          <w:tab w:leader="none" w:pos="4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carrying value is net of $5.0 million and $5.3 million of unamortized debt issuance costs as of June 30, 2019 and December 31, 2018, respectively.</w:t>
      </w:r>
    </w:p>
    <w:p>
      <w:pPr>
        <w:spacing w:after="0" w:line="41" w:lineRule="exact"/>
        <w:rPr>
          <w:rFonts w:ascii="Arial" w:cs="Arial" w:eastAsia="Arial" w:hAnsi="Arial"/>
          <w:sz w:val="14"/>
          <w:szCs w:val="14"/>
          <w:color w:val="auto"/>
        </w:rPr>
      </w:pPr>
    </w:p>
    <w:p>
      <w:pPr>
        <w:ind w:left="420" w:hanging="412"/>
        <w:spacing w:after="0"/>
        <w:tabs>
          <w:tab w:leader="none" w:pos="4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carrying value is net of $0.2 million of unamortized debt issuance costs as of June 30, 2019 and December 31, 2018,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Company’s other indebtedness at June 30, 2019 and December 31, 2018 is at an interest rate of 2% and matures in 2026.</w:t>
      </w:r>
    </w:p>
    <w:p>
      <w:pPr>
        <w:spacing w:after="0" w:line="144"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On January 31, 2019, the Company’s automotive subsidiary entered into a Commercial Note with SunTrust Bank in an aggregate principal amount of $30 million. The Commercial Note is payable over a 10 year period in monthly installments of $0.25 million, plus accrued and unpaid interest, due on the first of each month, with a final payment on January 31, 2029. The Commercial Note bears interest at LIBOR plus an applicable interest rate of 1.75% or 2% per annum, in each case determined on a quarterly basis based upon the automotive subsidiary’s Adjusted Leverage Ratio. The Commercial Note contains terms and conditions, including remedies in the event of a default</w:t>
      </w:r>
    </w:p>
    <w:p>
      <w:pPr>
        <w:sectPr>
          <w:pgSz w:w="11900" w:h="16838" w:orient="portrait"/>
          <w:cols w:equalWidth="0" w:num="1">
            <w:col w:w="11420"/>
          </w:cols>
          <w:pgMar w:left="240" w:top="719" w:right="239" w:bottom="165"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719" w:right="239" w:bottom="165" w:gutter="0" w:footer="0" w:header="0"/>
          <w:type w:val="continuous"/>
        </w:sectPr>
      </w:pPr>
    </w:p>
    <w:bookmarkStart w:id="16" w:name="page17"/>
    <w:bookmarkEnd w:id="16"/>
    <w:p>
      <w:pPr>
        <w:ind w:right="20"/>
        <w:spacing w:after="0" w:line="236" w:lineRule="auto"/>
        <w:rPr>
          <w:sz w:val="20"/>
          <w:szCs w:val="20"/>
          <w:color w:val="auto"/>
        </w:rPr>
      </w:pPr>
      <w:r>
        <w:rPr>
          <w:rFonts w:ascii="Arial" w:cs="Arial" w:eastAsia="Arial" w:hAnsi="Arial"/>
          <w:sz w:val="17"/>
          <w:szCs w:val="17"/>
          <w:color w:val="auto"/>
        </w:rPr>
        <w:t>by the automotive subsidiary. On the same date, the Company’s automotive subsidiary entered into an interest rate swap agreement with a total notional value of $ 30 million and a maturity date of January 31, 2029. The interest rate swap agreement will pay the automotive subsidiary variable interest on the $30 million notional amount at the one-month LIBOR, and the automotive subsidiary will pay counterparties a fixed rate of 2.7%, effectively resulting in a total fixed interest rate of 4.7% on the outstanding borrowings at the current applicable margin of 2.0%. The interest rate swap agreement was entered into to convert the variable rate borrowing under the Commercial Note into a fixed rate borrowing. Based on the terms of the interest rate swap agreement and the underlying borrowing, the interest rate swap was determined to be effective and thus qualifies as a cash flow hedge. As such, changes in the fair value of the interest rate swap are recorded in other comprehensive income on the accompanying Condensed Consolidated Balance Sheets until earnings are affected by the variability of cash flows.</w:t>
      </w:r>
    </w:p>
    <w:p>
      <w:pPr>
        <w:spacing w:after="0" w:line="137"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On May 30, 2018, the Company issued $400 million senior unsecured fixed-rate notes due June 1, 2026 (the Notes). The Notes are guaranteed, jointly and severally, on a senior unsecured basis, by certain of the Company’s existing and future domestic subsidiaries, as described in the terms of the indenture, dated as of May 30, 2018 (the Indenture). The Notes have a coupon rate of 5.75% per annum, payable semi-annually on June 1 and December 1. The Company may redeem the Notes in whole or in part at any time at the respective redemption prices described in the Indenture.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On June 29, 2018, the Company used the net proceeds from the sale of the Notes, together with cash on hand, to redeem the $400 million of</w:t>
      </w:r>
    </w:p>
    <w:p>
      <w:pPr>
        <w:spacing w:after="0" w:line="219" w:lineRule="auto"/>
        <w:rPr>
          <w:sz w:val="20"/>
          <w:szCs w:val="20"/>
          <w:color w:val="auto"/>
        </w:rPr>
      </w:pPr>
      <w:r>
        <w:rPr>
          <w:rFonts w:ascii="Arial" w:cs="Arial" w:eastAsia="Arial" w:hAnsi="Arial"/>
          <w:sz w:val="18"/>
          <w:szCs w:val="18"/>
          <w:color w:val="auto"/>
        </w:rPr>
        <w:t>7.25% notes due February 1, 2019. The Company incurred $11.4 million in debt extinguishment costs in relation to the early termination of the</w:t>
      </w:r>
    </w:p>
    <w:p>
      <w:pPr>
        <w:spacing w:after="0"/>
        <w:rPr>
          <w:sz w:val="20"/>
          <w:szCs w:val="20"/>
          <w:color w:val="auto"/>
        </w:rPr>
      </w:pPr>
      <w:r>
        <w:rPr>
          <w:rFonts w:ascii="Arial" w:cs="Arial" w:eastAsia="Arial" w:hAnsi="Arial"/>
          <w:sz w:val="18"/>
          <w:szCs w:val="18"/>
          <w:color w:val="auto"/>
        </w:rPr>
        <w:t>7.25% notes.</w:t>
      </w:r>
    </w:p>
    <w:p>
      <w:pPr>
        <w:spacing w:after="0" w:line="144" w:lineRule="exact"/>
        <w:rPr>
          <w:sz w:val="20"/>
          <w:szCs w:val="20"/>
          <w:color w:val="auto"/>
        </w:rPr>
      </w:pPr>
    </w:p>
    <w:p>
      <w:pPr>
        <w:ind w:right="40"/>
        <w:spacing w:after="0" w:line="221" w:lineRule="auto"/>
        <w:rPr>
          <w:sz w:val="20"/>
          <w:szCs w:val="20"/>
          <w:color w:val="auto"/>
        </w:rPr>
      </w:pPr>
      <w:r>
        <w:rPr>
          <w:rFonts w:ascii="Arial" w:cs="Arial" w:eastAsia="Arial" w:hAnsi="Arial"/>
          <w:sz w:val="18"/>
          <w:szCs w:val="18"/>
          <w:color w:val="auto"/>
        </w:rPr>
        <w:t>In combination with the issuance of the Notes, the Company and certain of the Company’s domestic subsidiaries named therein as guarantors entered into an amended and restated credit agreement providing for a U.S. $300 million five-year revolving credit facility (the Revolving Credit Facility) with each of the lenders party thereto, certain of the Company’s foreign subsidiaries from time to time party thereto as foreign borrowers, Wells Fargo Bank, N.A., as Administrative Agent (Wells Fargo), JPMorgan Chase Bank, N.A., as Syndication Agent, and HSBC Bank USA, N.A. and Bank of America, N.A. as Documentation Agents (the Amended and Restated Credit Agreement), which amends and restates the Company’s existing Five Year Credit Agreement, dated as of June 29, 2015, among the Company, certain of its domestic subsidiaries as guarantors, the several lenders from time to time party thereto, Wells Fargo Bank, N.A., as Administrative Agent and JPMorgan Chase Bank, N.A., as Syndication Agent (the Existing Credit Agreement). The Amended and Restated Credit Agreement amends the Existing Credit Agreement to (i) extend the maturity of the Revolving Credit Facility to May 30, 2023, unless the Company and the lenders agree to further extend the term, (ii) increase the aggregate principal amount of the Revolving Credit Facility to U.S. $300 million, consisting of a U.S. Dollar tranche of U.S. $200 million for borrowings in U.S. Dollars and a multicurrency tranche equivalent to U.S. $100 million for borrowings in U.S. Dollars and certain foreign currencies, (iii) provide for borrowings under the Revolving Credit Facility in U.S. Dollars and certain other foreign currencies specified in the Amended and Restated Credit Agreement, (iv) permit certain foreign subsidiaries of the Company to be added to the Amended and Restated Credit Agreement as foreign borrowers thereunder and (v) effect certain other modifications to the Existing Credit Agreement.</w:t>
      </w:r>
    </w:p>
    <w:p>
      <w:pPr>
        <w:spacing w:after="0" w:line="139"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Under the Amended and Restated Credit Agreement, the Company is required to pay a commitment fee on a quarterly basis, based on the Company’s leverage ratio, of between 0.15% and 0.25% of the amount of the average daily unused portion of the Revolving Credit Facility. Any borrowings under the Amended and Restated Credit Agreement are made on an unsecured basis and bear interest at the Company’s option, either at (a) a fluctuating interest rate equal to the highest of Wells Fargo’s prime rate, 0.5 percent above the Federal funds rate or the one-month Eurodollar rate plus 1%, or (b) the Eurodollar rate for the applicable currency and interest period as defined in the Amended and Restated Credit Agreement, which is generally a periodic rate equal to LIBOR, CDOR, BBSY or SOR, as applicable, in the case of each of clauses (a) and (b) plus an applicable margin that depends on the Company’s consolidated debt to consolidated adjusted EBITDA (as determined pursuant to the Amended and Restated Credit Agreement, Total Net Leverage Ratio). The Company and its foreign subsidiaries may draw on the Revolving Credit Facility for general corporate purposes. Any outstanding borrowings must be repaid on or prior to the final termination date. The Amended and Restated Credit Agreement contains terms and conditions, including remedies in the event of a default by the Company, typical of facilities of this type and requires the Company to maintain a Total Net Leverage Ratio of not greater than 3.5 to 1.0 and a consolidated interest coverage ratio of at least 3.5 to 1.0 based upon the ratio of consolidated adjusted EBITDA to consolidated interest expense as determined pursuant to the Amended and Restated Credit Agreement. The Company is in compliance with all financial covenants as of June 30, 2019.</w:t>
      </w:r>
    </w:p>
    <w:p>
      <w:pPr>
        <w:spacing w:after="0" w:line="141"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During the three months ended June 30, 2019 and 2018, the Company had average borrowings outstanding of approximately $507.7 million and $591.7 million, respectively, at average annual interest rates of approximately 5.1% and 5.8%, respectively. During the three months ended June 30, 2019 and 2018, the Company incurred net interest expense of $6.8 million and $15.3 million, respectively.</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719" w:right="259" w:bottom="1440" w:gutter="0" w:footer="0" w:header="0"/>
        </w:sectPr>
      </w:pPr>
    </w:p>
    <w:bookmarkStart w:id="17" w:name="page18"/>
    <w:bookmarkEnd w:id="17"/>
    <w:p>
      <w:pPr>
        <w:ind w:right="120"/>
        <w:spacing w:after="0" w:line="229" w:lineRule="auto"/>
        <w:rPr>
          <w:sz w:val="20"/>
          <w:szCs w:val="20"/>
          <w:color w:val="auto"/>
        </w:rPr>
      </w:pPr>
      <w:r>
        <w:rPr>
          <w:rFonts w:ascii="Arial" w:cs="Arial" w:eastAsia="Arial" w:hAnsi="Arial"/>
          <w:sz w:val="18"/>
          <w:szCs w:val="18"/>
          <w:color w:val="auto"/>
        </w:rPr>
        <w:t>During the six months ended June 30, 2019 and 2018, the Company had average borrowings outstanding of approximately $499.8 million and $550.7 million, respectively, at average annual interest rates of approximately 5.1% and 6.0%, respectively. During the six months ended June 30, 2019 and 2018, the Company incurred net interest expense of $12.5 million and $22.0 million, respectively.</w:t>
      </w:r>
    </w:p>
    <w:p>
      <w:pPr>
        <w:spacing w:after="0" w:line="137"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In June 2018, the Company incurred $6.2 million of interest expense related to the mandatorily redeemable noncontrolling interest redemption settlement at GHG (see note 2). The fair value of the mandatorily redeemable noncontrolling interest is based on the redemption value resulting from a negotiated settlement.</w:t>
      </w:r>
    </w:p>
    <w:p>
      <w:pPr>
        <w:spacing w:after="0" w:line="137"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At June 30, 2019, the fair value of the Company’s 5.75% unsecured notes, based on quoted market prices (Level 2 fair value assessment), totaled $423.0 million, compared with the carrying amount of $395.0 million. At December 31, 2018, the fair value of the Company’s 5.75% unsecured notes, based on quoted market prices (Level 2 fair value assessment), totaled $406.7 million, compared with the carrying amount of $394.7 million. The carrying value of the Company’s other unsecured debt at June 30, 2019 and December 31, 2018 approximates fair value.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As of June 30, 2019</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260"/>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6"/>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 xml:space="preserve">Money market investments </w:t>
            </w:r>
            <w:r>
              <w:rPr>
                <w:rFonts w:ascii="Arial" w:cs="Arial" w:eastAsia="Arial" w:hAnsi="Arial"/>
                <w:sz w:val="21"/>
                <w:szCs w:val="21"/>
                <w:b w:val="1"/>
                <w:bCs w:val="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60"/>
              <w:spacing w:after="0"/>
              <w:rPr>
                <w:sz w:val="20"/>
                <w:szCs w:val="20"/>
                <w:color w:val="auto"/>
              </w:rPr>
            </w:pPr>
            <w:r>
              <w:rPr>
                <w:rFonts w:ascii="Arial" w:cs="Arial" w:eastAsia="Arial" w:hAnsi="Arial"/>
                <w:sz w:val="16"/>
                <w:szCs w:val="16"/>
                <w:b w:val="1"/>
                <w:bCs w:val="1"/>
                <w:color w:val="auto"/>
              </w:rPr>
              <w:t>71,000</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71,000</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 xml:space="preserve">Marketable equity securities </w:t>
            </w:r>
            <w:r>
              <w:rPr>
                <w:rFonts w:ascii="Arial" w:cs="Arial" w:eastAsia="Arial" w:hAnsi="Arial"/>
                <w:sz w:val="21"/>
                <w:szCs w:val="21"/>
                <w:b w:val="1"/>
                <w:bCs w:val="1"/>
                <w:color w:val="auto"/>
                <w:vertAlign w:val="superscript"/>
              </w:rPr>
              <w:t>(2)</w:t>
            </w:r>
          </w:p>
        </w:tc>
        <w:tc>
          <w:tcPr>
            <w:tcW w:w="2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518,099</w:t>
            </w:r>
          </w:p>
        </w:tc>
        <w:tc>
          <w:tcPr>
            <w:tcW w:w="380" w:type="dxa"/>
            <w:vAlign w:val="bottom"/>
          </w:tcPr>
          <w:p>
            <w:pPr>
              <w:spacing w:after="0"/>
              <w:rPr>
                <w:sz w:val="23"/>
                <w:szCs w:val="23"/>
                <w:color w:val="auto"/>
              </w:rPr>
            </w:pPr>
          </w:p>
        </w:tc>
        <w:tc>
          <w:tcPr>
            <w:tcW w:w="1040" w:type="dxa"/>
            <w:vAlign w:val="bottom"/>
          </w:tcPr>
          <w:p>
            <w:pPr>
              <w:jc w:val="right"/>
              <w:ind w:right="1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518,099</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 xml:space="preserve">Other current investments </w:t>
            </w:r>
            <w:r>
              <w:rPr>
                <w:rFonts w:ascii="Arial" w:cs="Arial" w:eastAsia="Arial" w:hAnsi="Arial"/>
                <w:sz w:val="21"/>
                <w:szCs w:val="21"/>
                <w:b w:val="1"/>
                <w:bCs w:val="1"/>
                <w:color w:val="auto"/>
                <w:vertAlign w:val="superscript"/>
              </w:rPr>
              <w:t>(3)</w:t>
            </w:r>
          </w:p>
        </w:tc>
        <w:tc>
          <w:tcPr>
            <w:tcW w:w="2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11,738</w:t>
            </w:r>
          </w:p>
        </w:tc>
        <w:tc>
          <w:tcPr>
            <w:tcW w:w="380" w:type="dxa"/>
            <w:vAlign w:val="bottom"/>
          </w:tcPr>
          <w:p>
            <w:pPr>
              <w:spacing w:after="0"/>
              <w:rPr>
                <w:sz w:val="23"/>
                <w:szCs w:val="23"/>
                <w:color w:val="auto"/>
              </w:rPr>
            </w:pPr>
          </w:p>
        </w:tc>
        <w:tc>
          <w:tcPr>
            <w:tcW w:w="1040" w:type="dxa"/>
            <w:vAlign w:val="bottom"/>
          </w:tcPr>
          <w:p>
            <w:pPr>
              <w:jc w:val="right"/>
              <w:ind w:right="160"/>
              <w:spacing w:after="0"/>
              <w:rPr>
                <w:sz w:val="20"/>
                <w:szCs w:val="20"/>
                <w:color w:val="auto"/>
              </w:rPr>
            </w:pPr>
            <w:r>
              <w:rPr>
                <w:rFonts w:ascii="Arial" w:cs="Arial" w:eastAsia="Arial" w:hAnsi="Arial"/>
                <w:sz w:val="16"/>
                <w:szCs w:val="16"/>
                <w:b w:val="1"/>
                <w:bCs w:val="1"/>
                <w:color w:val="auto"/>
              </w:rPr>
              <w:t>7,038</w:t>
            </w:r>
          </w:p>
        </w:tc>
        <w:tc>
          <w:tcPr>
            <w:tcW w:w="2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18,776</w:t>
            </w:r>
          </w:p>
        </w:tc>
        <w:tc>
          <w:tcPr>
            <w:tcW w:w="0" w:type="dxa"/>
            <w:vAlign w:val="bottom"/>
          </w:tcPr>
          <w:p>
            <w:pPr>
              <w:spacing w:after="0"/>
              <w:rPr>
                <w:sz w:val="1"/>
                <w:szCs w:val="1"/>
                <w:color w:val="auto"/>
              </w:rPr>
            </w:pPr>
          </w:p>
        </w:tc>
      </w:tr>
      <w:tr>
        <w:trPr>
          <w:trHeight w:val="234"/>
        </w:trPr>
        <w:tc>
          <w:tcPr>
            <w:tcW w:w="7780" w:type="dxa"/>
            <w:vAlign w:val="bottom"/>
          </w:tcPr>
          <w:p>
            <w:pPr>
              <w:ind w:left="40"/>
              <w:spacing w:after="0" w:line="234" w:lineRule="exact"/>
              <w:rPr>
                <w:sz w:val="20"/>
                <w:szCs w:val="20"/>
                <w:color w:val="auto"/>
              </w:rPr>
            </w:pPr>
            <w:r>
              <w:rPr>
                <w:rFonts w:ascii="Arial" w:cs="Arial" w:eastAsia="Arial" w:hAnsi="Arial"/>
                <w:sz w:val="16"/>
                <w:szCs w:val="16"/>
                <w:b w:val="1"/>
                <w:bCs w:val="1"/>
                <w:color w:val="auto"/>
              </w:rPr>
              <w:t xml:space="preserve">Interest rate swap </w:t>
            </w:r>
            <w:r>
              <w:rPr>
                <w:rFonts w:ascii="Arial" w:cs="Arial" w:eastAsia="Arial" w:hAnsi="Arial"/>
                <w:sz w:val="21"/>
                <w:szCs w:val="21"/>
                <w:b w:val="1"/>
                <w:bCs w:val="1"/>
                <w:color w:val="auto"/>
                <w:vertAlign w:val="superscript"/>
              </w:rPr>
              <w:t>(4)</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262</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262</w:t>
            </w:r>
          </w:p>
        </w:tc>
        <w:tc>
          <w:tcPr>
            <w:tcW w:w="0" w:type="dxa"/>
            <w:vAlign w:val="bottom"/>
          </w:tcPr>
          <w:p>
            <w:pPr>
              <w:spacing w:after="0"/>
              <w:rPr>
                <w:sz w:val="1"/>
                <w:szCs w:val="1"/>
                <w:color w:val="auto"/>
              </w:rPr>
            </w:pPr>
          </w:p>
        </w:tc>
      </w:tr>
      <w:tr>
        <w:trPr>
          <w:trHeight w:val="258"/>
        </w:trPr>
        <w:tc>
          <w:tcPr>
            <w:tcW w:w="7780" w:type="dxa"/>
            <w:vAlign w:val="bottom"/>
          </w:tcPr>
          <w:p>
            <w:pPr>
              <w:ind w:left="28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529,837</w:t>
            </w:r>
          </w:p>
        </w:tc>
        <w:tc>
          <w:tcPr>
            <w:tcW w:w="3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78,300</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608,137</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6"/>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 xml:space="preserve">Deferred compensation plan liabilities </w:t>
            </w:r>
            <w:r>
              <w:rPr>
                <w:rFonts w:ascii="Arial" w:cs="Arial" w:eastAsia="Arial" w:hAnsi="Arial"/>
                <w:sz w:val="21"/>
                <w:szCs w:val="21"/>
                <w:b w:val="1"/>
                <w:bCs w:val="1"/>
                <w:color w:val="auto"/>
                <w:vertAlign w:val="superscript"/>
              </w:rPr>
              <w:t>(5)</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60"/>
              <w:spacing w:after="0"/>
              <w:rPr>
                <w:sz w:val="20"/>
                <w:szCs w:val="20"/>
                <w:color w:val="auto"/>
              </w:rPr>
            </w:pPr>
            <w:r>
              <w:rPr>
                <w:rFonts w:ascii="Arial" w:cs="Arial" w:eastAsia="Arial" w:hAnsi="Arial"/>
                <w:sz w:val="16"/>
                <w:szCs w:val="16"/>
                <w:b w:val="1"/>
                <w:bCs w:val="1"/>
                <w:color w:val="auto"/>
              </w:rPr>
              <w:t>32,901</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32,901</w:t>
            </w:r>
          </w:p>
        </w:tc>
        <w:tc>
          <w:tcPr>
            <w:tcW w:w="0" w:type="dxa"/>
            <w:vAlign w:val="bottom"/>
          </w:tcPr>
          <w:p>
            <w:pPr>
              <w:spacing w:after="0"/>
              <w:rPr>
                <w:sz w:val="1"/>
                <w:szCs w:val="1"/>
                <w:color w:val="auto"/>
              </w:rPr>
            </w:pPr>
          </w:p>
        </w:tc>
      </w:tr>
      <w:tr>
        <w:trPr>
          <w:trHeight w:val="234"/>
        </w:trPr>
        <w:tc>
          <w:tcPr>
            <w:tcW w:w="7780" w:type="dxa"/>
            <w:vAlign w:val="bottom"/>
          </w:tcPr>
          <w:p>
            <w:pPr>
              <w:ind w:left="40"/>
              <w:spacing w:after="0" w:line="234" w:lineRule="exact"/>
              <w:rPr>
                <w:sz w:val="20"/>
                <w:szCs w:val="20"/>
                <w:color w:val="auto"/>
              </w:rPr>
            </w:pPr>
            <w:r>
              <w:rPr>
                <w:rFonts w:ascii="Arial" w:cs="Arial" w:eastAsia="Arial" w:hAnsi="Arial"/>
                <w:sz w:val="16"/>
                <w:szCs w:val="16"/>
                <w:b w:val="1"/>
                <w:bCs w:val="1"/>
                <w:color w:val="auto"/>
              </w:rPr>
              <w:t xml:space="preserve">Interest rate swap </w:t>
            </w:r>
            <w:r>
              <w:rPr>
                <w:rFonts w:ascii="Arial" w:cs="Arial" w:eastAsia="Arial" w:hAnsi="Arial"/>
                <w:sz w:val="21"/>
                <w:szCs w:val="21"/>
                <w:b w:val="1"/>
                <w:bCs w:val="1"/>
                <w:color w:val="auto"/>
                <w:vertAlign w:val="superscript"/>
              </w:rPr>
              <w:t>(6)</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324</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324</w:t>
            </w:r>
          </w:p>
        </w:tc>
        <w:tc>
          <w:tcPr>
            <w:tcW w:w="0" w:type="dxa"/>
            <w:vAlign w:val="bottom"/>
          </w:tcPr>
          <w:p>
            <w:pPr>
              <w:spacing w:after="0"/>
              <w:rPr>
                <w:sz w:val="1"/>
                <w:szCs w:val="1"/>
                <w:color w:val="auto"/>
              </w:rPr>
            </w:pPr>
          </w:p>
        </w:tc>
      </w:tr>
      <w:tr>
        <w:trPr>
          <w:trHeight w:val="261"/>
        </w:trPr>
        <w:tc>
          <w:tcPr>
            <w:tcW w:w="7780" w:type="dxa"/>
            <w:vAlign w:val="bottom"/>
          </w:tcPr>
          <w:p>
            <w:pPr>
              <w:ind w:left="28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33,225</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33,225</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gridSpan w:val="4"/>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2"/>
        </w:trPr>
        <w:tc>
          <w:tcPr>
            <w:tcW w:w="77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center"/>
              <w:ind w:left="561"/>
              <w:spacing w:after="0"/>
              <w:rPr>
                <w:sz w:val="20"/>
                <w:szCs w:val="20"/>
                <w:color w:val="auto"/>
              </w:rPr>
            </w:pPr>
            <w:r>
              <w:rPr>
                <w:rFonts w:ascii="Arial" w:cs="Arial" w:eastAsia="Arial" w:hAnsi="Arial"/>
                <w:sz w:val="14"/>
                <w:szCs w:val="14"/>
                <w:b w:val="1"/>
                <w:bCs w:val="1"/>
                <w:color w:val="auto"/>
              </w:rPr>
              <w:t>As of December 31, 2018</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260"/>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0"/>
        </w:trPr>
        <w:tc>
          <w:tcPr>
            <w:tcW w:w="7780" w:type="dxa"/>
            <w:vAlign w:val="bottom"/>
          </w:tcPr>
          <w:p>
            <w:pPr>
              <w:ind w:left="40"/>
              <w:spacing w:after="0"/>
              <w:rPr>
                <w:sz w:val="20"/>
                <w:szCs w:val="20"/>
                <w:color w:val="auto"/>
              </w:rPr>
            </w:pPr>
            <w:r>
              <w:rPr>
                <w:rFonts w:ascii="Arial" w:cs="Arial" w:eastAsia="Arial" w:hAnsi="Arial"/>
                <w:sz w:val="16"/>
                <w:szCs w:val="16"/>
                <w:color w:val="auto"/>
              </w:rPr>
              <w:t xml:space="preserve">Money market investments </w:t>
            </w:r>
            <w:r>
              <w:rPr>
                <w:rFonts w:ascii="Arial" w:cs="Arial" w:eastAsia="Arial" w:hAnsi="Arial"/>
                <w:sz w:val="21"/>
                <w:szCs w:val="2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75,500</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75,500</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 xml:space="preserve">Marketable equity securities </w:t>
            </w:r>
            <w:r>
              <w:rPr>
                <w:rFonts w:ascii="Arial" w:cs="Arial" w:eastAsia="Arial" w:hAnsi="Arial"/>
                <w:sz w:val="21"/>
                <w:szCs w:val="21"/>
                <w:color w:val="auto"/>
                <w:vertAlign w:val="superscript"/>
              </w:rPr>
              <w:t>(2)</w:t>
            </w:r>
          </w:p>
        </w:tc>
        <w:tc>
          <w:tcPr>
            <w:tcW w:w="2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496,390</w:t>
            </w:r>
          </w:p>
        </w:tc>
        <w:tc>
          <w:tcPr>
            <w:tcW w:w="380" w:type="dxa"/>
            <w:vAlign w:val="bottom"/>
          </w:tcPr>
          <w:p>
            <w:pPr>
              <w:spacing w:after="0"/>
              <w:rPr>
                <w:sz w:val="23"/>
                <w:szCs w:val="23"/>
                <w:color w:val="auto"/>
              </w:rPr>
            </w:pP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496,390</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 xml:space="preserve">Other current investments </w:t>
            </w:r>
            <w:r>
              <w:rPr>
                <w:rFonts w:ascii="Arial" w:cs="Arial" w:eastAsia="Arial" w:hAnsi="Arial"/>
                <w:sz w:val="21"/>
                <w:szCs w:val="21"/>
                <w:color w:val="auto"/>
                <w:vertAlign w:val="superscript"/>
              </w:rPr>
              <w:t>(3)</w:t>
            </w:r>
          </w:p>
        </w:tc>
        <w:tc>
          <w:tcPr>
            <w:tcW w:w="2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11,203</w:t>
            </w:r>
          </w:p>
        </w:tc>
        <w:tc>
          <w:tcPr>
            <w:tcW w:w="380" w:type="dxa"/>
            <w:vAlign w:val="bottom"/>
          </w:tcPr>
          <w:p>
            <w:pPr>
              <w:spacing w:after="0"/>
              <w:rPr>
                <w:sz w:val="23"/>
                <w:szCs w:val="23"/>
                <w:color w:val="auto"/>
              </w:rPr>
            </w:pP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6,988</w:t>
            </w:r>
          </w:p>
        </w:tc>
        <w:tc>
          <w:tcPr>
            <w:tcW w:w="2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18,191</w:t>
            </w:r>
          </w:p>
        </w:tc>
        <w:tc>
          <w:tcPr>
            <w:tcW w:w="0" w:type="dxa"/>
            <w:vAlign w:val="bottom"/>
          </w:tcPr>
          <w:p>
            <w:pPr>
              <w:spacing w:after="0"/>
              <w:rPr>
                <w:sz w:val="1"/>
                <w:szCs w:val="1"/>
                <w:color w:val="auto"/>
              </w:rPr>
            </w:pPr>
          </w:p>
        </w:tc>
      </w:tr>
      <w:tr>
        <w:trPr>
          <w:trHeight w:val="219"/>
        </w:trPr>
        <w:tc>
          <w:tcPr>
            <w:tcW w:w="7780" w:type="dxa"/>
            <w:vAlign w:val="bottom"/>
          </w:tcPr>
          <w:p>
            <w:pPr>
              <w:ind w:left="40"/>
              <w:spacing w:after="0" w:line="219" w:lineRule="exact"/>
              <w:rPr>
                <w:sz w:val="20"/>
                <w:szCs w:val="20"/>
                <w:color w:val="auto"/>
              </w:rPr>
            </w:pPr>
            <w:r>
              <w:rPr>
                <w:rFonts w:ascii="Arial" w:cs="Arial" w:eastAsia="Arial" w:hAnsi="Arial"/>
                <w:sz w:val="16"/>
                <w:szCs w:val="16"/>
                <w:color w:val="auto"/>
              </w:rPr>
              <w:t xml:space="preserve">Interest rate swap </w:t>
            </w:r>
            <w:r>
              <w:rPr>
                <w:rFonts w:ascii="Arial" w:cs="Arial" w:eastAsia="Arial" w:hAnsi="Arial"/>
                <w:sz w:val="21"/>
                <w:szCs w:val="21"/>
                <w:color w:val="auto"/>
                <w:vertAlign w:val="superscript"/>
              </w:rPr>
              <w:t>(4)</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369</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258"/>
        </w:trPr>
        <w:tc>
          <w:tcPr>
            <w:tcW w:w="7780" w:type="dxa"/>
            <w:vAlign w:val="bottom"/>
          </w:tcPr>
          <w:p>
            <w:pPr>
              <w:ind w:left="28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507,593</w:t>
            </w:r>
          </w:p>
        </w:tc>
        <w:tc>
          <w:tcPr>
            <w:tcW w:w="3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82,857</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590,450</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7"/>
        </w:trPr>
        <w:tc>
          <w:tcPr>
            <w:tcW w:w="7780" w:type="dxa"/>
            <w:vAlign w:val="bottom"/>
          </w:tcPr>
          <w:p>
            <w:pPr>
              <w:ind w:left="40"/>
              <w:spacing w:after="0"/>
              <w:rPr>
                <w:sz w:val="20"/>
                <w:szCs w:val="20"/>
                <w:color w:val="auto"/>
              </w:rPr>
            </w:pPr>
            <w:r>
              <w:rPr>
                <w:rFonts w:ascii="Arial" w:cs="Arial" w:eastAsia="Arial" w:hAnsi="Arial"/>
                <w:sz w:val="16"/>
                <w:szCs w:val="16"/>
                <w:color w:val="auto"/>
              </w:rPr>
              <w:t xml:space="preserve">Deferred compensation plan liabilities </w:t>
            </w:r>
            <w:r>
              <w:rPr>
                <w:rFonts w:ascii="Arial" w:cs="Arial" w:eastAsia="Arial" w:hAnsi="Arial"/>
                <w:sz w:val="21"/>
                <w:szCs w:val="21"/>
                <w:color w:val="auto"/>
                <w:vertAlign w:val="superscript"/>
              </w:rPr>
              <w:t>(5)</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36,080</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36,080</w:t>
            </w:r>
          </w:p>
        </w:tc>
        <w:tc>
          <w:tcPr>
            <w:tcW w:w="0" w:type="dxa"/>
            <w:vAlign w:val="bottom"/>
          </w:tcPr>
          <w:p>
            <w:pPr>
              <w:spacing w:after="0"/>
              <w:rPr>
                <w:sz w:val="1"/>
                <w:szCs w:val="1"/>
                <w:color w:val="auto"/>
              </w:rPr>
            </w:pPr>
          </w:p>
        </w:tc>
      </w:tr>
    </w:tbl>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204" w:lineRule="exact"/>
        <w:rPr>
          <w:sz w:val="20"/>
          <w:szCs w:val="20"/>
          <w:color w:val="auto"/>
        </w:rPr>
      </w:pPr>
    </w:p>
    <w:p>
      <w:pPr>
        <w:ind w:left="420" w:hanging="412"/>
        <w:spacing w:after="0"/>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Company’s money market investments are included in Cash and Cash Equivalents and the value considers the liquidity of the counterparty.</w:t>
      </w:r>
    </w:p>
    <w:p>
      <w:pPr>
        <w:spacing w:after="0" w:line="41" w:lineRule="exact"/>
        <w:rPr>
          <w:rFonts w:ascii="Arial" w:cs="Arial" w:eastAsia="Arial" w:hAnsi="Arial"/>
          <w:sz w:val="14"/>
          <w:szCs w:val="14"/>
          <w:color w:val="auto"/>
        </w:rPr>
      </w:pPr>
    </w:p>
    <w:p>
      <w:pPr>
        <w:ind w:left="420" w:right="120" w:hanging="412"/>
        <w:spacing w:after="0" w:line="239" w:lineRule="auto"/>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Company’s investments in marketable equity securities are held in common shares of U.S. corporations that are actively traded on U.S. stock exchanges. Price quotes for these shares are readily available.</w:t>
      </w:r>
    </w:p>
    <w:p>
      <w:pPr>
        <w:spacing w:after="0" w:line="30" w:lineRule="exact"/>
        <w:rPr>
          <w:rFonts w:ascii="Arial" w:cs="Arial" w:eastAsia="Arial" w:hAnsi="Arial"/>
          <w:sz w:val="14"/>
          <w:szCs w:val="14"/>
          <w:color w:val="auto"/>
        </w:rPr>
      </w:pPr>
    </w:p>
    <w:p>
      <w:pPr>
        <w:ind w:left="420" w:right="400" w:hanging="412"/>
        <w:spacing w:after="0" w:line="239" w:lineRule="auto"/>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U.S. Government Securities, corporate bonds, mutual funds and time deposits. These investments are valued using a market approach based on the quoted market prices of the security or inputs that include quoted market prices for similar instruments and are classified as either Level 1 or Level 2 in the fair value hierarchy.</w:t>
      </w:r>
    </w:p>
    <w:p>
      <w:pPr>
        <w:spacing w:after="0" w:line="30" w:lineRule="exact"/>
        <w:rPr>
          <w:rFonts w:ascii="Arial" w:cs="Arial" w:eastAsia="Arial" w:hAnsi="Arial"/>
          <w:sz w:val="14"/>
          <w:szCs w:val="14"/>
          <w:color w:val="auto"/>
        </w:rPr>
      </w:pPr>
    </w:p>
    <w:p>
      <w:pPr>
        <w:ind w:left="420" w:right="480" w:hanging="412"/>
        <w:spacing w:after="0" w:line="239" w:lineRule="auto"/>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Included in Deferred Charges and Other Assets. The Company utilized a market approach model using the notional amount of the interest rate swap multiplied by the observable inputs of time to maturity and market interest rates.</w:t>
      </w:r>
    </w:p>
    <w:p>
      <w:pPr>
        <w:spacing w:after="0" w:line="30" w:lineRule="exact"/>
        <w:rPr>
          <w:rFonts w:ascii="Arial" w:cs="Arial" w:eastAsia="Arial" w:hAnsi="Arial"/>
          <w:sz w:val="14"/>
          <w:szCs w:val="14"/>
          <w:color w:val="auto"/>
        </w:rPr>
      </w:pPr>
    </w:p>
    <w:p>
      <w:pPr>
        <w:ind w:left="420" w:right="40" w:hanging="412"/>
        <w:spacing w:after="0"/>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Graham Holdings Company’s Deferred Compensation Plan and supplemental savings plan benefits under the Graham Holdings Company’s Supplemental Executive Retirement Plan, which are included in accrued compensation and related benefits. These plans measure the market value of a participant’s balance in a notional investment account that is comprised primarily of mutual funds, which are based on observable market prices. However, since the deferred compensation obligations are not exchanged in an active market, they are classified as Level 2 in the fair value hierarchy. Realized and unrealized gains (losses) on deferred compensation are included in operating income.</w:t>
      </w:r>
    </w:p>
    <w:p>
      <w:pPr>
        <w:spacing w:after="0" w:line="152" w:lineRule="exact"/>
        <w:rPr>
          <w:rFonts w:ascii="Arial" w:cs="Arial" w:eastAsia="Arial" w:hAnsi="Arial"/>
          <w:sz w:val="14"/>
          <w:szCs w:val="14"/>
          <w:color w:val="auto"/>
        </w:rPr>
      </w:pPr>
    </w:p>
    <w:p>
      <w:pPr>
        <w:ind w:left="420" w:right="160" w:hanging="412"/>
        <w:spacing w:after="0" w:line="239" w:lineRule="auto"/>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Included in Other Liabilities. The Company utilized a market approach model using the notional amount of the interest rate swap multiplied by the observable inputs of time to maturity and market interest rates.</w:t>
      </w:r>
    </w:p>
    <w:p>
      <w:pPr>
        <w:spacing w:after="0" w:line="187" w:lineRule="exact"/>
        <w:rPr>
          <w:sz w:val="20"/>
          <w:szCs w:val="20"/>
          <w:color w:val="auto"/>
        </w:rPr>
      </w:pPr>
    </w:p>
    <w:p>
      <w:pPr>
        <w:ind w:right="200"/>
        <w:spacing w:after="0" w:line="227" w:lineRule="auto"/>
        <w:rPr>
          <w:sz w:val="20"/>
          <w:szCs w:val="20"/>
          <w:color w:val="auto"/>
        </w:rPr>
      </w:pPr>
      <w:r>
        <w:rPr>
          <w:rFonts w:ascii="Arial" w:cs="Arial" w:eastAsia="Arial" w:hAnsi="Arial"/>
          <w:sz w:val="18"/>
          <w:szCs w:val="18"/>
          <w:color w:val="auto"/>
        </w:rPr>
        <w:t>In the second quarter of 2019, the Company recorded an other long-lived asset impairment charge of $0.7 million. The remeasurement of the other long-lived assets is classified as a Level 3 fair value assessment due to the significance of unobservable inputs developed in the determination of the fair value. The Company used a discounted cash flow model to determine the estimated fair value of the other long-lived assets and made estimates and assumptions regarding future cash flows and discount rates.</w:t>
      </w:r>
    </w:p>
    <w:p>
      <w:pPr>
        <w:sectPr>
          <w:pgSz w:w="11900" w:h="16838" w:orient="portrait"/>
          <w:cols w:equalWidth="0" w:num="1">
            <w:col w:w="11420"/>
          </w:cols>
          <w:pgMar w:left="240" w:top="719" w:right="2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719" w:right="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10. REVENUE FROM CONTRACTS WITH CUSTOMERS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The Company’s revenue disaggregated by revenue source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52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0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7"/>
                <w:szCs w:val="17"/>
                <w:color w:val="auto"/>
              </w:rPr>
            </w:pPr>
          </w:p>
        </w:tc>
      </w:tr>
      <w:tr>
        <w:trPr>
          <w:trHeight w:val="264"/>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2018</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2018</w:t>
            </w:r>
          </w:p>
        </w:tc>
      </w:tr>
      <w:tr>
        <w:trPr>
          <w:trHeight w:val="250"/>
        </w:trPr>
        <w:tc>
          <w:tcPr>
            <w:tcW w:w="6060" w:type="dxa"/>
            <w:vAlign w:val="bottom"/>
          </w:tcPr>
          <w:p>
            <w:pPr>
              <w:ind w:left="40"/>
              <w:spacing w:after="0"/>
              <w:rPr>
                <w:sz w:val="20"/>
                <w:szCs w:val="20"/>
                <w:color w:val="auto"/>
              </w:rPr>
            </w:pPr>
            <w:r>
              <w:rPr>
                <w:rFonts w:ascii="Arial" w:cs="Arial" w:eastAsia="Arial" w:hAnsi="Arial"/>
                <w:sz w:val="16"/>
                <w:szCs w:val="16"/>
                <w:color w:val="auto"/>
              </w:rPr>
              <w:t>Education Revenue</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0"/>
        </w:trPr>
        <w:tc>
          <w:tcPr>
            <w:tcW w:w="606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61"/>
              <w:spacing w:after="0"/>
              <w:rPr>
                <w:sz w:val="20"/>
                <w:szCs w:val="20"/>
                <w:color w:val="auto"/>
              </w:rPr>
            </w:pPr>
            <w:r>
              <w:rPr>
                <w:rFonts w:ascii="Arial" w:cs="Arial" w:eastAsia="Arial" w:hAnsi="Arial"/>
                <w:sz w:val="16"/>
                <w:szCs w:val="16"/>
                <w:b w:val="1"/>
                <w:bCs w:val="1"/>
                <w:color w:val="auto"/>
              </w:rPr>
              <w:t>188,580</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184,303</w:t>
            </w:r>
          </w:p>
        </w:tc>
        <w:tc>
          <w:tcPr>
            <w:tcW w:w="38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61"/>
              <w:spacing w:after="0"/>
              <w:rPr>
                <w:sz w:val="20"/>
                <w:szCs w:val="20"/>
                <w:color w:val="auto"/>
              </w:rPr>
            </w:pPr>
            <w:r>
              <w:rPr>
                <w:rFonts w:ascii="Arial" w:cs="Arial" w:eastAsia="Arial" w:hAnsi="Arial"/>
                <w:sz w:val="16"/>
                <w:szCs w:val="16"/>
                <w:b w:val="1"/>
                <w:bCs w:val="1"/>
                <w:color w:val="auto"/>
              </w:rPr>
              <w:t>374,336</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367,885</w:t>
            </w:r>
          </w:p>
        </w:tc>
      </w:tr>
      <w:tr>
        <w:trPr>
          <w:trHeight w:val="270"/>
        </w:trPr>
        <w:tc>
          <w:tcPr>
            <w:tcW w:w="606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23"/>
                <w:szCs w:val="23"/>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b w:val="1"/>
                <w:bCs w:val="1"/>
                <w:color w:val="auto"/>
              </w:rPr>
              <w:t>76,288</w:t>
            </w:r>
          </w:p>
        </w:tc>
        <w:tc>
          <w:tcPr>
            <w:tcW w:w="40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85,981</w:t>
            </w:r>
          </w:p>
        </w:tc>
        <w:tc>
          <w:tcPr>
            <w:tcW w:w="380" w:type="dxa"/>
            <w:vAlign w:val="bottom"/>
          </w:tcPr>
          <w:p>
            <w:pPr>
              <w:spacing w:after="0"/>
              <w:rPr>
                <w:sz w:val="23"/>
                <w:szCs w:val="23"/>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b w:val="1"/>
                <w:bCs w:val="1"/>
                <w:color w:val="auto"/>
              </w:rPr>
              <w:t>159,068</w:t>
            </w:r>
          </w:p>
        </w:tc>
        <w:tc>
          <w:tcPr>
            <w:tcW w:w="46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185,811</w:t>
            </w:r>
          </w:p>
        </w:tc>
      </w:tr>
      <w:tr>
        <w:trPr>
          <w:trHeight w:val="270"/>
        </w:trPr>
        <w:tc>
          <w:tcPr>
            <w:tcW w:w="606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80" w:type="dxa"/>
            <w:vAlign w:val="bottom"/>
          </w:tcPr>
          <w:p>
            <w:pPr>
              <w:spacing w:after="0"/>
              <w:rPr>
                <w:sz w:val="23"/>
                <w:szCs w:val="23"/>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b w:val="1"/>
                <w:bCs w:val="1"/>
                <w:color w:val="auto"/>
              </w:rPr>
              <w:t>65,673</w:t>
            </w:r>
          </w:p>
        </w:tc>
        <w:tc>
          <w:tcPr>
            <w:tcW w:w="40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68,604</w:t>
            </w:r>
          </w:p>
        </w:tc>
        <w:tc>
          <w:tcPr>
            <w:tcW w:w="380" w:type="dxa"/>
            <w:vAlign w:val="bottom"/>
          </w:tcPr>
          <w:p>
            <w:pPr>
              <w:spacing w:after="0"/>
              <w:rPr>
                <w:sz w:val="23"/>
                <w:szCs w:val="23"/>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b w:val="1"/>
                <w:bCs w:val="1"/>
                <w:color w:val="auto"/>
              </w:rPr>
              <w:t>126,823</w:t>
            </w:r>
          </w:p>
        </w:tc>
        <w:tc>
          <w:tcPr>
            <w:tcW w:w="46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127,755</w:t>
            </w:r>
          </w:p>
        </w:tc>
      </w:tr>
      <w:tr>
        <w:trPr>
          <w:trHeight w:val="270"/>
        </w:trPr>
        <w:tc>
          <w:tcPr>
            <w:tcW w:w="6060" w:type="dxa"/>
            <w:vAlign w:val="bottom"/>
          </w:tcPr>
          <w:p>
            <w:pPr>
              <w:ind w:left="180"/>
              <w:spacing w:after="0"/>
              <w:rPr>
                <w:sz w:val="20"/>
                <w:szCs w:val="20"/>
                <w:color w:val="auto"/>
              </w:rPr>
            </w:pPr>
            <w:r>
              <w:rPr>
                <w:rFonts w:ascii="Arial" w:cs="Arial" w:eastAsia="Arial" w:hAnsi="Arial"/>
                <w:sz w:val="16"/>
                <w:szCs w:val="16"/>
                <w:color w:val="auto"/>
              </w:rPr>
              <w:t>Professional (U.S.)</w:t>
            </w:r>
          </w:p>
        </w:tc>
        <w:tc>
          <w:tcPr>
            <w:tcW w:w="280" w:type="dxa"/>
            <w:vAlign w:val="bottom"/>
          </w:tcPr>
          <w:p>
            <w:pPr>
              <w:spacing w:after="0"/>
              <w:rPr>
                <w:sz w:val="23"/>
                <w:szCs w:val="23"/>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b w:val="1"/>
                <w:bCs w:val="1"/>
                <w:color w:val="auto"/>
              </w:rPr>
              <w:t>35,147</w:t>
            </w:r>
          </w:p>
        </w:tc>
        <w:tc>
          <w:tcPr>
            <w:tcW w:w="40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31,057</w:t>
            </w:r>
          </w:p>
        </w:tc>
        <w:tc>
          <w:tcPr>
            <w:tcW w:w="380" w:type="dxa"/>
            <w:vAlign w:val="bottom"/>
          </w:tcPr>
          <w:p>
            <w:pPr>
              <w:spacing w:after="0"/>
              <w:rPr>
                <w:sz w:val="23"/>
                <w:szCs w:val="23"/>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b w:val="1"/>
                <w:bCs w:val="1"/>
                <w:color w:val="auto"/>
              </w:rPr>
              <w:t>76,361</w:t>
            </w:r>
          </w:p>
        </w:tc>
        <w:tc>
          <w:tcPr>
            <w:tcW w:w="46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64,413</w:t>
            </w:r>
          </w:p>
        </w:tc>
      </w:tr>
      <w:tr>
        <w:trPr>
          <w:trHeight w:val="270"/>
        </w:trPr>
        <w:tc>
          <w:tcPr>
            <w:tcW w:w="606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280" w:type="dxa"/>
            <w:vAlign w:val="bottom"/>
          </w:tcPr>
          <w:p>
            <w:pPr>
              <w:spacing w:after="0"/>
              <w:rPr>
                <w:sz w:val="23"/>
                <w:szCs w:val="23"/>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b w:val="1"/>
                <w:bCs w:val="1"/>
                <w:color w:val="auto"/>
              </w:rPr>
              <w:t>2,369</w:t>
            </w:r>
          </w:p>
        </w:tc>
        <w:tc>
          <w:tcPr>
            <w:tcW w:w="40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442</w:t>
            </w:r>
          </w:p>
        </w:tc>
        <w:tc>
          <w:tcPr>
            <w:tcW w:w="380" w:type="dxa"/>
            <w:vAlign w:val="bottom"/>
          </w:tcPr>
          <w:p>
            <w:pPr>
              <w:spacing w:after="0"/>
              <w:rPr>
                <w:sz w:val="23"/>
                <w:szCs w:val="23"/>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b w:val="1"/>
                <w:bCs w:val="1"/>
                <w:color w:val="auto"/>
              </w:rPr>
              <w:t>4,671</w:t>
            </w:r>
          </w:p>
        </w:tc>
        <w:tc>
          <w:tcPr>
            <w:tcW w:w="46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727</w:t>
            </w:r>
          </w:p>
        </w:tc>
      </w:tr>
      <w:tr>
        <w:trPr>
          <w:trHeight w:val="283"/>
        </w:trPr>
        <w:tc>
          <w:tcPr>
            <w:tcW w:w="606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(294)</w:t>
            </w: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(382)</w:t>
            </w: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(1,042)</w:t>
            </w:r>
          </w:p>
        </w:tc>
        <w:tc>
          <w:tcPr>
            <w:tcW w:w="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(1,087)</w:t>
            </w:r>
          </w:p>
        </w:tc>
      </w:tr>
      <w:tr>
        <w:trPr>
          <w:trHeight w:val="251"/>
        </w:trPr>
        <w:tc>
          <w:tcPr>
            <w:tcW w:w="6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b w:val="1"/>
                <w:bCs w:val="1"/>
                <w:color w:val="auto"/>
              </w:rPr>
              <w:t>367,763</w:t>
            </w:r>
          </w:p>
        </w:tc>
        <w:tc>
          <w:tcPr>
            <w:tcW w:w="400" w:type="dxa"/>
            <w:vAlign w:val="bottom"/>
          </w:tcPr>
          <w:p>
            <w:pPr>
              <w:spacing w:after="0"/>
              <w:rPr>
                <w:sz w:val="21"/>
                <w:szCs w:val="21"/>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370,005</w:t>
            </w:r>
          </w:p>
        </w:tc>
        <w:tc>
          <w:tcPr>
            <w:tcW w:w="380" w:type="dxa"/>
            <w:vAlign w:val="bottom"/>
          </w:tcPr>
          <w:p>
            <w:pPr>
              <w:spacing w:after="0"/>
              <w:rPr>
                <w:sz w:val="21"/>
                <w:szCs w:val="21"/>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b w:val="1"/>
                <w:bCs w:val="1"/>
                <w:color w:val="auto"/>
              </w:rPr>
              <w:t>740,217</w:t>
            </w:r>
          </w:p>
        </w:tc>
        <w:tc>
          <w:tcPr>
            <w:tcW w:w="460" w:type="dxa"/>
            <w:vAlign w:val="bottom"/>
          </w:tcPr>
          <w:p>
            <w:pPr>
              <w:spacing w:after="0"/>
              <w:rPr>
                <w:sz w:val="21"/>
                <w:szCs w:val="21"/>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745,504</w:t>
            </w:r>
          </w:p>
        </w:tc>
      </w:tr>
      <w:tr>
        <w:trPr>
          <w:trHeight w:val="270"/>
        </w:trPr>
        <w:tc>
          <w:tcPr>
            <w:tcW w:w="6060" w:type="dxa"/>
            <w:vAlign w:val="bottom"/>
          </w:tcPr>
          <w:p>
            <w:pPr>
              <w:ind w:left="40"/>
              <w:spacing w:after="0"/>
              <w:rPr>
                <w:sz w:val="20"/>
                <w:szCs w:val="20"/>
                <w:color w:val="auto"/>
              </w:rPr>
            </w:pPr>
            <w:r>
              <w:rPr>
                <w:rFonts w:ascii="Arial" w:cs="Arial" w:eastAsia="Arial" w:hAnsi="Arial"/>
                <w:sz w:val="16"/>
                <w:szCs w:val="16"/>
                <w:color w:val="auto"/>
              </w:rPr>
              <w:t>Television broadcasting</w:t>
            </w:r>
          </w:p>
        </w:tc>
        <w:tc>
          <w:tcPr>
            <w:tcW w:w="280" w:type="dxa"/>
            <w:vAlign w:val="bottom"/>
          </w:tcPr>
          <w:p>
            <w:pPr>
              <w:spacing w:after="0"/>
              <w:rPr>
                <w:sz w:val="23"/>
                <w:szCs w:val="23"/>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b w:val="1"/>
                <w:bCs w:val="1"/>
                <w:color w:val="auto"/>
              </w:rPr>
              <w:t>116,628</w:t>
            </w:r>
          </w:p>
        </w:tc>
        <w:tc>
          <w:tcPr>
            <w:tcW w:w="40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114,086</w:t>
            </w:r>
          </w:p>
        </w:tc>
        <w:tc>
          <w:tcPr>
            <w:tcW w:w="380" w:type="dxa"/>
            <w:vAlign w:val="bottom"/>
          </w:tcPr>
          <w:p>
            <w:pPr>
              <w:spacing w:after="0"/>
              <w:rPr>
                <w:sz w:val="23"/>
                <w:szCs w:val="23"/>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b w:val="1"/>
                <w:bCs w:val="1"/>
                <w:color w:val="auto"/>
              </w:rPr>
              <w:t>224,851</w:t>
            </w:r>
          </w:p>
        </w:tc>
        <w:tc>
          <w:tcPr>
            <w:tcW w:w="46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222,888</w:t>
            </w:r>
          </w:p>
        </w:tc>
      </w:tr>
      <w:tr>
        <w:trPr>
          <w:trHeight w:val="270"/>
        </w:trPr>
        <w:tc>
          <w:tcPr>
            <w:tcW w:w="6060" w:type="dxa"/>
            <w:vAlign w:val="bottom"/>
          </w:tcPr>
          <w:p>
            <w:pPr>
              <w:ind w:left="40"/>
              <w:spacing w:after="0"/>
              <w:rPr>
                <w:sz w:val="20"/>
                <w:szCs w:val="20"/>
                <w:color w:val="auto"/>
              </w:rPr>
            </w:pPr>
            <w:r>
              <w:rPr>
                <w:rFonts w:ascii="Arial" w:cs="Arial" w:eastAsia="Arial" w:hAnsi="Arial"/>
                <w:sz w:val="16"/>
                <w:szCs w:val="16"/>
                <w:color w:val="auto"/>
              </w:rPr>
              <w:t>Manufacturing</w:t>
            </w:r>
          </w:p>
        </w:tc>
        <w:tc>
          <w:tcPr>
            <w:tcW w:w="280" w:type="dxa"/>
            <w:vAlign w:val="bottom"/>
          </w:tcPr>
          <w:p>
            <w:pPr>
              <w:spacing w:after="0"/>
              <w:rPr>
                <w:sz w:val="23"/>
                <w:szCs w:val="23"/>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b w:val="1"/>
                <w:bCs w:val="1"/>
                <w:color w:val="auto"/>
              </w:rPr>
              <w:t>114,873</w:t>
            </w:r>
          </w:p>
        </w:tc>
        <w:tc>
          <w:tcPr>
            <w:tcW w:w="40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126,462</w:t>
            </w:r>
          </w:p>
        </w:tc>
        <w:tc>
          <w:tcPr>
            <w:tcW w:w="380" w:type="dxa"/>
            <w:vAlign w:val="bottom"/>
          </w:tcPr>
          <w:p>
            <w:pPr>
              <w:spacing w:after="0"/>
              <w:rPr>
                <w:sz w:val="23"/>
                <w:szCs w:val="23"/>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b w:val="1"/>
                <w:bCs w:val="1"/>
                <w:color w:val="auto"/>
              </w:rPr>
              <w:t>230,030</w:t>
            </w:r>
          </w:p>
        </w:tc>
        <w:tc>
          <w:tcPr>
            <w:tcW w:w="46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243,868</w:t>
            </w:r>
          </w:p>
        </w:tc>
      </w:tr>
      <w:tr>
        <w:trPr>
          <w:trHeight w:val="270"/>
        </w:trPr>
        <w:tc>
          <w:tcPr>
            <w:tcW w:w="6060" w:type="dxa"/>
            <w:vAlign w:val="bottom"/>
          </w:tcPr>
          <w:p>
            <w:pPr>
              <w:ind w:left="40"/>
              <w:spacing w:after="0"/>
              <w:rPr>
                <w:sz w:val="20"/>
                <w:szCs w:val="20"/>
                <w:color w:val="auto"/>
              </w:rPr>
            </w:pPr>
            <w:r>
              <w:rPr>
                <w:rFonts w:ascii="Arial" w:cs="Arial" w:eastAsia="Arial" w:hAnsi="Arial"/>
                <w:sz w:val="16"/>
                <w:szCs w:val="16"/>
                <w:color w:val="auto"/>
              </w:rPr>
              <w:t>Healthcare</w:t>
            </w:r>
          </w:p>
        </w:tc>
        <w:tc>
          <w:tcPr>
            <w:tcW w:w="280" w:type="dxa"/>
            <w:vAlign w:val="bottom"/>
          </w:tcPr>
          <w:p>
            <w:pPr>
              <w:spacing w:after="0"/>
              <w:rPr>
                <w:sz w:val="23"/>
                <w:szCs w:val="23"/>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b w:val="1"/>
                <w:bCs w:val="1"/>
                <w:color w:val="auto"/>
              </w:rPr>
              <w:t>40,641</w:t>
            </w:r>
          </w:p>
        </w:tc>
        <w:tc>
          <w:tcPr>
            <w:tcW w:w="40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38,208</w:t>
            </w:r>
          </w:p>
        </w:tc>
        <w:tc>
          <w:tcPr>
            <w:tcW w:w="380" w:type="dxa"/>
            <w:vAlign w:val="bottom"/>
          </w:tcPr>
          <w:p>
            <w:pPr>
              <w:spacing w:after="0"/>
              <w:rPr>
                <w:sz w:val="23"/>
                <w:szCs w:val="23"/>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b w:val="1"/>
                <w:bCs w:val="1"/>
                <w:color w:val="auto"/>
              </w:rPr>
              <w:t>78,369</w:t>
            </w:r>
          </w:p>
        </w:tc>
        <w:tc>
          <w:tcPr>
            <w:tcW w:w="46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75,829</w:t>
            </w:r>
          </w:p>
        </w:tc>
      </w:tr>
      <w:tr>
        <w:trPr>
          <w:trHeight w:val="270"/>
        </w:trPr>
        <w:tc>
          <w:tcPr>
            <w:tcW w:w="6060" w:type="dxa"/>
            <w:vAlign w:val="bottom"/>
          </w:tcPr>
          <w:p>
            <w:pPr>
              <w:ind w:left="40"/>
              <w:spacing w:after="0"/>
              <w:rPr>
                <w:sz w:val="20"/>
                <w:szCs w:val="20"/>
                <w:color w:val="auto"/>
              </w:rPr>
            </w:pPr>
            <w:r>
              <w:rPr>
                <w:rFonts w:ascii="Arial" w:cs="Arial" w:eastAsia="Arial" w:hAnsi="Arial"/>
                <w:sz w:val="16"/>
                <w:szCs w:val="16"/>
                <w:color w:val="auto"/>
              </w:rPr>
              <w:t>SocialCode</w:t>
            </w:r>
          </w:p>
        </w:tc>
        <w:tc>
          <w:tcPr>
            <w:tcW w:w="280" w:type="dxa"/>
            <w:vAlign w:val="bottom"/>
          </w:tcPr>
          <w:p>
            <w:pPr>
              <w:spacing w:after="0"/>
              <w:rPr>
                <w:sz w:val="23"/>
                <w:szCs w:val="23"/>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b w:val="1"/>
                <w:bCs w:val="1"/>
                <w:color w:val="auto"/>
              </w:rPr>
              <w:t>16,382</w:t>
            </w:r>
          </w:p>
        </w:tc>
        <w:tc>
          <w:tcPr>
            <w:tcW w:w="40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14,770</w:t>
            </w:r>
          </w:p>
        </w:tc>
        <w:tc>
          <w:tcPr>
            <w:tcW w:w="380" w:type="dxa"/>
            <w:vAlign w:val="bottom"/>
          </w:tcPr>
          <w:p>
            <w:pPr>
              <w:spacing w:after="0"/>
              <w:rPr>
                <w:sz w:val="23"/>
                <w:szCs w:val="23"/>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b w:val="1"/>
                <w:bCs w:val="1"/>
                <w:color w:val="auto"/>
              </w:rPr>
              <w:t>29,829</w:t>
            </w:r>
          </w:p>
        </w:tc>
        <w:tc>
          <w:tcPr>
            <w:tcW w:w="46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28,069</w:t>
            </w:r>
          </w:p>
        </w:tc>
      </w:tr>
      <w:tr>
        <w:trPr>
          <w:trHeight w:val="270"/>
        </w:trPr>
        <w:tc>
          <w:tcPr>
            <w:tcW w:w="6060" w:type="dxa"/>
            <w:vAlign w:val="bottom"/>
          </w:tcPr>
          <w:p>
            <w:pPr>
              <w:ind w:left="40"/>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23"/>
                <w:szCs w:val="23"/>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b w:val="1"/>
                <w:bCs w:val="1"/>
                <w:color w:val="auto"/>
              </w:rPr>
              <w:t>81,359</w:t>
            </w:r>
          </w:p>
        </w:tc>
        <w:tc>
          <w:tcPr>
            <w:tcW w:w="40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9,167</w:t>
            </w:r>
          </w:p>
        </w:tc>
        <w:tc>
          <w:tcPr>
            <w:tcW w:w="380" w:type="dxa"/>
            <w:vAlign w:val="bottom"/>
          </w:tcPr>
          <w:p>
            <w:pPr>
              <w:spacing w:after="0"/>
              <w:rPr>
                <w:sz w:val="23"/>
                <w:szCs w:val="23"/>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b w:val="1"/>
                <w:bCs w:val="1"/>
                <w:color w:val="auto"/>
              </w:rPr>
              <w:t>126,589</w:t>
            </w:r>
          </w:p>
        </w:tc>
        <w:tc>
          <w:tcPr>
            <w:tcW w:w="46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16,000</w:t>
            </w:r>
          </w:p>
        </w:tc>
      </w:tr>
      <w:tr>
        <w:trPr>
          <w:trHeight w:val="283"/>
        </w:trPr>
        <w:tc>
          <w:tcPr>
            <w:tcW w:w="6060" w:type="dxa"/>
            <w:vAlign w:val="bottom"/>
          </w:tcPr>
          <w:p>
            <w:pPr>
              <w:ind w:left="4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(44)</w:t>
            </w: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w:t>
            </w: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(84)</w:t>
            </w:r>
          </w:p>
        </w:tc>
        <w:tc>
          <w:tcPr>
            <w:tcW w:w="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r>
      <w:tr>
        <w:trPr>
          <w:trHeight w:val="267"/>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Total Revenue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737,602</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672,677</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1,429,801</w:t>
            </w:r>
          </w:p>
        </w:tc>
        <w:tc>
          <w:tcPr>
            <w:tcW w:w="4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1,332,113</w:t>
            </w: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140"/>
        <w:spacing w:after="0" w:line="229" w:lineRule="auto"/>
        <w:rPr>
          <w:sz w:val="20"/>
          <w:szCs w:val="20"/>
          <w:color w:val="auto"/>
        </w:rPr>
      </w:pPr>
      <w:r>
        <w:rPr>
          <w:rFonts w:ascii="Arial" w:cs="Arial" w:eastAsia="Arial" w:hAnsi="Arial"/>
          <w:sz w:val="18"/>
          <w:szCs w:val="18"/>
          <w:color w:val="auto"/>
        </w:rPr>
        <w:t>The Company generated 76% of its revenue from U.S. domestic sales for the three and six months ended June 30, 2019. The remaining 24% of revenue for the three and six months ended June 30, 2019, respectively, was generated from non-U.S. sales. For the three and six months ended June 30, 2018, 75% of revenue was from U.S. domestic sales, and the remaining 25% was generated from non-U.S. sales.</w:t>
      </w:r>
    </w:p>
    <w:p>
      <w:pPr>
        <w:spacing w:after="0" w:line="137"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For the three and six months ended June 30, 2019, the Company recognized 76% of its revenue over time as control of the services and goods transferred to the customer, and 24% at a point in time, when the customer obtained control of the promised goods. For the three and six months ended June 30, 2018, the Company recognized 80% of its revenue over time, and the remaining 20% at a point in time.</w:t>
      </w:r>
    </w:p>
    <w:p>
      <w:pPr>
        <w:spacing w:after="0" w:line="115"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b w:val="1"/>
          <w:bCs w:val="1"/>
          <w:color w:val="auto"/>
        </w:rPr>
        <w:t xml:space="preserve">Deferred Revenue. </w:t>
      </w:r>
      <w:r>
        <w:rPr>
          <w:rFonts w:ascii="Arial" w:cs="Arial" w:eastAsia="Arial" w:hAnsi="Arial"/>
          <w:sz w:val="18"/>
          <w:szCs w:val="18"/>
          <w:color w:val="auto"/>
        </w:rPr>
        <w:t>The Company records deferred revenue when cash payments are received or due in advance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including amounts which are refundable. The following table presents the change in the Company’s deferred revenue balance: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7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vMerge w:val="restart"/>
          </w:tcPr>
          <w:p>
            <w:pPr>
              <w:jc w:val="center"/>
              <w:ind w:right="246"/>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22"/>
                <w:szCs w:val="22"/>
                <w:color w:val="auto"/>
              </w:rPr>
            </w:pPr>
          </w:p>
        </w:tc>
        <w:tc>
          <w:tcPr>
            <w:tcW w:w="1200" w:type="dxa"/>
            <w:vAlign w:val="bottom"/>
            <w:vMerge w:val="restart"/>
          </w:tcPr>
          <w:p>
            <w:pPr>
              <w:jc w:val="center"/>
              <w:ind w:right="145"/>
              <w:spacing w:after="0"/>
              <w:rPr>
                <w:sz w:val="20"/>
                <w:szCs w:val="20"/>
                <w:color w:val="auto"/>
              </w:rPr>
            </w:pPr>
            <w:r>
              <w:rPr>
                <w:rFonts w:ascii="Arial" w:cs="Arial" w:eastAsia="Arial" w:hAnsi="Arial"/>
                <w:sz w:val="14"/>
                <w:szCs w:val="14"/>
                <w:color w:val="auto"/>
              </w:rPr>
              <w:t>December 31,</w:t>
            </w:r>
          </w:p>
        </w:tc>
        <w:tc>
          <w:tcPr>
            <w:tcW w:w="1360" w:type="dxa"/>
            <w:vAlign w:val="bottom"/>
          </w:tcPr>
          <w:p>
            <w:pPr>
              <w:jc w:val="right"/>
              <w:ind w:right="54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7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66"/>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color w:val="auto"/>
              </w:rPr>
              <w:t>2018</w:t>
            </w:r>
          </w:p>
        </w:tc>
        <w:tc>
          <w:tcPr>
            <w:tcW w:w="136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7200" w:type="dxa"/>
            <w:vAlign w:val="bottom"/>
          </w:tcPr>
          <w:p>
            <w:pPr>
              <w:ind w:left="40"/>
              <w:spacing w:after="0"/>
              <w:rPr>
                <w:sz w:val="20"/>
                <w:szCs w:val="20"/>
                <w:color w:val="auto"/>
              </w:rPr>
            </w:pPr>
            <w:r>
              <w:rPr>
                <w:rFonts w:ascii="Arial" w:cs="Arial" w:eastAsia="Arial" w:hAnsi="Arial"/>
                <w:sz w:val="16"/>
                <w:szCs w:val="16"/>
                <w:color w:val="auto"/>
              </w:rPr>
              <w:t>Deferred revenue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46"/>
              <w:spacing w:after="0"/>
              <w:rPr>
                <w:sz w:val="20"/>
                <w:szCs w:val="20"/>
                <w:color w:val="auto"/>
              </w:rPr>
            </w:pPr>
            <w:r>
              <w:rPr>
                <w:rFonts w:ascii="Arial" w:cs="Arial" w:eastAsia="Arial" w:hAnsi="Arial"/>
                <w:sz w:val="16"/>
                <w:szCs w:val="16"/>
                <w:b w:val="1"/>
                <w:bCs w:val="1"/>
                <w:color w:val="auto"/>
              </w:rPr>
              <w:t>245,729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5"/>
              <w:spacing w:after="0"/>
              <w:rPr>
                <w:sz w:val="20"/>
                <w:szCs w:val="20"/>
                <w:color w:val="auto"/>
              </w:rPr>
            </w:pPr>
            <w:r>
              <w:rPr>
                <w:rFonts w:ascii="Arial" w:cs="Arial" w:eastAsia="Arial" w:hAnsi="Arial"/>
                <w:sz w:val="16"/>
                <w:szCs w:val="16"/>
                <w:color w:val="auto"/>
              </w:rPr>
              <w:t>311,214</w:t>
            </w:r>
          </w:p>
        </w:tc>
        <w:tc>
          <w:tcPr>
            <w:tcW w:w="1360" w:type="dxa"/>
            <w:vAlign w:val="bottom"/>
          </w:tcPr>
          <w:p>
            <w:pPr>
              <w:jc w:val="right"/>
              <w:ind w:right="465"/>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bl>
    <w:p>
      <w:pPr>
        <w:spacing w:after="0" w:line="356"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The majority of the change in the deferred revenue balance is related to the cyclical nature of services at the Kaplan international division. During the six months ended June 30, 2019, the Company recognized $233.1 million related to the Company’s deferred revenue balance as of December 31, 2018.</w:t>
      </w:r>
    </w:p>
    <w:p>
      <w:pPr>
        <w:spacing w:after="0" w:line="137" w:lineRule="exact"/>
        <w:rPr>
          <w:sz w:val="20"/>
          <w:szCs w:val="20"/>
          <w:color w:val="auto"/>
        </w:rPr>
      </w:pPr>
    </w:p>
    <w:p>
      <w:pPr>
        <w:ind w:right="360"/>
        <w:spacing w:after="0" w:line="227" w:lineRule="auto"/>
        <w:rPr>
          <w:sz w:val="20"/>
          <w:szCs w:val="20"/>
          <w:color w:val="auto"/>
        </w:rPr>
      </w:pPr>
      <w:r>
        <w:rPr>
          <w:rFonts w:ascii="Arial" w:cs="Arial" w:eastAsia="Arial" w:hAnsi="Arial"/>
          <w:sz w:val="18"/>
          <w:szCs w:val="18"/>
          <w:color w:val="auto"/>
        </w:rPr>
        <w:t>Revenue allocated to remaining performance obligations represents deferred revenue amounts that will be recognized as revenue in future periods. As of June 30, 2019, KTP’s deferred revenue balance related to certain medical and nursing qualifications with an original contract length greater than twelve months was $5.8 million. KTP expects to recognize 75% of this revenue over the next twelve months and the remainder thereafter.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Costs to Obtain a Contract. </w:t>
      </w:r>
      <w:r>
        <w:rPr>
          <w:rFonts w:ascii="Arial" w:cs="Arial" w:eastAsia="Arial" w:hAnsi="Arial"/>
          <w:sz w:val="18"/>
          <w:szCs w:val="18"/>
          <w:color w:val="auto"/>
        </w:rPr>
        <w:t>The following table presents changes in the Company’s costs to obtain a contract asset: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center"/>
              <w:ind w:right="126"/>
              <w:spacing w:after="0"/>
              <w:rPr>
                <w:sz w:val="20"/>
                <w:szCs w:val="20"/>
                <w:color w:val="auto"/>
              </w:rPr>
            </w:pPr>
            <w:r>
              <w:rPr>
                <w:rFonts w:ascii="Arial" w:cs="Arial" w:eastAsia="Arial" w:hAnsi="Arial"/>
                <w:sz w:val="14"/>
                <w:szCs w:val="14"/>
                <w:b w:val="1"/>
                <w:bCs w:val="1"/>
                <w:color w:val="auto"/>
              </w:rPr>
              <w:t>Balance</w:t>
            </w:r>
          </w:p>
        </w:tc>
      </w:tr>
      <w:tr>
        <w:trPr>
          <w:trHeight w:val="162"/>
        </w:trPr>
        <w:tc>
          <w:tcPr>
            <w:tcW w:w="31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0" w:type="dxa"/>
            <w:vAlign w:val="bottom"/>
          </w:tcPr>
          <w:p>
            <w:pPr>
              <w:jc w:val="center"/>
              <w:ind w:right="126"/>
              <w:spacing w:after="0"/>
              <w:rPr>
                <w:sz w:val="20"/>
                <w:szCs w:val="20"/>
                <w:color w:val="auto"/>
              </w:rPr>
            </w:pPr>
            <w:r>
              <w:rPr>
                <w:rFonts w:ascii="Arial" w:cs="Arial" w:eastAsia="Arial" w:hAnsi="Arial"/>
                <w:sz w:val="14"/>
                <w:szCs w:val="14"/>
                <w:b w:val="1"/>
                <w:bCs w:val="1"/>
                <w:color w:val="auto"/>
              </w:rPr>
              <w:t>Balance at</w:t>
            </w:r>
          </w:p>
        </w:tc>
        <w:tc>
          <w:tcPr>
            <w:tcW w:w="340" w:type="dxa"/>
            <w:vAlign w:val="bottom"/>
          </w:tcPr>
          <w:p>
            <w:pPr>
              <w:spacing w:after="0"/>
              <w:rPr>
                <w:sz w:val="14"/>
                <w:szCs w:val="14"/>
                <w:color w:val="auto"/>
              </w:rPr>
            </w:pPr>
          </w:p>
        </w:tc>
        <w:tc>
          <w:tcPr>
            <w:tcW w:w="960" w:type="dxa"/>
            <w:vAlign w:val="bottom"/>
          </w:tcPr>
          <w:p>
            <w:pPr>
              <w:jc w:val="center"/>
              <w:ind w:right="203"/>
              <w:spacing w:after="0"/>
              <w:rPr>
                <w:sz w:val="20"/>
                <w:szCs w:val="20"/>
                <w:color w:val="auto"/>
              </w:rPr>
            </w:pPr>
            <w:r>
              <w:rPr>
                <w:rFonts w:ascii="Arial" w:cs="Arial" w:eastAsia="Arial" w:hAnsi="Arial"/>
                <w:sz w:val="14"/>
                <w:szCs w:val="14"/>
                <w:b w:val="1"/>
                <w:bCs w:val="1"/>
                <w:color w:val="auto"/>
              </w:rPr>
              <w:t>Costs</w:t>
            </w:r>
          </w:p>
        </w:tc>
        <w:tc>
          <w:tcPr>
            <w:tcW w:w="220" w:type="dxa"/>
            <w:vAlign w:val="bottom"/>
          </w:tcPr>
          <w:p>
            <w:pPr>
              <w:spacing w:after="0"/>
              <w:rPr>
                <w:sz w:val="14"/>
                <w:szCs w:val="14"/>
                <w:color w:val="auto"/>
              </w:rPr>
            </w:pPr>
          </w:p>
        </w:tc>
        <w:tc>
          <w:tcPr>
            <w:tcW w:w="1120" w:type="dxa"/>
            <w:vAlign w:val="bottom"/>
          </w:tcPr>
          <w:p>
            <w:pPr>
              <w:jc w:val="center"/>
              <w:ind w:right="145"/>
              <w:spacing w:after="0"/>
              <w:rPr>
                <w:sz w:val="20"/>
                <w:szCs w:val="20"/>
                <w:color w:val="auto"/>
              </w:rPr>
            </w:pPr>
            <w:r>
              <w:rPr>
                <w:rFonts w:ascii="Arial" w:cs="Arial" w:eastAsia="Arial" w:hAnsi="Arial"/>
                <w:sz w:val="14"/>
                <w:szCs w:val="14"/>
                <w:b w:val="1"/>
                <w:bCs w:val="1"/>
                <w:color w:val="auto"/>
              </w:rPr>
              <w:t>Less: Costs</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center"/>
              <w:ind w:right="126"/>
              <w:spacing w:after="0"/>
              <w:rPr>
                <w:sz w:val="20"/>
                <w:szCs w:val="20"/>
                <w:color w:val="auto"/>
              </w:rPr>
            </w:pPr>
            <w:r>
              <w:rPr>
                <w:rFonts w:ascii="Arial" w:cs="Arial" w:eastAsia="Arial" w:hAnsi="Arial"/>
                <w:sz w:val="14"/>
                <w:szCs w:val="14"/>
                <w:b w:val="1"/>
                <w:bCs w:val="1"/>
                <w:color w:val="auto"/>
              </w:rPr>
              <w:t>at</w:t>
            </w:r>
          </w:p>
        </w:tc>
      </w:tr>
      <w:tr>
        <w:trPr>
          <w:trHeight w:val="162"/>
        </w:trPr>
        <w:tc>
          <w:tcPr>
            <w:tcW w:w="31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0" w:type="dxa"/>
            <w:vAlign w:val="bottom"/>
          </w:tcPr>
          <w:p>
            <w:pPr>
              <w:jc w:val="center"/>
              <w:ind w:right="106"/>
              <w:spacing w:after="0"/>
              <w:rPr>
                <w:sz w:val="20"/>
                <w:szCs w:val="20"/>
                <w:color w:val="auto"/>
              </w:rPr>
            </w:pPr>
            <w:r>
              <w:rPr>
                <w:rFonts w:ascii="Arial" w:cs="Arial" w:eastAsia="Arial" w:hAnsi="Arial"/>
                <w:sz w:val="14"/>
                <w:szCs w:val="14"/>
                <w:b w:val="1"/>
                <w:bCs w:val="1"/>
                <w:color w:val="auto"/>
              </w:rPr>
              <w:t>Beginning</w:t>
            </w: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associated with</w:t>
            </w: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amortized during</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center"/>
              <w:ind w:right="126"/>
              <w:spacing w:after="0"/>
              <w:rPr>
                <w:sz w:val="20"/>
                <w:szCs w:val="20"/>
                <w:color w:val="auto"/>
              </w:rPr>
            </w:pPr>
            <w:r>
              <w:rPr>
                <w:rFonts w:ascii="Arial" w:cs="Arial" w:eastAsia="Arial" w:hAnsi="Arial"/>
                <w:sz w:val="14"/>
                <w:szCs w:val="14"/>
                <w:b w:val="1"/>
                <w:bCs w:val="1"/>
                <w:color w:val="auto"/>
              </w:rPr>
              <w:t>End of</w:t>
            </w:r>
          </w:p>
        </w:tc>
      </w:tr>
      <w:tr>
        <w:trPr>
          <w:trHeight w:val="196"/>
        </w:trPr>
        <w:tc>
          <w:tcPr>
            <w:tcW w:w="3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06"/>
              <w:spacing w:after="0"/>
              <w:rPr>
                <w:sz w:val="20"/>
                <w:szCs w:val="20"/>
                <w:color w:val="auto"/>
              </w:rPr>
            </w:pPr>
            <w:r>
              <w:rPr>
                <w:rFonts w:ascii="Arial" w:cs="Arial" w:eastAsia="Arial" w:hAnsi="Arial"/>
                <w:sz w:val="14"/>
                <w:szCs w:val="14"/>
                <w:b w:val="1"/>
                <w:bCs w:val="1"/>
                <w:color w:val="auto"/>
              </w:rPr>
              <w:t>of Period</w:t>
            </w: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new contracts</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45"/>
              <w:spacing w:after="0"/>
              <w:rPr>
                <w:sz w:val="20"/>
                <w:szCs w:val="20"/>
                <w:color w:val="auto"/>
              </w:rPr>
            </w:pPr>
            <w:r>
              <w:rPr>
                <w:rFonts w:ascii="Arial" w:cs="Arial" w:eastAsia="Arial" w:hAnsi="Arial"/>
                <w:sz w:val="14"/>
                <w:szCs w:val="14"/>
                <w:b w:val="1"/>
                <w:bCs w:val="1"/>
                <w:color w:val="auto"/>
              </w:rPr>
              <w:t>the period</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Other</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26"/>
              <w:spacing w:after="0"/>
              <w:rPr>
                <w:sz w:val="20"/>
                <w:szCs w:val="20"/>
                <w:color w:val="auto"/>
              </w:rPr>
            </w:pPr>
            <w:r>
              <w:rPr>
                <w:rFonts w:ascii="Arial" w:cs="Arial" w:eastAsia="Arial" w:hAnsi="Arial"/>
                <w:sz w:val="14"/>
                <w:szCs w:val="14"/>
                <w:b w:val="1"/>
                <w:bCs w:val="1"/>
                <w:color w:val="auto"/>
              </w:rPr>
              <w:t>Period</w:t>
            </w:r>
          </w:p>
        </w:tc>
      </w:tr>
      <w:tr>
        <w:trPr>
          <w:trHeight w:val="250"/>
        </w:trPr>
        <w:tc>
          <w:tcPr>
            <w:tcW w:w="3120" w:type="dxa"/>
            <w:vAlign w:val="bottom"/>
          </w:tcPr>
          <w:p>
            <w:pPr>
              <w:ind w:left="40"/>
              <w:spacing w:after="0"/>
              <w:rPr>
                <w:sz w:val="20"/>
                <w:szCs w:val="20"/>
                <w:color w:val="auto"/>
              </w:rPr>
            </w:pPr>
            <w:r>
              <w:rPr>
                <w:rFonts w:ascii="Arial" w:cs="Arial" w:eastAsia="Arial" w:hAnsi="Arial"/>
                <w:sz w:val="16"/>
                <w:szCs w:val="16"/>
                <w:b w:val="1"/>
                <w:bCs w:val="1"/>
                <w:color w:val="auto"/>
              </w:rPr>
              <w:t>2019</w:t>
            </w:r>
          </w:p>
        </w:tc>
        <w:tc>
          <w:tcPr>
            <w:tcW w:w="23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6"/>
              <w:spacing w:after="0"/>
              <w:rPr>
                <w:sz w:val="20"/>
                <w:szCs w:val="20"/>
                <w:color w:val="auto"/>
              </w:rPr>
            </w:pPr>
            <w:r>
              <w:rPr>
                <w:rFonts w:ascii="Arial" w:cs="Arial" w:eastAsia="Arial" w:hAnsi="Arial"/>
                <w:sz w:val="16"/>
                <w:szCs w:val="16"/>
                <w:b w:val="1"/>
                <w:bCs w:val="1"/>
                <w:color w:val="auto"/>
              </w:rPr>
              <w:t>21,311</w:t>
            </w:r>
          </w:p>
        </w:tc>
        <w:tc>
          <w:tcPr>
            <w:tcW w:w="340" w:type="dxa"/>
            <w:vAlign w:val="bottom"/>
          </w:tcPr>
          <w:p>
            <w:pPr>
              <w:jc w:val="right"/>
              <w:ind w:right="45"/>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3"/>
              <w:spacing w:after="0"/>
              <w:rPr>
                <w:sz w:val="20"/>
                <w:szCs w:val="20"/>
                <w:color w:val="auto"/>
              </w:rPr>
            </w:pPr>
            <w:r>
              <w:rPr>
                <w:rFonts w:ascii="Arial" w:cs="Arial" w:eastAsia="Arial" w:hAnsi="Arial"/>
                <w:sz w:val="16"/>
                <w:szCs w:val="16"/>
                <w:b w:val="1"/>
                <w:bCs w:val="1"/>
                <w:color w:val="auto"/>
              </w:rPr>
              <w:t>19,270</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25"/>
              <w:spacing w:after="0"/>
              <w:rPr>
                <w:sz w:val="20"/>
                <w:szCs w:val="20"/>
                <w:color w:val="auto"/>
              </w:rPr>
            </w:pPr>
            <w:r>
              <w:rPr>
                <w:rFonts w:ascii="Arial" w:cs="Arial" w:eastAsia="Arial" w:hAnsi="Arial"/>
                <w:sz w:val="16"/>
                <w:szCs w:val="16"/>
                <w:b w:val="1"/>
                <w:bCs w:val="1"/>
                <w:color w:val="auto"/>
              </w:rPr>
              <w:t>(25,496)</w:t>
            </w:r>
          </w:p>
        </w:tc>
        <w:tc>
          <w:tcPr>
            <w:tcW w:w="3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63"/>
              <w:spacing w:after="0"/>
              <w:rPr>
                <w:sz w:val="20"/>
                <w:szCs w:val="20"/>
                <w:color w:val="auto"/>
              </w:rPr>
            </w:pPr>
            <w:r>
              <w:rPr>
                <w:rFonts w:ascii="Arial" w:cs="Arial" w:eastAsia="Arial" w:hAnsi="Arial"/>
                <w:sz w:val="16"/>
                <w:szCs w:val="16"/>
                <w:b w:val="1"/>
                <w:bCs w:val="1"/>
                <w:color w:val="auto"/>
              </w:rPr>
              <w:t>119</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6"/>
              <w:spacing w:after="0"/>
              <w:rPr>
                <w:sz w:val="20"/>
                <w:szCs w:val="20"/>
                <w:color w:val="auto"/>
              </w:rPr>
            </w:pPr>
            <w:r>
              <w:rPr>
                <w:rFonts w:ascii="Arial" w:cs="Arial" w:eastAsia="Arial" w:hAnsi="Arial"/>
                <w:sz w:val="16"/>
                <w:szCs w:val="16"/>
                <w:b w:val="1"/>
                <w:bCs w:val="1"/>
                <w:color w:val="auto"/>
              </w:rPr>
              <w:t>15,204</w:t>
            </w:r>
          </w:p>
        </w:tc>
      </w:tr>
    </w:tbl>
    <w:p>
      <w:pPr>
        <w:spacing w:after="0" w:line="356"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The majority of other activity is related to currency translation adjustments during the six months ended June 30, 2019. Amortization expense for costs to obtain a contract was $13.6 million for the three months ended June 30, 2019.</w:t>
      </w:r>
    </w:p>
    <w:p>
      <w:pPr>
        <w:sectPr>
          <w:pgSz w:w="11900" w:h="16838" w:orient="portrait"/>
          <w:cols w:equalWidth="0" w:num="1">
            <w:col w:w="11420"/>
          </w:cols>
          <w:pgMar w:left="240" w:top="697" w:right="2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697" w:right="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11. EARNINGS PER SHARE</w:t>
      </w:r>
    </w:p>
    <w:p>
      <w:pPr>
        <w:spacing w:after="0" w:line="166"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The Company’s unvested restricted stock awards contain nonforfeitable rights to dividends and, therefore, are considered participating securities for purposes of computing earnings per share pursuant to the two-class method. The diluted earnings per share computed under the two-class method is lower than the diluted earnings per share computed under the treasury stock method, resulting in the presentation of the lower amount in diluted earnings per share. The computation of the earnings per share under the two-class method excludes the income attributable to the unvested restricted stock awards from the numerator and excludes the dilutive impact of those underlying shares from the denominator.</w:t>
      </w:r>
    </w:p>
    <w:p>
      <w:pPr>
        <w:spacing w:after="0" w:line="137"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The following reflects the Company’s net income and share data used in the basic and diluted earnings per share computations using the two-class method: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42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6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2018</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50"/>
        </w:trPr>
        <w:tc>
          <w:tcPr>
            <w:tcW w:w="6100" w:type="dxa"/>
            <w:vAlign w:val="bottom"/>
          </w:tcPr>
          <w:p>
            <w:pPr>
              <w:ind w:left="40"/>
              <w:spacing w:after="0"/>
              <w:rPr>
                <w:sz w:val="20"/>
                <w:szCs w:val="20"/>
                <w:color w:val="auto"/>
              </w:rPr>
            </w:pPr>
            <w:r>
              <w:rPr>
                <w:rFonts w:ascii="Arial" w:cs="Arial" w:eastAsia="Arial" w:hAnsi="Arial"/>
                <w:sz w:val="16"/>
                <w:szCs w:val="16"/>
                <w:color w:val="auto"/>
              </w:rPr>
              <w:t>Numerator:</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100" w:type="dxa"/>
            <w:vAlign w:val="bottom"/>
          </w:tcPr>
          <w:p>
            <w:pPr>
              <w:ind w:left="180"/>
              <w:spacing w:after="0"/>
              <w:rPr>
                <w:sz w:val="20"/>
                <w:szCs w:val="20"/>
                <w:color w:val="auto"/>
              </w:rPr>
            </w:pPr>
            <w:r>
              <w:rPr>
                <w:rFonts w:ascii="Arial" w:cs="Arial" w:eastAsia="Arial" w:hAnsi="Arial"/>
                <w:sz w:val="16"/>
                <w:szCs w:val="16"/>
                <w:color w:val="auto"/>
              </w:rPr>
              <w:t>Numerator for basic earnings per share:</w:t>
            </w: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00" w:type="dxa"/>
            <w:vAlign w:val="bottom"/>
          </w:tcPr>
          <w:p>
            <w:pPr>
              <w:ind w:left="280"/>
              <w:spacing w:after="0"/>
              <w:rPr>
                <w:sz w:val="20"/>
                <w:szCs w:val="20"/>
                <w:color w:val="auto"/>
              </w:rPr>
            </w:pPr>
            <w:r>
              <w:rPr>
                <w:rFonts w:ascii="Arial" w:cs="Arial" w:eastAsia="Arial" w:hAnsi="Arial"/>
                <w:sz w:val="16"/>
                <w:szCs w:val="16"/>
                <w:color w:val="auto"/>
              </w:rPr>
              <w:t>Net income attributable to Graham Holdings Company common stockholders</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141"/>
              <w:spacing w:after="0"/>
              <w:rPr>
                <w:sz w:val="20"/>
                <w:szCs w:val="20"/>
                <w:color w:val="auto"/>
              </w:rPr>
            </w:pPr>
            <w:r>
              <w:rPr>
                <w:rFonts w:ascii="Arial" w:cs="Arial" w:eastAsia="Arial" w:hAnsi="Arial"/>
                <w:sz w:val="16"/>
                <w:szCs w:val="16"/>
                <w:b w:val="1"/>
                <w:bCs w:val="1"/>
                <w:color w:val="auto"/>
              </w:rPr>
              <w:t>57,081</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60"/>
              <w:spacing w:after="0"/>
              <w:rPr>
                <w:sz w:val="20"/>
                <w:szCs w:val="20"/>
                <w:color w:val="auto"/>
              </w:rPr>
            </w:pPr>
            <w:r>
              <w:rPr>
                <w:rFonts w:ascii="Arial" w:cs="Arial" w:eastAsia="Arial" w:hAnsi="Arial"/>
                <w:sz w:val="16"/>
                <w:szCs w:val="16"/>
                <w:color w:val="auto"/>
              </w:rPr>
              <w:t>46,566</w:t>
            </w:r>
          </w:p>
        </w:tc>
        <w:tc>
          <w:tcPr>
            <w:tcW w:w="36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61"/>
              <w:spacing w:after="0"/>
              <w:rPr>
                <w:sz w:val="20"/>
                <w:szCs w:val="20"/>
                <w:color w:val="auto"/>
              </w:rPr>
            </w:pPr>
            <w:r>
              <w:rPr>
                <w:rFonts w:ascii="Arial" w:cs="Arial" w:eastAsia="Arial" w:hAnsi="Arial"/>
                <w:sz w:val="16"/>
                <w:szCs w:val="16"/>
                <w:b w:val="1"/>
                <w:bCs w:val="1"/>
                <w:color w:val="auto"/>
              </w:rPr>
              <w:t>138,829</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89,457</w:t>
            </w:r>
          </w:p>
        </w:tc>
        <w:tc>
          <w:tcPr>
            <w:tcW w:w="0" w:type="dxa"/>
            <w:vAlign w:val="bottom"/>
          </w:tcPr>
          <w:p>
            <w:pPr>
              <w:spacing w:after="0"/>
              <w:rPr>
                <w:sz w:val="1"/>
                <w:szCs w:val="1"/>
                <w:color w:val="auto"/>
              </w:rPr>
            </w:pPr>
          </w:p>
        </w:tc>
      </w:tr>
      <w:tr>
        <w:trPr>
          <w:trHeight w:val="283"/>
        </w:trPr>
        <w:tc>
          <w:tcPr>
            <w:tcW w:w="6100" w:type="dxa"/>
            <w:vAlign w:val="bottom"/>
          </w:tcPr>
          <w:p>
            <w:pPr>
              <w:ind w:left="280"/>
              <w:spacing w:after="0"/>
              <w:rPr>
                <w:sz w:val="20"/>
                <w:szCs w:val="20"/>
                <w:color w:val="auto"/>
              </w:rPr>
            </w:pPr>
            <w:r>
              <w:rPr>
                <w:rFonts w:ascii="Arial" w:cs="Arial" w:eastAsia="Arial" w:hAnsi="Arial"/>
                <w:sz w:val="16"/>
                <w:szCs w:val="16"/>
                <w:color w:val="auto"/>
              </w:rPr>
              <w:t>Less: Dividends paid-common stock outstanding and unvested restricted shares</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(7,388)</w:t>
            </w: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(6,948)</w:t>
            </w: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(22,167)</w:t>
            </w: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(21,587)</w:t>
            </w:r>
          </w:p>
        </w:tc>
        <w:tc>
          <w:tcPr>
            <w:tcW w:w="0" w:type="dxa"/>
            <w:vAlign w:val="bottom"/>
          </w:tcPr>
          <w:p>
            <w:pPr>
              <w:spacing w:after="0"/>
              <w:rPr>
                <w:sz w:val="1"/>
                <w:szCs w:val="1"/>
                <w:color w:val="auto"/>
              </w:rPr>
            </w:pPr>
          </w:p>
        </w:tc>
      </w:tr>
      <w:tr>
        <w:trPr>
          <w:trHeight w:val="251"/>
        </w:trPr>
        <w:tc>
          <w:tcPr>
            <w:tcW w:w="6100" w:type="dxa"/>
            <w:vAlign w:val="bottom"/>
          </w:tcPr>
          <w:p>
            <w:pPr>
              <w:ind w:left="280"/>
              <w:spacing w:after="0"/>
              <w:rPr>
                <w:sz w:val="20"/>
                <w:szCs w:val="20"/>
                <w:color w:val="auto"/>
              </w:rPr>
            </w:pPr>
            <w:r>
              <w:rPr>
                <w:rFonts w:ascii="Arial" w:cs="Arial" w:eastAsia="Arial" w:hAnsi="Arial"/>
                <w:sz w:val="16"/>
                <w:szCs w:val="16"/>
                <w:color w:val="auto"/>
              </w:rPr>
              <w:t>Undistributed earnings</w:t>
            </w:r>
          </w:p>
        </w:tc>
        <w:tc>
          <w:tcPr>
            <w:tcW w:w="280" w:type="dxa"/>
            <w:vAlign w:val="bottom"/>
          </w:tcPr>
          <w:p>
            <w:pPr>
              <w:spacing w:after="0"/>
              <w:rPr>
                <w:sz w:val="21"/>
                <w:szCs w:val="21"/>
                <w:color w:val="auto"/>
              </w:rPr>
            </w:pPr>
          </w:p>
        </w:tc>
        <w:tc>
          <w:tcPr>
            <w:tcW w:w="960" w:type="dxa"/>
            <w:vAlign w:val="bottom"/>
          </w:tcPr>
          <w:p>
            <w:pPr>
              <w:jc w:val="right"/>
              <w:ind w:right="141"/>
              <w:spacing w:after="0"/>
              <w:rPr>
                <w:sz w:val="20"/>
                <w:szCs w:val="20"/>
                <w:color w:val="auto"/>
              </w:rPr>
            </w:pPr>
            <w:r>
              <w:rPr>
                <w:rFonts w:ascii="Arial" w:cs="Arial" w:eastAsia="Arial" w:hAnsi="Arial"/>
                <w:sz w:val="16"/>
                <w:szCs w:val="16"/>
                <w:b w:val="1"/>
                <w:bCs w:val="1"/>
                <w:color w:val="auto"/>
              </w:rPr>
              <w:t>49,693</w:t>
            </w:r>
          </w:p>
        </w:tc>
        <w:tc>
          <w:tcPr>
            <w:tcW w:w="400" w:type="dxa"/>
            <w:vAlign w:val="bottom"/>
          </w:tcPr>
          <w:p>
            <w:pPr>
              <w:spacing w:after="0"/>
              <w:rPr>
                <w:sz w:val="21"/>
                <w:szCs w:val="21"/>
                <w:color w:val="auto"/>
              </w:rPr>
            </w:pPr>
          </w:p>
        </w:tc>
        <w:tc>
          <w:tcPr>
            <w:tcW w:w="900" w:type="dxa"/>
            <w:vAlign w:val="bottom"/>
          </w:tcPr>
          <w:p>
            <w:pPr>
              <w:jc w:val="right"/>
              <w:ind w:right="160"/>
              <w:spacing w:after="0"/>
              <w:rPr>
                <w:sz w:val="20"/>
                <w:szCs w:val="20"/>
                <w:color w:val="auto"/>
              </w:rPr>
            </w:pPr>
            <w:r>
              <w:rPr>
                <w:rFonts w:ascii="Arial" w:cs="Arial" w:eastAsia="Arial" w:hAnsi="Arial"/>
                <w:sz w:val="16"/>
                <w:szCs w:val="16"/>
                <w:color w:val="auto"/>
              </w:rPr>
              <w:t>39,618</w:t>
            </w:r>
          </w:p>
        </w:tc>
        <w:tc>
          <w:tcPr>
            <w:tcW w:w="360" w:type="dxa"/>
            <w:vAlign w:val="bottom"/>
          </w:tcPr>
          <w:p>
            <w:pPr>
              <w:spacing w:after="0"/>
              <w:rPr>
                <w:sz w:val="21"/>
                <w:szCs w:val="21"/>
                <w:color w:val="auto"/>
              </w:rPr>
            </w:pPr>
          </w:p>
        </w:tc>
        <w:tc>
          <w:tcPr>
            <w:tcW w:w="1060" w:type="dxa"/>
            <w:vAlign w:val="bottom"/>
          </w:tcPr>
          <w:p>
            <w:pPr>
              <w:jc w:val="right"/>
              <w:ind w:right="161"/>
              <w:spacing w:after="0"/>
              <w:rPr>
                <w:sz w:val="20"/>
                <w:szCs w:val="20"/>
                <w:color w:val="auto"/>
              </w:rPr>
            </w:pPr>
            <w:r>
              <w:rPr>
                <w:rFonts w:ascii="Arial" w:cs="Arial" w:eastAsia="Arial" w:hAnsi="Arial"/>
                <w:sz w:val="16"/>
                <w:szCs w:val="16"/>
                <w:b w:val="1"/>
                <w:bCs w:val="1"/>
                <w:color w:val="auto"/>
              </w:rPr>
              <w:t>116,662</w:t>
            </w:r>
          </w:p>
        </w:tc>
        <w:tc>
          <w:tcPr>
            <w:tcW w:w="420" w:type="dxa"/>
            <w:vAlign w:val="bottom"/>
          </w:tcPr>
          <w:p>
            <w:pPr>
              <w:spacing w:after="0"/>
              <w:rPr>
                <w:sz w:val="21"/>
                <w:szCs w:val="21"/>
                <w:color w:val="auto"/>
              </w:rPr>
            </w:pP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67,870</w:t>
            </w:r>
          </w:p>
        </w:tc>
        <w:tc>
          <w:tcPr>
            <w:tcW w:w="0" w:type="dxa"/>
            <w:vAlign w:val="bottom"/>
          </w:tcPr>
          <w:p>
            <w:pPr>
              <w:spacing w:after="0"/>
              <w:rPr>
                <w:sz w:val="1"/>
                <w:szCs w:val="1"/>
                <w:color w:val="auto"/>
              </w:rPr>
            </w:pPr>
          </w:p>
        </w:tc>
      </w:tr>
      <w:tr>
        <w:trPr>
          <w:trHeight w:val="283"/>
        </w:trPr>
        <w:tc>
          <w:tcPr>
            <w:tcW w:w="6100" w:type="dxa"/>
            <w:vAlign w:val="bottom"/>
          </w:tcPr>
          <w:p>
            <w:pPr>
              <w:ind w:left="280"/>
              <w:spacing w:after="0"/>
              <w:rPr>
                <w:sz w:val="20"/>
                <w:szCs w:val="20"/>
                <w:color w:val="auto"/>
              </w:rPr>
            </w:pPr>
            <w:r>
              <w:rPr>
                <w:rFonts w:ascii="Arial" w:cs="Arial" w:eastAsia="Arial" w:hAnsi="Arial"/>
                <w:sz w:val="16"/>
                <w:szCs w:val="16"/>
                <w:color w:val="auto"/>
              </w:rPr>
              <w:t>Percent allocated to common stockholders</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99.43%</w:t>
            </w: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99.33%</w:t>
            </w: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99.43%</w:t>
            </w: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99.33%</w:t>
            </w:r>
          </w:p>
        </w:tc>
        <w:tc>
          <w:tcPr>
            <w:tcW w:w="0" w:type="dxa"/>
            <w:vAlign w:val="bottom"/>
          </w:tcPr>
          <w:p>
            <w:pPr>
              <w:spacing w:after="0"/>
              <w:rPr>
                <w:sz w:val="1"/>
                <w:szCs w:val="1"/>
                <w:color w:val="auto"/>
              </w:rPr>
            </w:pPr>
          </w:p>
        </w:tc>
      </w:tr>
      <w:tr>
        <w:trPr>
          <w:trHeight w:val="251"/>
        </w:trPr>
        <w:tc>
          <w:tcPr>
            <w:tcW w:w="6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41"/>
              <w:spacing w:after="0"/>
              <w:rPr>
                <w:sz w:val="20"/>
                <w:szCs w:val="20"/>
                <w:color w:val="auto"/>
              </w:rPr>
            </w:pPr>
            <w:r>
              <w:rPr>
                <w:rFonts w:ascii="Arial" w:cs="Arial" w:eastAsia="Arial" w:hAnsi="Arial"/>
                <w:sz w:val="16"/>
                <w:szCs w:val="16"/>
                <w:b w:val="1"/>
                <w:bCs w:val="1"/>
                <w:color w:val="auto"/>
              </w:rPr>
              <w:t>49,410</w:t>
            </w:r>
          </w:p>
        </w:tc>
        <w:tc>
          <w:tcPr>
            <w:tcW w:w="400" w:type="dxa"/>
            <w:vAlign w:val="bottom"/>
          </w:tcPr>
          <w:p>
            <w:pPr>
              <w:spacing w:after="0"/>
              <w:rPr>
                <w:sz w:val="21"/>
                <w:szCs w:val="21"/>
                <w:color w:val="auto"/>
              </w:rPr>
            </w:pPr>
          </w:p>
        </w:tc>
        <w:tc>
          <w:tcPr>
            <w:tcW w:w="900" w:type="dxa"/>
            <w:vAlign w:val="bottom"/>
          </w:tcPr>
          <w:p>
            <w:pPr>
              <w:jc w:val="right"/>
              <w:ind w:right="160"/>
              <w:spacing w:after="0"/>
              <w:rPr>
                <w:sz w:val="20"/>
                <w:szCs w:val="20"/>
                <w:color w:val="auto"/>
              </w:rPr>
            </w:pPr>
            <w:r>
              <w:rPr>
                <w:rFonts w:ascii="Arial" w:cs="Arial" w:eastAsia="Arial" w:hAnsi="Arial"/>
                <w:sz w:val="16"/>
                <w:szCs w:val="16"/>
                <w:color w:val="auto"/>
              </w:rPr>
              <w:t>39,352</w:t>
            </w:r>
          </w:p>
        </w:tc>
        <w:tc>
          <w:tcPr>
            <w:tcW w:w="360" w:type="dxa"/>
            <w:vAlign w:val="bottom"/>
          </w:tcPr>
          <w:p>
            <w:pPr>
              <w:spacing w:after="0"/>
              <w:rPr>
                <w:sz w:val="21"/>
                <w:szCs w:val="21"/>
                <w:color w:val="auto"/>
              </w:rPr>
            </w:pPr>
          </w:p>
        </w:tc>
        <w:tc>
          <w:tcPr>
            <w:tcW w:w="1060" w:type="dxa"/>
            <w:vAlign w:val="bottom"/>
          </w:tcPr>
          <w:p>
            <w:pPr>
              <w:jc w:val="right"/>
              <w:ind w:right="161"/>
              <w:spacing w:after="0"/>
              <w:rPr>
                <w:sz w:val="20"/>
                <w:szCs w:val="20"/>
                <w:color w:val="auto"/>
              </w:rPr>
            </w:pPr>
            <w:r>
              <w:rPr>
                <w:rFonts w:ascii="Arial" w:cs="Arial" w:eastAsia="Arial" w:hAnsi="Arial"/>
                <w:sz w:val="16"/>
                <w:szCs w:val="16"/>
                <w:b w:val="1"/>
                <w:bCs w:val="1"/>
                <w:color w:val="auto"/>
              </w:rPr>
              <w:t>115,997</w:t>
            </w:r>
          </w:p>
        </w:tc>
        <w:tc>
          <w:tcPr>
            <w:tcW w:w="420" w:type="dxa"/>
            <w:vAlign w:val="bottom"/>
          </w:tcPr>
          <w:p>
            <w:pPr>
              <w:spacing w:after="0"/>
              <w:rPr>
                <w:sz w:val="21"/>
                <w:szCs w:val="21"/>
                <w:color w:val="auto"/>
              </w:rPr>
            </w:pP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67,416</w:t>
            </w:r>
          </w:p>
        </w:tc>
        <w:tc>
          <w:tcPr>
            <w:tcW w:w="0" w:type="dxa"/>
            <w:vAlign w:val="bottom"/>
          </w:tcPr>
          <w:p>
            <w:pPr>
              <w:spacing w:after="0"/>
              <w:rPr>
                <w:sz w:val="1"/>
                <w:szCs w:val="1"/>
                <w:color w:val="auto"/>
              </w:rPr>
            </w:pPr>
          </w:p>
        </w:tc>
      </w:tr>
      <w:tr>
        <w:trPr>
          <w:trHeight w:val="283"/>
        </w:trPr>
        <w:tc>
          <w:tcPr>
            <w:tcW w:w="6100" w:type="dxa"/>
            <w:vAlign w:val="bottom"/>
          </w:tcPr>
          <w:p>
            <w:pPr>
              <w:ind w:left="280"/>
              <w:spacing w:after="0"/>
              <w:rPr>
                <w:sz w:val="20"/>
                <w:szCs w:val="20"/>
                <w:color w:val="auto"/>
              </w:rPr>
            </w:pPr>
            <w:r>
              <w:rPr>
                <w:rFonts w:ascii="Arial" w:cs="Arial" w:eastAsia="Arial" w:hAnsi="Arial"/>
                <w:sz w:val="16"/>
                <w:szCs w:val="16"/>
                <w:color w:val="auto"/>
              </w:rPr>
              <w:t>Add: Dividends paid-common stock outstanding</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7,346</w:t>
            </w: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6,901</w:t>
            </w: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22,041</w:t>
            </w: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21,444</w:t>
            </w:r>
          </w:p>
        </w:tc>
        <w:tc>
          <w:tcPr>
            <w:tcW w:w="0" w:type="dxa"/>
            <w:vAlign w:val="bottom"/>
          </w:tcPr>
          <w:p>
            <w:pPr>
              <w:spacing w:after="0"/>
              <w:rPr>
                <w:sz w:val="1"/>
                <w:szCs w:val="1"/>
                <w:color w:val="auto"/>
              </w:rPr>
            </w:pPr>
          </w:p>
        </w:tc>
      </w:tr>
      <w:tr>
        <w:trPr>
          <w:trHeight w:val="267"/>
        </w:trPr>
        <w:tc>
          <w:tcPr>
            <w:tcW w:w="6100" w:type="dxa"/>
            <w:vAlign w:val="bottom"/>
          </w:tcPr>
          <w:p>
            <w:pPr>
              <w:ind w:left="280"/>
              <w:spacing w:after="0"/>
              <w:rPr>
                <w:sz w:val="20"/>
                <w:szCs w:val="20"/>
                <w:color w:val="auto"/>
              </w:rPr>
            </w:pPr>
            <w:r>
              <w:rPr>
                <w:rFonts w:ascii="Arial" w:cs="Arial" w:eastAsia="Arial" w:hAnsi="Arial"/>
                <w:sz w:val="16"/>
                <w:szCs w:val="16"/>
                <w:color w:val="auto"/>
              </w:rPr>
              <w:t>Numerator for basic earnings per share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56,756</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46,253</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138,038</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88,860</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6100" w:type="dxa"/>
            <w:vAlign w:val="bottom"/>
          </w:tcPr>
          <w:p>
            <w:pPr>
              <w:ind w:left="280"/>
              <w:spacing w:after="0"/>
              <w:rPr>
                <w:sz w:val="20"/>
                <w:szCs w:val="20"/>
                <w:color w:val="auto"/>
              </w:rPr>
            </w:pPr>
            <w:r>
              <w:rPr>
                <w:rFonts w:ascii="Arial" w:cs="Arial" w:eastAsia="Arial" w:hAnsi="Arial"/>
                <w:sz w:val="16"/>
                <w:szCs w:val="16"/>
                <w:color w:val="auto"/>
              </w:rPr>
              <w:t>Add: Additional undistributed earnings due to dilutive stock options</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2</w:t>
            </w:r>
          </w:p>
        </w:tc>
        <w:tc>
          <w:tcPr>
            <w:tcW w:w="4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2</w:t>
            </w: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5</w:t>
            </w: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64"/>
        </w:trPr>
        <w:tc>
          <w:tcPr>
            <w:tcW w:w="6100" w:type="dxa"/>
            <w:vAlign w:val="bottom"/>
          </w:tcPr>
          <w:p>
            <w:pPr>
              <w:ind w:left="180"/>
              <w:spacing w:after="0"/>
              <w:rPr>
                <w:sz w:val="20"/>
                <w:szCs w:val="20"/>
                <w:color w:val="auto"/>
              </w:rPr>
            </w:pPr>
            <w:r>
              <w:rPr>
                <w:rFonts w:ascii="Arial" w:cs="Arial" w:eastAsia="Arial" w:hAnsi="Arial"/>
                <w:sz w:val="16"/>
                <w:szCs w:val="16"/>
                <w:color w:val="auto"/>
              </w:rPr>
              <w:t>Numerator for diluted earnings per share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56,758</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46,255</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138,043</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88,863</w:t>
            </w:r>
          </w:p>
        </w:tc>
        <w:tc>
          <w:tcPr>
            <w:tcW w:w="0" w:type="dxa"/>
            <w:vAlign w:val="bottom"/>
          </w:tcPr>
          <w:p>
            <w:pPr>
              <w:spacing w:after="0"/>
              <w:rPr>
                <w:sz w:val="1"/>
                <w:szCs w:val="1"/>
                <w:color w:val="auto"/>
              </w:rPr>
            </w:pPr>
          </w:p>
        </w:tc>
      </w:tr>
      <w:tr>
        <w:trPr>
          <w:trHeight w:val="20"/>
        </w:trPr>
        <w:tc>
          <w:tcPr>
            <w:tcW w:w="6100" w:type="dxa"/>
            <w:vAlign w:val="bottom"/>
            <w:vMerge w:val="restart"/>
          </w:tcPr>
          <w:p>
            <w:pPr>
              <w:ind w:left="40"/>
              <w:spacing w:after="0"/>
              <w:rPr>
                <w:sz w:val="20"/>
                <w:szCs w:val="20"/>
                <w:color w:val="auto"/>
              </w:rPr>
            </w:pPr>
            <w:r>
              <w:rPr>
                <w:rFonts w:ascii="Arial" w:cs="Arial" w:eastAsia="Arial" w:hAnsi="Arial"/>
                <w:sz w:val="16"/>
                <w:szCs w:val="16"/>
                <w:color w:val="auto"/>
              </w:rPr>
              <w:t>Denominator:</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1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100" w:type="dxa"/>
            <w:vAlign w:val="bottom"/>
          </w:tcPr>
          <w:p>
            <w:pPr>
              <w:ind w:left="180"/>
              <w:spacing w:after="0"/>
              <w:rPr>
                <w:sz w:val="20"/>
                <w:szCs w:val="20"/>
                <w:color w:val="auto"/>
              </w:rPr>
            </w:pPr>
            <w:r>
              <w:rPr>
                <w:rFonts w:ascii="Arial" w:cs="Arial" w:eastAsia="Arial" w:hAnsi="Arial"/>
                <w:sz w:val="16"/>
                <w:szCs w:val="16"/>
                <w:color w:val="auto"/>
              </w:rPr>
              <w:t>Denominator for basic earnings per share:</w:t>
            </w: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00" w:type="dxa"/>
            <w:vAlign w:val="bottom"/>
          </w:tcPr>
          <w:p>
            <w:pPr>
              <w:ind w:left="280"/>
              <w:spacing w:after="0"/>
              <w:rPr>
                <w:sz w:val="20"/>
                <w:szCs w:val="20"/>
                <w:color w:val="auto"/>
              </w:rPr>
            </w:pPr>
            <w:r>
              <w:rPr>
                <w:rFonts w:ascii="Arial" w:cs="Arial" w:eastAsia="Arial" w:hAnsi="Arial"/>
                <w:sz w:val="16"/>
                <w:szCs w:val="16"/>
                <w:color w:val="auto"/>
              </w:rPr>
              <w:t>Weighted average shares outstanding</w:t>
            </w:r>
          </w:p>
        </w:tc>
        <w:tc>
          <w:tcPr>
            <w:tcW w:w="280" w:type="dxa"/>
            <w:vAlign w:val="bottom"/>
          </w:tcPr>
          <w:p>
            <w:pPr>
              <w:spacing w:after="0"/>
              <w:rPr>
                <w:sz w:val="23"/>
                <w:szCs w:val="23"/>
                <w:color w:val="auto"/>
              </w:rPr>
            </w:pPr>
          </w:p>
        </w:tc>
        <w:tc>
          <w:tcPr>
            <w:tcW w:w="960" w:type="dxa"/>
            <w:vAlign w:val="bottom"/>
          </w:tcPr>
          <w:p>
            <w:pPr>
              <w:jc w:val="right"/>
              <w:ind w:right="141"/>
              <w:spacing w:after="0"/>
              <w:rPr>
                <w:sz w:val="20"/>
                <w:szCs w:val="20"/>
                <w:color w:val="auto"/>
              </w:rPr>
            </w:pPr>
            <w:r>
              <w:rPr>
                <w:rFonts w:ascii="Arial" w:cs="Arial" w:eastAsia="Arial" w:hAnsi="Arial"/>
                <w:sz w:val="16"/>
                <w:szCs w:val="16"/>
                <w:b w:val="1"/>
                <w:bCs w:val="1"/>
                <w:color w:val="auto"/>
              </w:rPr>
              <w:t>5,285</w:t>
            </w:r>
          </w:p>
        </w:tc>
        <w:tc>
          <w:tcPr>
            <w:tcW w:w="400" w:type="dxa"/>
            <w:vAlign w:val="bottom"/>
          </w:tcPr>
          <w:p>
            <w:pPr>
              <w:spacing w:after="0"/>
              <w:rPr>
                <w:sz w:val="23"/>
                <w:szCs w:val="23"/>
                <w:color w:val="auto"/>
              </w:rPr>
            </w:pPr>
          </w:p>
        </w:tc>
        <w:tc>
          <w:tcPr>
            <w:tcW w:w="900" w:type="dxa"/>
            <w:vAlign w:val="bottom"/>
          </w:tcPr>
          <w:p>
            <w:pPr>
              <w:jc w:val="right"/>
              <w:ind w:right="160"/>
              <w:spacing w:after="0"/>
              <w:rPr>
                <w:sz w:val="20"/>
                <w:szCs w:val="20"/>
                <w:color w:val="auto"/>
              </w:rPr>
            </w:pPr>
            <w:r>
              <w:rPr>
                <w:rFonts w:ascii="Arial" w:cs="Arial" w:eastAsia="Arial" w:hAnsi="Arial"/>
                <w:sz w:val="16"/>
                <w:szCs w:val="16"/>
                <w:color w:val="auto"/>
              </w:rPr>
              <w:t>5,325</w:t>
            </w:r>
          </w:p>
        </w:tc>
        <w:tc>
          <w:tcPr>
            <w:tcW w:w="360" w:type="dxa"/>
            <w:vAlign w:val="bottom"/>
          </w:tcPr>
          <w:p>
            <w:pPr>
              <w:spacing w:after="0"/>
              <w:rPr>
                <w:sz w:val="23"/>
                <w:szCs w:val="23"/>
                <w:color w:val="auto"/>
              </w:rPr>
            </w:pPr>
          </w:p>
        </w:tc>
        <w:tc>
          <w:tcPr>
            <w:tcW w:w="1060" w:type="dxa"/>
            <w:vAlign w:val="bottom"/>
          </w:tcPr>
          <w:p>
            <w:pPr>
              <w:jc w:val="right"/>
              <w:ind w:right="161"/>
              <w:spacing w:after="0"/>
              <w:rPr>
                <w:sz w:val="20"/>
                <w:szCs w:val="20"/>
                <w:color w:val="auto"/>
              </w:rPr>
            </w:pPr>
            <w:r>
              <w:rPr>
                <w:rFonts w:ascii="Arial" w:cs="Arial" w:eastAsia="Arial" w:hAnsi="Arial"/>
                <w:sz w:val="16"/>
                <w:szCs w:val="16"/>
                <w:b w:val="1"/>
                <w:bCs w:val="1"/>
                <w:color w:val="auto"/>
              </w:rPr>
              <w:t>5,285</w:t>
            </w:r>
          </w:p>
        </w:tc>
        <w:tc>
          <w:tcPr>
            <w:tcW w:w="420" w:type="dxa"/>
            <w:vAlign w:val="bottom"/>
          </w:tcPr>
          <w:p>
            <w:pPr>
              <w:spacing w:after="0"/>
              <w:rPr>
                <w:sz w:val="23"/>
                <w:szCs w:val="23"/>
                <w:color w:val="auto"/>
              </w:rPr>
            </w:pP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5,380</w:t>
            </w:r>
          </w:p>
        </w:tc>
        <w:tc>
          <w:tcPr>
            <w:tcW w:w="0" w:type="dxa"/>
            <w:vAlign w:val="bottom"/>
          </w:tcPr>
          <w:p>
            <w:pPr>
              <w:spacing w:after="0"/>
              <w:rPr>
                <w:sz w:val="1"/>
                <w:szCs w:val="1"/>
                <w:color w:val="auto"/>
              </w:rPr>
            </w:pPr>
          </w:p>
        </w:tc>
      </w:tr>
      <w:tr>
        <w:trPr>
          <w:trHeight w:val="283"/>
        </w:trPr>
        <w:tc>
          <w:tcPr>
            <w:tcW w:w="6100" w:type="dxa"/>
            <w:vAlign w:val="bottom"/>
          </w:tcPr>
          <w:p>
            <w:pPr>
              <w:ind w:left="280"/>
              <w:spacing w:after="0"/>
              <w:rPr>
                <w:sz w:val="20"/>
                <w:szCs w:val="20"/>
                <w:color w:val="auto"/>
              </w:rPr>
            </w:pPr>
            <w:r>
              <w:rPr>
                <w:rFonts w:ascii="Arial" w:cs="Arial" w:eastAsia="Arial" w:hAnsi="Arial"/>
                <w:sz w:val="16"/>
                <w:szCs w:val="16"/>
                <w:color w:val="auto"/>
              </w:rPr>
              <w:t>Add: Effect of dilutive stock options</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44</w:t>
            </w: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37</w:t>
            </w: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43</w:t>
            </w: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64"/>
        </w:trPr>
        <w:tc>
          <w:tcPr>
            <w:tcW w:w="6100" w:type="dxa"/>
            <w:vAlign w:val="bottom"/>
          </w:tcPr>
          <w:p>
            <w:pPr>
              <w:ind w:left="180"/>
              <w:spacing w:after="0"/>
              <w:rPr>
                <w:sz w:val="20"/>
                <w:szCs w:val="20"/>
                <w:color w:val="auto"/>
              </w:rPr>
            </w:pPr>
            <w:r>
              <w:rPr>
                <w:rFonts w:ascii="Arial" w:cs="Arial" w:eastAsia="Arial" w:hAnsi="Arial"/>
                <w:sz w:val="16"/>
                <w:szCs w:val="16"/>
                <w:color w:val="auto"/>
              </w:rPr>
              <w:t>Denominator for diluted earnings per share</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5,329</w:t>
            </w: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5,362</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5,328</w:t>
            </w: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5,417</w:t>
            </w:r>
          </w:p>
        </w:tc>
        <w:tc>
          <w:tcPr>
            <w:tcW w:w="0" w:type="dxa"/>
            <w:vAlign w:val="bottom"/>
          </w:tcPr>
          <w:p>
            <w:pPr>
              <w:spacing w:after="0"/>
              <w:rPr>
                <w:sz w:val="1"/>
                <w:szCs w:val="1"/>
                <w:color w:val="auto"/>
              </w:rPr>
            </w:pPr>
          </w:p>
        </w:tc>
      </w:tr>
      <w:tr>
        <w:trPr>
          <w:trHeight w:val="20"/>
        </w:trPr>
        <w:tc>
          <w:tcPr>
            <w:tcW w:w="61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Graham Holdings Company Common Stockholders:</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1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6100" w:type="dxa"/>
            <w:vAlign w:val="bottom"/>
          </w:tcPr>
          <w:p>
            <w:pPr>
              <w:ind w:left="180"/>
              <w:spacing w:after="0"/>
              <w:rPr>
                <w:sz w:val="20"/>
                <w:szCs w:val="20"/>
                <w:color w:val="auto"/>
              </w:rPr>
            </w:pPr>
            <w:r>
              <w:rPr>
                <w:rFonts w:ascii="Arial" w:cs="Arial" w:eastAsia="Arial" w:hAnsi="Arial"/>
                <w:sz w:val="16"/>
                <w:szCs w:val="16"/>
                <w:b w:val="1"/>
                <w:bCs w:val="1"/>
                <w:color w:val="auto"/>
              </w:rPr>
              <w:t>Basic earnings per share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10.74</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8.69</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26.12</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16.52</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100" w:type="dxa"/>
            <w:vAlign w:val="bottom"/>
          </w:tcPr>
          <w:p>
            <w:pPr>
              <w:ind w:left="180"/>
              <w:spacing w:after="0"/>
              <w:rPr>
                <w:sz w:val="20"/>
                <w:szCs w:val="20"/>
                <w:color w:val="auto"/>
              </w:rPr>
            </w:pPr>
            <w:r>
              <w:rPr>
                <w:rFonts w:ascii="Arial" w:cs="Arial" w:eastAsia="Arial" w:hAnsi="Arial"/>
                <w:sz w:val="16"/>
                <w:szCs w:val="16"/>
                <w:b w:val="1"/>
                <w:bCs w:val="1"/>
                <w:color w:val="auto"/>
              </w:rPr>
              <w:t>Diluted earnings per share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10.65</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8.63</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25.91</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16.40</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Diluted earnings per share excludes the following weighted average potential common shares, as the effect would be antidilutive, as computed under the treasury stock method: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2060" w:type="dxa"/>
            <w:vAlign w:val="bottom"/>
            <w:gridSpan w:val="2"/>
          </w:tcPr>
          <w:p>
            <w:pPr>
              <w:jc w:val="right"/>
              <w:ind w:right="65"/>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2280" w:type="dxa"/>
            <w:vAlign w:val="bottom"/>
            <w:gridSpan w:val="2"/>
          </w:tcPr>
          <w:p>
            <w:pPr>
              <w:jc w:val="right"/>
              <w:ind w:right="503"/>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52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5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66"/>
              <w:spacing w:after="0"/>
              <w:rPr>
                <w:sz w:val="20"/>
                <w:szCs w:val="20"/>
                <w:color w:val="auto"/>
              </w:rPr>
            </w:pPr>
            <w:r>
              <w:rPr>
                <w:rFonts w:ascii="Arial" w:cs="Arial" w:eastAsia="Arial" w:hAnsi="Arial"/>
                <w:sz w:val="14"/>
                <w:szCs w:val="14"/>
                <w:b w:val="1"/>
                <w:bCs w:val="1"/>
                <w:color w:val="auto"/>
              </w:rPr>
              <w:t>2019</w:t>
            </w:r>
          </w:p>
        </w:tc>
        <w:tc>
          <w:tcPr>
            <w:tcW w:w="80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color w:val="auto"/>
              </w:rPr>
              <w:t>2018</w:t>
            </w:r>
          </w:p>
        </w:tc>
      </w:tr>
      <w:tr>
        <w:trPr>
          <w:trHeight w:val="250"/>
        </w:trPr>
        <w:tc>
          <w:tcPr>
            <w:tcW w:w="6520" w:type="dxa"/>
            <w:vAlign w:val="bottom"/>
          </w:tcPr>
          <w:p>
            <w:pPr>
              <w:ind w:left="180"/>
              <w:spacing w:after="0"/>
              <w:rPr>
                <w:sz w:val="20"/>
                <w:szCs w:val="20"/>
                <w:color w:val="auto"/>
              </w:rPr>
            </w:pPr>
            <w:r>
              <w:rPr>
                <w:rFonts w:ascii="Arial" w:cs="Arial" w:eastAsia="Arial" w:hAnsi="Arial"/>
                <w:sz w:val="16"/>
                <w:szCs w:val="16"/>
                <w:color w:val="auto"/>
              </w:rPr>
              <w:t>Weighted average restricted stock</w:t>
            </w:r>
          </w:p>
        </w:tc>
        <w:tc>
          <w:tcPr>
            <w:tcW w:w="800" w:type="dxa"/>
            <w:vAlign w:val="bottom"/>
          </w:tcPr>
          <w:p>
            <w:pPr>
              <w:spacing w:after="0"/>
              <w:rPr>
                <w:sz w:val="21"/>
                <w:szCs w:val="21"/>
                <w:color w:val="auto"/>
              </w:rPr>
            </w:pPr>
          </w:p>
        </w:tc>
        <w:tc>
          <w:tcPr>
            <w:tcW w:w="1260" w:type="dxa"/>
            <w:vAlign w:val="bottom"/>
          </w:tcPr>
          <w:p>
            <w:pPr>
              <w:jc w:val="right"/>
              <w:ind w:right="945"/>
              <w:spacing w:after="0"/>
              <w:rPr>
                <w:sz w:val="20"/>
                <w:szCs w:val="20"/>
                <w:color w:val="auto"/>
              </w:rPr>
            </w:pPr>
            <w:r>
              <w:rPr>
                <w:rFonts w:ascii="Arial" w:cs="Arial" w:eastAsia="Arial" w:hAnsi="Arial"/>
                <w:sz w:val="16"/>
                <w:szCs w:val="16"/>
                <w:b w:val="1"/>
                <w:bCs w:val="1"/>
                <w:color w:val="auto"/>
              </w:rPr>
              <w:t>12</w:t>
            </w:r>
          </w:p>
        </w:tc>
        <w:tc>
          <w:tcPr>
            <w:tcW w:w="560" w:type="dxa"/>
            <w:vAlign w:val="bottom"/>
          </w:tcPr>
          <w:p>
            <w:pPr>
              <w:jc w:val="right"/>
              <w:ind w:right="239"/>
              <w:spacing w:after="0"/>
              <w:rPr>
                <w:sz w:val="20"/>
                <w:szCs w:val="20"/>
                <w:color w:val="auto"/>
              </w:rPr>
            </w:pPr>
            <w:r>
              <w:rPr>
                <w:rFonts w:ascii="Arial" w:cs="Arial" w:eastAsia="Arial" w:hAnsi="Arial"/>
                <w:sz w:val="16"/>
                <w:szCs w:val="16"/>
                <w:color w:val="auto"/>
              </w:rPr>
              <w:t>21</w:t>
            </w:r>
          </w:p>
        </w:tc>
        <w:tc>
          <w:tcPr>
            <w:tcW w:w="1480" w:type="dxa"/>
            <w:vAlign w:val="bottom"/>
          </w:tcPr>
          <w:p>
            <w:pPr>
              <w:jc w:val="right"/>
              <w:ind w:right="486"/>
              <w:spacing w:after="0"/>
              <w:rPr>
                <w:sz w:val="20"/>
                <w:szCs w:val="20"/>
                <w:color w:val="auto"/>
              </w:rPr>
            </w:pPr>
            <w:r>
              <w:rPr>
                <w:rFonts w:ascii="Arial" w:cs="Arial" w:eastAsia="Arial" w:hAnsi="Arial"/>
                <w:sz w:val="16"/>
                <w:szCs w:val="16"/>
                <w:b w:val="1"/>
                <w:bCs w:val="1"/>
                <w:color w:val="auto"/>
              </w:rPr>
              <w:t>11</w:t>
            </w: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24</w:t>
            </w:r>
          </w:p>
        </w:tc>
      </w:tr>
    </w:tbl>
    <w:p>
      <w:pPr>
        <w:spacing w:after="0" w:line="356"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The diluted earnings per share amounts for the three and six months ended June 30, 2019 and June 30, 2018 exclude the effects of 104,000 stock options outstanding, as their inclusion would have been antidilutive due to a market condition. The diluted earnings per share amounts for the three and six months ended June 30, 2018 exclude the effects of 5,250 restricted stock awards as their inclusion would have been antidilutive due to a performance condition.</w:t>
      </w:r>
    </w:p>
    <w:p>
      <w:pPr>
        <w:spacing w:after="0" w:line="135"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In the three and six months ended June 30, 2019, the Company declared regular dividends totaling $1.39 and $4.17 per common share, respectively. In the three and six months ended June 30, 2018, the Company declared regular dividends totaling $1.33 and $3.99 per common share,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PENSION AND POSTRETIREMENT PLANS</w:t>
      </w:r>
    </w:p>
    <w:p>
      <w:pPr>
        <w:spacing w:after="0" w:line="166"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On March 22, 2018, the Company eliminated the accrual of pension benefits for certain Kaplan University employees related to their future service. As a result, the Company remeasured the accumulated and projected benefit obligation of the pension plan as of March 22, 2018, and the Company recorded a curtailment gain in the first quarter of 2018. The new measurement basis was used for the recognition of the Company’s pension benefit following the remeasurement. The curtailment gain on the Kaplan University transaction is included in the gain on the Kaplan University transaction and reported in Other income, net on the Condensed Consolidated Statement of Operations.</w:t>
      </w:r>
    </w:p>
    <w:p>
      <w:pPr>
        <w:sectPr>
          <w:pgSz w:w="11900" w:h="16838" w:orient="portrait"/>
          <w:cols w:equalWidth="0" w:num="1">
            <w:col w:w="11420"/>
          </w:cols>
          <w:pgMar w:left="240" w:top="697" w:right="23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697" w:right="2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 xml:space="preserve">Defined Benefit Plans. </w:t>
      </w:r>
      <w:r>
        <w:rPr>
          <w:rFonts w:ascii="Arial" w:cs="Arial" w:eastAsia="Arial" w:hAnsi="Arial"/>
          <w:sz w:val="18"/>
          <w:szCs w:val="18"/>
          <w:color w:val="auto"/>
        </w:rPr>
        <w:t>The total benefit arising from the Company’s defined benefit pension plans consists of the following components: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2018</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2018</w:t>
            </w:r>
          </w:p>
        </w:tc>
      </w:tr>
      <w:tr>
        <w:trPr>
          <w:trHeight w:val="250"/>
        </w:trPr>
        <w:tc>
          <w:tcPr>
            <w:tcW w:w="562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ind w:right="61"/>
              <w:spacing w:after="0"/>
              <w:rPr>
                <w:sz w:val="20"/>
                <w:szCs w:val="20"/>
                <w:color w:val="auto"/>
              </w:rPr>
            </w:pPr>
            <w:r>
              <w:rPr>
                <w:rFonts w:ascii="Arial" w:cs="Arial" w:eastAsia="Arial" w:hAnsi="Arial"/>
                <w:sz w:val="16"/>
                <w:szCs w:val="16"/>
                <w:b w:val="1"/>
                <w:bCs w:val="1"/>
                <w:color w:val="auto"/>
              </w:rPr>
              <w:t>4,963</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4,317</w:t>
            </w:r>
          </w:p>
        </w:tc>
        <w:tc>
          <w:tcPr>
            <w:tcW w:w="38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61"/>
              <w:spacing w:after="0"/>
              <w:rPr>
                <w:sz w:val="20"/>
                <w:szCs w:val="20"/>
                <w:color w:val="auto"/>
              </w:rPr>
            </w:pPr>
            <w:r>
              <w:rPr>
                <w:rFonts w:ascii="Arial" w:cs="Arial" w:eastAsia="Arial" w:hAnsi="Arial"/>
                <w:sz w:val="16"/>
                <w:szCs w:val="16"/>
                <w:b w:val="1"/>
                <w:bCs w:val="1"/>
                <w:color w:val="auto"/>
              </w:rPr>
              <w:t>10,184</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9,257</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80" w:type="dxa"/>
            <w:vAlign w:val="bottom"/>
          </w:tcPr>
          <w:p>
            <w:pPr>
              <w:spacing w:after="0"/>
              <w:rPr>
                <w:sz w:val="23"/>
                <w:szCs w:val="23"/>
                <w:color w:val="auto"/>
              </w:rPr>
            </w:pPr>
          </w:p>
        </w:tc>
        <w:tc>
          <w:tcPr>
            <w:tcW w:w="1140" w:type="dxa"/>
            <w:vAlign w:val="bottom"/>
          </w:tcPr>
          <w:p>
            <w:pPr>
              <w:jc w:val="right"/>
              <w:ind w:right="61"/>
              <w:spacing w:after="0"/>
              <w:rPr>
                <w:sz w:val="20"/>
                <w:szCs w:val="20"/>
                <w:color w:val="auto"/>
              </w:rPr>
            </w:pPr>
            <w:r>
              <w:rPr>
                <w:rFonts w:ascii="Arial" w:cs="Arial" w:eastAsia="Arial" w:hAnsi="Arial"/>
                <w:sz w:val="16"/>
                <w:szCs w:val="16"/>
                <w:b w:val="1"/>
                <w:bCs w:val="1"/>
                <w:color w:val="auto"/>
              </w:rPr>
              <w:t>11,743</w:t>
            </w:r>
          </w:p>
        </w:tc>
        <w:tc>
          <w:tcPr>
            <w:tcW w:w="40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11,844</w:t>
            </w:r>
          </w:p>
        </w:tc>
        <w:tc>
          <w:tcPr>
            <w:tcW w:w="380" w:type="dxa"/>
            <w:vAlign w:val="bottom"/>
          </w:tcPr>
          <w:p>
            <w:pPr>
              <w:spacing w:after="0"/>
              <w:rPr>
                <w:sz w:val="23"/>
                <w:szCs w:val="23"/>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b w:val="1"/>
                <w:bCs w:val="1"/>
                <w:color w:val="auto"/>
              </w:rPr>
              <w:t>23,335</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23,099</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Expected return on assets</w:t>
            </w:r>
          </w:p>
        </w:tc>
        <w:tc>
          <w:tcPr>
            <w:tcW w:w="280" w:type="dxa"/>
            <w:vAlign w:val="bottom"/>
          </w:tcPr>
          <w:p>
            <w:pPr>
              <w:spacing w:after="0"/>
              <w:rPr>
                <w:sz w:val="23"/>
                <w:szCs w:val="23"/>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b w:val="1"/>
                <w:bCs w:val="1"/>
                <w:color w:val="auto"/>
              </w:rPr>
              <w:t>(30,285)</w:t>
            </w:r>
          </w:p>
        </w:tc>
        <w:tc>
          <w:tcPr>
            <w:tcW w:w="40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(32,796)</w:t>
            </w:r>
          </w:p>
        </w:tc>
        <w:tc>
          <w:tcPr>
            <w:tcW w:w="380" w:type="dxa"/>
            <w:vAlign w:val="bottom"/>
          </w:tcPr>
          <w:p>
            <w:pPr>
              <w:spacing w:after="0"/>
              <w:rPr>
                <w:sz w:val="23"/>
                <w:szCs w:val="23"/>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(61,123)</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(65,282)</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280" w:type="dxa"/>
            <w:vAlign w:val="bottom"/>
          </w:tcPr>
          <w:p>
            <w:pPr>
              <w:spacing w:after="0"/>
              <w:rPr>
                <w:sz w:val="23"/>
                <w:szCs w:val="23"/>
                <w:color w:val="auto"/>
              </w:rPr>
            </w:pPr>
          </w:p>
        </w:tc>
        <w:tc>
          <w:tcPr>
            <w:tcW w:w="1140" w:type="dxa"/>
            <w:vAlign w:val="bottom"/>
          </w:tcPr>
          <w:p>
            <w:pPr>
              <w:jc w:val="right"/>
              <w:ind w:right="61"/>
              <w:spacing w:after="0"/>
              <w:rPr>
                <w:sz w:val="20"/>
                <w:szCs w:val="20"/>
                <w:color w:val="auto"/>
              </w:rPr>
            </w:pPr>
            <w:r>
              <w:rPr>
                <w:rFonts w:ascii="Arial" w:cs="Arial" w:eastAsia="Arial" w:hAnsi="Arial"/>
                <w:sz w:val="16"/>
                <w:szCs w:val="16"/>
                <w:b w:val="1"/>
                <w:bCs w:val="1"/>
                <w:color w:val="auto"/>
              </w:rPr>
              <w:t>825</w:t>
            </w:r>
          </w:p>
        </w:tc>
        <w:tc>
          <w:tcPr>
            <w:tcW w:w="40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36</w:t>
            </w:r>
          </w:p>
        </w:tc>
        <w:tc>
          <w:tcPr>
            <w:tcW w:w="380" w:type="dxa"/>
            <w:vAlign w:val="bottom"/>
          </w:tcPr>
          <w:p>
            <w:pPr>
              <w:spacing w:after="0"/>
              <w:rPr>
                <w:sz w:val="23"/>
                <w:szCs w:val="23"/>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b w:val="1"/>
                <w:bCs w:val="1"/>
                <w:color w:val="auto"/>
              </w:rPr>
              <w:t>1,234</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78</w:t>
            </w:r>
          </w:p>
        </w:tc>
      </w:tr>
      <w:tr>
        <w:trPr>
          <w:trHeight w:val="283"/>
        </w:trPr>
        <w:tc>
          <w:tcPr>
            <w:tcW w:w="5620" w:type="dxa"/>
            <w:vAlign w:val="bottom"/>
          </w:tcPr>
          <w:p>
            <w:pPr>
              <w:ind w:left="40"/>
              <w:spacing w:after="0"/>
              <w:rPr>
                <w:sz w:val="20"/>
                <w:szCs w:val="20"/>
                <w:color w:val="auto"/>
              </w:rPr>
            </w:pPr>
            <w:r>
              <w:rPr>
                <w:rFonts w:ascii="Arial" w:cs="Arial" w:eastAsia="Arial" w:hAnsi="Arial"/>
                <w:sz w:val="16"/>
                <w:szCs w:val="16"/>
                <w:color w:val="auto"/>
              </w:rPr>
              <w:t>Recognized actuarial loss (gain)</w:t>
            </w: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37</w:t>
            </w: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(2,974)</w:t>
            </w: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(4,020)</w:t>
            </w:r>
          </w:p>
        </w:tc>
      </w:tr>
      <w:tr>
        <w:trPr>
          <w:trHeight w:val="251"/>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Net Periodic Benefit</w:t>
            </w:r>
          </w:p>
        </w:tc>
        <w:tc>
          <w:tcPr>
            <w:tcW w:w="280" w:type="dxa"/>
            <w:vAlign w:val="bottom"/>
          </w:tcPr>
          <w:p>
            <w:pPr>
              <w:spacing w:after="0"/>
              <w:rPr>
                <w:sz w:val="21"/>
                <w:szCs w:val="21"/>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b w:val="1"/>
                <w:bCs w:val="1"/>
                <w:color w:val="auto"/>
              </w:rPr>
              <w:t>(12,717)</w:t>
            </w:r>
          </w:p>
        </w:tc>
        <w:tc>
          <w:tcPr>
            <w:tcW w:w="400" w:type="dxa"/>
            <w:vAlign w:val="bottom"/>
          </w:tcPr>
          <w:p>
            <w:pPr>
              <w:spacing w:after="0"/>
              <w:rPr>
                <w:sz w:val="21"/>
                <w:szCs w:val="21"/>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(19,573)</w:t>
            </w:r>
          </w:p>
        </w:tc>
        <w:tc>
          <w:tcPr>
            <w:tcW w:w="380" w:type="dxa"/>
            <w:vAlign w:val="bottom"/>
          </w:tcPr>
          <w:p>
            <w:pPr>
              <w:spacing w:after="0"/>
              <w:rPr>
                <w:sz w:val="21"/>
                <w:szCs w:val="21"/>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(26,370)</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(36,868)</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Curtailment gain</w:t>
            </w:r>
          </w:p>
        </w:tc>
        <w:tc>
          <w:tcPr>
            <w:tcW w:w="280" w:type="dxa"/>
            <w:vAlign w:val="bottom"/>
          </w:tcPr>
          <w:p>
            <w:pPr>
              <w:spacing w:after="0"/>
              <w:rPr>
                <w:sz w:val="23"/>
                <w:szCs w:val="23"/>
                <w:color w:val="auto"/>
              </w:rPr>
            </w:pPr>
          </w:p>
        </w:tc>
        <w:tc>
          <w:tcPr>
            <w:tcW w:w="114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(806)</w:t>
            </w:r>
          </w:p>
        </w:tc>
      </w:tr>
      <w:tr>
        <w:trPr>
          <w:trHeight w:val="283"/>
        </w:trPr>
        <w:tc>
          <w:tcPr>
            <w:tcW w:w="5620" w:type="dxa"/>
            <w:vAlign w:val="bottom"/>
          </w:tcPr>
          <w:p>
            <w:pPr>
              <w:ind w:left="40"/>
              <w:spacing w:after="0"/>
              <w:rPr>
                <w:sz w:val="20"/>
                <w:szCs w:val="20"/>
                <w:color w:val="auto"/>
              </w:rPr>
            </w:pPr>
            <w:r>
              <w:rPr>
                <w:rFonts w:ascii="Arial" w:cs="Arial" w:eastAsia="Arial" w:hAnsi="Arial"/>
                <w:sz w:val="16"/>
                <w:szCs w:val="16"/>
                <w:color w:val="auto"/>
              </w:rPr>
              <w:t>Special separation benefit expense</w:t>
            </w: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6,607</w:t>
            </w: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6,607</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6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Total Benefit</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(6,110)</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(19,573)</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(19,763)</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(37,674)</w:t>
            </w: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In the second quarter of 2019, the Company recorded $6.6 million in expenses related to a Separation Incentive Program for certain Kaplan employees, which will be funded from the assets of the Company’s pension plan.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total cost arising from the Company’s Supplemental Executive Retirement Plan (SERP) consists of the following components: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2018</w:t>
            </w: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2018</w:t>
            </w:r>
          </w:p>
        </w:tc>
      </w:tr>
      <w:tr>
        <w:trPr>
          <w:trHeight w:val="250"/>
        </w:trPr>
        <w:tc>
          <w:tcPr>
            <w:tcW w:w="562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ind w:right="42"/>
              <w:spacing w:after="0"/>
              <w:rPr>
                <w:sz w:val="20"/>
                <w:szCs w:val="20"/>
                <w:color w:val="auto"/>
              </w:rPr>
            </w:pPr>
            <w:r>
              <w:rPr>
                <w:rFonts w:ascii="Arial" w:cs="Arial" w:eastAsia="Arial" w:hAnsi="Arial"/>
                <w:sz w:val="16"/>
                <w:szCs w:val="16"/>
                <w:b w:val="1"/>
                <w:bCs w:val="1"/>
                <w:color w:val="auto"/>
              </w:rPr>
              <w:t>215</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204</w:t>
            </w:r>
          </w:p>
        </w:tc>
        <w:tc>
          <w:tcPr>
            <w:tcW w:w="4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42"/>
              <w:spacing w:after="0"/>
              <w:rPr>
                <w:sz w:val="20"/>
                <w:szCs w:val="20"/>
                <w:color w:val="auto"/>
              </w:rPr>
            </w:pPr>
            <w:r>
              <w:rPr>
                <w:rFonts w:ascii="Arial" w:cs="Arial" w:eastAsia="Arial" w:hAnsi="Arial"/>
                <w:sz w:val="16"/>
                <w:szCs w:val="16"/>
                <w:b w:val="1"/>
                <w:bCs w:val="1"/>
                <w:color w:val="auto"/>
              </w:rPr>
              <w:t>429</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409</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80" w:type="dxa"/>
            <w:vAlign w:val="bottom"/>
          </w:tcPr>
          <w:p>
            <w:pPr>
              <w:spacing w:after="0"/>
              <w:rPr>
                <w:sz w:val="23"/>
                <w:szCs w:val="23"/>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b w:val="1"/>
                <w:bCs w:val="1"/>
                <w:color w:val="auto"/>
              </w:rPr>
              <w:t>1,079</w:t>
            </w:r>
          </w:p>
        </w:tc>
        <w:tc>
          <w:tcPr>
            <w:tcW w:w="42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966</w:t>
            </w:r>
          </w:p>
        </w:tc>
        <w:tc>
          <w:tcPr>
            <w:tcW w:w="420" w:type="dxa"/>
            <w:vAlign w:val="bottom"/>
          </w:tcPr>
          <w:p>
            <w:pPr>
              <w:spacing w:after="0"/>
              <w:rPr>
                <w:sz w:val="23"/>
                <w:szCs w:val="23"/>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b w:val="1"/>
                <w:bCs w:val="1"/>
                <w:color w:val="auto"/>
              </w:rPr>
              <w:t>2,157</w:t>
            </w:r>
          </w:p>
        </w:tc>
        <w:tc>
          <w:tcPr>
            <w:tcW w:w="42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1,932</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280" w:type="dxa"/>
            <w:vAlign w:val="bottom"/>
          </w:tcPr>
          <w:p>
            <w:pPr>
              <w:spacing w:after="0"/>
              <w:rPr>
                <w:sz w:val="23"/>
                <w:szCs w:val="23"/>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b w:val="1"/>
                <w:bCs w:val="1"/>
                <w:color w:val="auto"/>
              </w:rPr>
              <w:t>84</w:t>
            </w:r>
          </w:p>
        </w:tc>
        <w:tc>
          <w:tcPr>
            <w:tcW w:w="42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78</w:t>
            </w:r>
          </w:p>
        </w:tc>
        <w:tc>
          <w:tcPr>
            <w:tcW w:w="420" w:type="dxa"/>
            <w:vAlign w:val="bottom"/>
          </w:tcPr>
          <w:p>
            <w:pPr>
              <w:spacing w:after="0"/>
              <w:rPr>
                <w:sz w:val="23"/>
                <w:szCs w:val="23"/>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b w:val="1"/>
                <w:bCs w:val="1"/>
                <w:color w:val="auto"/>
              </w:rPr>
              <w:t>169</w:t>
            </w:r>
          </w:p>
        </w:tc>
        <w:tc>
          <w:tcPr>
            <w:tcW w:w="42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156</w:t>
            </w:r>
          </w:p>
        </w:tc>
      </w:tr>
      <w:tr>
        <w:trPr>
          <w:trHeight w:val="283"/>
        </w:trPr>
        <w:tc>
          <w:tcPr>
            <w:tcW w:w="5620" w:type="dxa"/>
            <w:vAlign w:val="bottom"/>
          </w:tcPr>
          <w:p>
            <w:pPr>
              <w:ind w:left="40"/>
              <w:spacing w:after="0"/>
              <w:rPr>
                <w:sz w:val="20"/>
                <w:szCs w:val="20"/>
                <w:color w:val="auto"/>
              </w:rPr>
            </w:pPr>
            <w:r>
              <w:rPr>
                <w:rFonts w:ascii="Arial" w:cs="Arial" w:eastAsia="Arial" w:hAnsi="Arial"/>
                <w:sz w:val="16"/>
                <w:szCs w:val="16"/>
                <w:color w:val="auto"/>
              </w:rPr>
              <w:t>Recognized actuarial loss</w:t>
            </w: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578</w:t>
            </w: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601</w:t>
            </w: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1,157</w:t>
            </w: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1,202</w:t>
            </w:r>
          </w:p>
        </w:tc>
      </w:tr>
      <w:tr>
        <w:trPr>
          <w:trHeight w:val="26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Net Periodic Cost</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1,956</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1,849</w:t>
            </w:r>
          </w:p>
        </w:tc>
        <w:tc>
          <w:tcPr>
            <w:tcW w:w="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3,912</w:t>
            </w:r>
          </w:p>
        </w:tc>
        <w:tc>
          <w:tcPr>
            <w:tcW w:w="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3,699</w:t>
            </w: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b w:val="1"/>
          <w:bCs w:val="1"/>
          <w:color w:val="auto"/>
        </w:rPr>
        <w:t xml:space="preserve">Defined Benefit Plan Assets. </w:t>
      </w:r>
      <w:r>
        <w:rPr>
          <w:rFonts w:ascii="Arial" w:cs="Arial" w:eastAsia="Arial" w:hAnsi="Arial"/>
          <w:sz w:val="18"/>
          <w:szCs w:val="18"/>
          <w:color w:val="auto"/>
        </w:rPr>
        <w:t>The Company’s defined benefit pension obligations are funded by a portfolio made up of a U.S. stock index</w:t>
      </w:r>
      <w:r>
        <w:rPr>
          <w:rFonts w:ascii="Arial" w:cs="Arial" w:eastAsia="Arial" w:hAnsi="Arial"/>
          <w:sz w:val="18"/>
          <w:szCs w:val="18"/>
          <w:b w:val="1"/>
          <w:bCs w:val="1"/>
          <w:color w:val="auto"/>
        </w:rPr>
        <w:t xml:space="preserve"> </w:t>
      </w:r>
      <w:r>
        <w:rPr>
          <w:rFonts w:ascii="Arial" w:cs="Arial" w:eastAsia="Arial" w:hAnsi="Arial"/>
          <w:sz w:val="18"/>
          <w:szCs w:val="18"/>
          <w:color w:val="auto"/>
        </w:rPr>
        <w:t>fund, a relatively small number of stocks and high-quality fixed-income securities that are held by a third-party trustee. The assets of the Company’s pension plan were allocated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80" w:type="dxa"/>
            <w:vAlign w:val="bottom"/>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w:t>
            </w:r>
          </w:p>
        </w:tc>
        <w:tc>
          <w:tcPr>
            <w:tcW w:w="1220" w:type="dxa"/>
            <w:vAlign w:val="bottom"/>
            <w:tcBorders>
              <w:bottom w:val="single" w:sz="8" w:color="auto"/>
            </w:tcBorders>
          </w:tcPr>
          <w:p>
            <w:pPr>
              <w:spacing w:after="0"/>
              <w:rPr>
                <w:sz w:val="17"/>
                <w:szCs w:val="17"/>
                <w:color w:val="auto"/>
              </w:rPr>
            </w:pPr>
          </w:p>
        </w:tc>
      </w:tr>
      <w:tr>
        <w:trPr>
          <w:trHeight w:val="337"/>
        </w:trPr>
        <w:tc>
          <w:tcPr>
            <w:tcW w:w="8480" w:type="dxa"/>
            <w:vAlign w:val="bottom"/>
          </w:tcPr>
          <w:p>
            <w:pPr>
              <w:spacing w:after="0"/>
              <w:rPr>
                <w:sz w:val="24"/>
                <w:szCs w:val="24"/>
                <w:color w:val="auto"/>
              </w:rPr>
            </w:pPr>
          </w:p>
        </w:tc>
        <w:tc>
          <w:tcPr>
            <w:tcW w:w="1720" w:type="dxa"/>
            <w:vAlign w:val="bottom"/>
          </w:tcPr>
          <w:p>
            <w:pPr>
              <w:jc w:val="right"/>
              <w:ind w:right="662"/>
              <w:spacing w:after="0"/>
              <w:rPr>
                <w:sz w:val="20"/>
                <w:szCs w:val="20"/>
                <w:color w:val="auto"/>
              </w:rPr>
            </w:pPr>
            <w:r>
              <w:rPr>
                <w:rFonts w:ascii="Arial" w:cs="Arial" w:eastAsia="Arial" w:hAnsi="Arial"/>
                <w:sz w:val="14"/>
                <w:szCs w:val="14"/>
                <w:b w:val="1"/>
                <w:bCs w:val="1"/>
                <w:color w:val="auto"/>
              </w:rPr>
              <w:t>June 30,</w:t>
            </w:r>
          </w:p>
        </w:tc>
        <w:tc>
          <w:tcPr>
            <w:tcW w:w="1220" w:type="dxa"/>
            <w:vAlign w:val="bottom"/>
          </w:tcPr>
          <w:p>
            <w:pPr>
              <w:jc w:val="right"/>
              <w:ind w:right="202"/>
              <w:spacing w:after="0"/>
              <w:rPr>
                <w:sz w:val="20"/>
                <w:szCs w:val="20"/>
                <w:color w:val="auto"/>
              </w:rPr>
            </w:pPr>
            <w:r>
              <w:rPr>
                <w:rFonts w:ascii="Arial" w:cs="Arial" w:eastAsia="Arial" w:hAnsi="Arial"/>
                <w:sz w:val="14"/>
                <w:szCs w:val="14"/>
                <w:color w:val="auto"/>
              </w:rPr>
              <w:t>December 31,</w:t>
            </w:r>
          </w:p>
        </w:tc>
      </w:tr>
      <w:tr>
        <w:trPr>
          <w:trHeight w:val="196"/>
        </w:trPr>
        <w:tc>
          <w:tcPr>
            <w:tcW w:w="84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782"/>
              <w:spacing w:after="0"/>
              <w:rPr>
                <w:sz w:val="20"/>
                <w:szCs w:val="20"/>
                <w:color w:val="auto"/>
              </w:rPr>
            </w:pPr>
            <w:r>
              <w:rPr>
                <w:rFonts w:ascii="Arial" w:cs="Arial" w:eastAsia="Arial" w:hAnsi="Arial"/>
                <w:sz w:val="14"/>
                <w:szCs w:val="14"/>
                <w:b w:val="1"/>
                <w:bCs w:val="1"/>
                <w:color w:val="auto"/>
              </w:rPr>
              <w:t>2019</w:t>
            </w:r>
          </w:p>
        </w:tc>
        <w:tc>
          <w:tcPr>
            <w:tcW w:w="12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color w:val="auto"/>
              </w:rPr>
              <w:t>2018</w:t>
            </w:r>
          </w:p>
        </w:tc>
      </w:tr>
      <w:tr>
        <w:trPr>
          <w:trHeight w:val="250"/>
        </w:trPr>
        <w:tc>
          <w:tcPr>
            <w:tcW w:w="8480" w:type="dxa"/>
            <w:vAlign w:val="bottom"/>
          </w:tcPr>
          <w:p>
            <w:pPr>
              <w:ind w:left="40"/>
              <w:spacing w:after="0"/>
              <w:rPr>
                <w:sz w:val="20"/>
                <w:szCs w:val="20"/>
                <w:color w:val="auto"/>
              </w:rPr>
            </w:pPr>
            <w:r>
              <w:rPr>
                <w:rFonts w:ascii="Arial" w:cs="Arial" w:eastAsia="Arial" w:hAnsi="Arial"/>
                <w:sz w:val="16"/>
                <w:szCs w:val="16"/>
                <w:color w:val="auto"/>
              </w:rPr>
              <w:t>U.S. equities</w:t>
            </w:r>
          </w:p>
        </w:tc>
        <w:tc>
          <w:tcPr>
            <w:tcW w:w="1720" w:type="dxa"/>
            <w:vAlign w:val="bottom"/>
          </w:tcPr>
          <w:p>
            <w:pPr>
              <w:jc w:val="right"/>
              <w:ind w:right="262"/>
              <w:spacing w:after="0"/>
              <w:rPr>
                <w:sz w:val="20"/>
                <w:szCs w:val="20"/>
                <w:color w:val="auto"/>
              </w:rPr>
            </w:pPr>
            <w:r>
              <w:rPr>
                <w:rFonts w:ascii="Arial" w:cs="Arial" w:eastAsia="Arial" w:hAnsi="Arial"/>
                <w:sz w:val="16"/>
                <w:szCs w:val="16"/>
                <w:b w:val="1"/>
                <w:bCs w:val="1"/>
                <w:color w:val="auto"/>
              </w:rPr>
              <w:t>55%</w:t>
            </w:r>
          </w:p>
        </w:tc>
        <w:tc>
          <w:tcPr>
            <w:tcW w:w="122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70"/>
        </w:trPr>
        <w:tc>
          <w:tcPr>
            <w:tcW w:w="8480" w:type="dxa"/>
            <w:vAlign w:val="bottom"/>
          </w:tcPr>
          <w:p>
            <w:pPr>
              <w:ind w:left="40"/>
              <w:spacing w:after="0"/>
              <w:rPr>
                <w:sz w:val="20"/>
                <w:szCs w:val="20"/>
                <w:color w:val="auto"/>
              </w:rPr>
            </w:pPr>
            <w:r>
              <w:rPr>
                <w:rFonts w:ascii="Arial" w:cs="Arial" w:eastAsia="Arial" w:hAnsi="Arial"/>
                <w:sz w:val="16"/>
                <w:szCs w:val="16"/>
                <w:color w:val="auto"/>
              </w:rPr>
              <w:t>U.S. stock index fund</w:t>
            </w:r>
          </w:p>
        </w:tc>
        <w:tc>
          <w:tcPr>
            <w:tcW w:w="1720" w:type="dxa"/>
            <w:vAlign w:val="bottom"/>
          </w:tcPr>
          <w:p>
            <w:pPr>
              <w:jc w:val="right"/>
              <w:ind w:right="262"/>
              <w:spacing w:after="0"/>
              <w:rPr>
                <w:sz w:val="20"/>
                <w:szCs w:val="20"/>
                <w:color w:val="auto"/>
              </w:rPr>
            </w:pPr>
            <w:r>
              <w:rPr>
                <w:rFonts w:ascii="Arial" w:cs="Arial" w:eastAsia="Arial" w:hAnsi="Arial"/>
                <w:sz w:val="16"/>
                <w:szCs w:val="16"/>
                <w:b w:val="1"/>
                <w:bCs w:val="1"/>
                <w:color w:val="auto"/>
              </w:rPr>
              <w:t>26%</w:t>
            </w:r>
          </w:p>
        </w:tc>
        <w:tc>
          <w:tcPr>
            <w:tcW w:w="122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70"/>
        </w:trPr>
        <w:tc>
          <w:tcPr>
            <w:tcW w:w="8480" w:type="dxa"/>
            <w:vAlign w:val="bottom"/>
          </w:tcPr>
          <w:p>
            <w:pPr>
              <w:ind w:left="40"/>
              <w:spacing w:after="0"/>
              <w:rPr>
                <w:sz w:val="20"/>
                <w:szCs w:val="20"/>
                <w:color w:val="auto"/>
              </w:rPr>
            </w:pPr>
            <w:r>
              <w:rPr>
                <w:rFonts w:ascii="Arial" w:cs="Arial" w:eastAsia="Arial" w:hAnsi="Arial"/>
                <w:sz w:val="16"/>
                <w:szCs w:val="16"/>
                <w:color w:val="auto"/>
              </w:rPr>
              <w:t>U.S. fixed income</w:t>
            </w:r>
          </w:p>
        </w:tc>
        <w:tc>
          <w:tcPr>
            <w:tcW w:w="1720" w:type="dxa"/>
            <w:vAlign w:val="bottom"/>
          </w:tcPr>
          <w:p>
            <w:pPr>
              <w:jc w:val="right"/>
              <w:ind w:right="262"/>
              <w:spacing w:after="0"/>
              <w:rPr>
                <w:sz w:val="20"/>
                <w:szCs w:val="20"/>
                <w:color w:val="auto"/>
              </w:rPr>
            </w:pPr>
            <w:r>
              <w:rPr>
                <w:rFonts w:ascii="Arial" w:cs="Arial" w:eastAsia="Arial" w:hAnsi="Arial"/>
                <w:sz w:val="16"/>
                <w:szCs w:val="16"/>
                <w:b w:val="1"/>
                <w:bCs w:val="1"/>
                <w:color w:val="auto"/>
              </w:rPr>
              <w:t>13%</w:t>
            </w:r>
          </w:p>
        </w:tc>
        <w:tc>
          <w:tcPr>
            <w:tcW w:w="12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83"/>
        </w:trPr>
        <w:tc>
          <w:tcPr>
            <w:tcW w:w="8480" w:type="dxa"/>
            <w:vAlign w:val="bottom"/>
          </w:tcPr>
          <w:p>
            <w:pPr>
              <w:ind w:left="40"/>
              <w:spacing w:after="0"/>
              <w:rPr>
                <w:sz w:val="20"/>
                <w:szCs w:val="20"/>
                <w:color w:val="auto"/>
              </w:rPr>
            </w:pPr>
            <w:r>
              <w:rPr>
                <w:rFonts w:ascii="Arial" w:cs="Arial" w:eastAsia="Arial" w:hAnsi="Arial"/>
                <w:sz w:val="16"/>
                <w:szCs w:val="16"/>
                <w:color w:val="auto"/>
              </w:rPr>
              <w:t>International equities</w:t>
            </w:r>
          </w:p>
        </w:tc>
        <w:tc>
          <w:tcPr>
            <w:tcW w:w="172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6%</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64"/>
        </w:trPr>
        <w:tc>
          <w:tcPr>
            <w:tcW w:w="8480" w:type="dxa"/>
            <w:vAlign w:val="bottom"/>
          </w:tcPr>
          <w:p>
            <w:pPr>
              <w:spacing w:after="0"/>
              <w:rPr>
                <w:sz w:val="22"/>
                <w:szCs w:val="22"/>
                <w:color w:val="auto"/>
              </w:rPr>
            </w:pPr>
          </w:p>
        </w:tc>
        <w:tc>
          <w:tcPr>
            <w:tcW w:w="172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100%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84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The Company manages approximately 44% of the pension assets internally, of which the majority is invested in a U.S. stock index fund with the remaining investments in Berkshire Hathaway stock and short-term fixed income securities. The remaining 56% of plan assets are managed by two investment companies. The goal for the investments is to produce moderate long-term growth in the value of these assets, while protecting them against large decreases in value. Both investment managers may invest in a combination of equity and fixed-income securities and cash. The managers are not permitted to invest in securities of the Company or in alternative investments. One investment manager cannot invest more than 15% of the assets at the time of purchase in the stock of Alphabet and Berkshire Hathaway, no more than 25% of the assets it manages in specified international exchanges at the time the investment is made, and no less than 5% of the assets could be invested in fixed-income securities. The other investment manager cannot invest more than 20% of the assets at the time of purchase in the stock of Berkshire Hathaway, no more than 15% of the assets it manages in specified international exchanges, at the time the investment is made, and no less than 10% of the assets could be invested in fixed-income securities. Excluding the exceptions noted above, the investment managers cannot invest more than 10% of the assets in the securities of any other single issuer, except for obligations of the U.S. Government, without receiving prior approval from the Plan administrator.</w:t>
      </w:r>
    </w:p>
    <w:p>
      <w:pPr>
        <w:spacing w:after="0" w:line="144" w:lineRule="exact"/>
        <w:rPr>
          <w:sz w:val="20"/>
          <w:szCs w:val="20"/>
          <w:color w:val="auto"/>
        </w:rPr>
      </w:pPr>
    </w:p>
    <w:p>
      <w:pPr>
        <w:ind w:right="720"/>
        <w:spacing w:after="0" w:line="229" w:lineRule="auto"/>
        <w:rPr>
          <w:sz w:val="20"/>
          <w:szCs w:val="20"/>
          <w:color w:val="auto"/>
        </w:rPr>
      </w:pPr>
      <w:r>
        <w:rPr>
          <w:rFonts w:ascii="Arial" w:cs="Arial" w:eastAsia="Arial" w:hAnsi="Arial"/>
          <w:sz w:val="18"/>
          <w:szCs w:val="18"/>
          <w:color w:val="auto"/>
        </w:rPr>
        <w:t>In determining the expected rate of return on plan assets, the Company considers the relative weighting of plan assets, the historical 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ectPr>
          <w:pgSz w:w="11900" w:h="16838" w:orient="portrait"/>
          <w:cols w:equalWidth="0" w:num="1">
            <w:col w:w="11420"/>
          </w:cols>
          <w:pgMar w:left="240" w:top="697" w:right="23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697" w:right="239" w:bottom="1440" w:gutter="0" w:footer="0" w:header="0"/>
          <w:type w:val="continuous"/>
        </w:sectPr>
      </w:pPr>
    </w:p>
    <w:bookmarkStart w:id="21" w:name="page22"/>
    <w:bookmarkEnd w:id="21"/>
    <w:p>
      <w:pPr>
        <w:ind w:right="140"/>
        <w:spacing w:after="0" w:line="224" w:lineRule="auto"/>
        <w:rPr>
          <w:sz w:val="20"/>
          <w:szCs w:val="20"/>
          <w:color w:val="auto"/>
        </w:rPr>
      </w:pPr>
      <w:r>
        <w:rPr>
          <w:rFonts w:ascii="Arial" w:cs="Arial" w:eastAsia="Arial" w:hAnsi="Arial"/>
          <w:sz w:val="18"/>
          <w:szCs w:val="18"/>
          <w:color w:val="auto"/>
        </w:rPr>
        <w:t>The Company evaluated its defined benefit pension plan asset portfolio for the existence of significant concentrations (defined as greater than 10% of plan assets) of credit risk as of June 30, 2019. Types of concentrations that were evaluated include, but are not limited to, investment concentrations in a single entity, type of industry, foreign country and individual fund. At June 30, 2019 and December 31, 2018, the pension plan held investments in one common stock and one U.S. stock index fund that exceeded 10% of total plan assets. These investments were valued at $1,000.1 million and $945.6 million at June 30, 2019 and December 31, 2018, respectively, or approximately 41% and 45%, respectively, of total plan assets.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Postretirement Plans. </w:t>
      </w:r>
      <w:r>
        <w:rPr>
          <w:rFonts w:ascii="Arial" w:cs="Arial" w:eastAsia="Arial" w:hAnsi="Arial"/>
          <w:sz w:val="18"/>
          <w:szCs w:val="18"/>
          <w:color w:val="auto"/>
        </w:rPr>
        <w:t>The total cost arising from the Company’s other postretirement plans consists of the following components: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2018</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2018</w:t>
            </w:r>
          </w:p>
        </w:tc>
      </w:tr>
      <w:tr>
        <w:trPr>
          <w:trHeight w:val="250"/>
        </w:trPr>
        <w:tc>
          <w:tcPr>
            <w:tcW w:w="562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ind w:right="62"/>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268</w:t>
            </w:r>
          </w:p>
        </w:tc>
        <w:tc>
          <w:tcPr>
            <w:tcW w:w="38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62"/>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536</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80" w:type="dxa"/>
            <w:vAlign w:val="bottom"/>
          </w:tcPr>
          <w:p>
            <w:pPr>
              <w:spacing w:after="0"/>
              <w:rPr>
                <w:sz w:val="23"/>
                <w:szCs w:val="23"/>
                <w:color w:val="auto"/>
              </w:rPr>
            </w:pPr>
          </w:p>
        </w:tc>
        <w:tc>
          <w:tcPr>
            <w:tcW w:w="1140" w:type="dxa"/>
            <w:vAlign w:val="bottom"/>
          </w:tcPr>
          <w:p>
            <w:pPr>
              <w:jc w:val="right"/>
              <w:ind w:right="62"/>
              <w:spacing w:after="0"/>
              <w:rPr>
                <w:sz w:val="20"/>
                <w:szCs w:val="20"/>
                <w:color w:val="auto"/>
              </w:rPr>
            </w:pPr>
            <w:r>
              <w:rPr>
                <w:rFonts w:ascii="Arial" w:cs="Arial" w:eastAsia="Arial" w:hAnsi="Arial"/>
                <w:sz w:val="16"/>
                <w:szCs w:val="16"/>
                <w:b w:val="1"/>
                <w:bCs w:val="1"/>
                <w:color w:val="auto"/>
              </w:rPr>
              <w:t>72</w:t>
            </w:r>
          </w:p>
        </w:tc>
        <w:tc>
          <w:tcPr>
            <w:tcW w:w="40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169</w:t>
            </w:r>
          </w:p>
        </w:tc>
        <w:tc>
          <w:tcPr>
            <w:tcW w:w="380" w:type="dxa"/>
            <w:vAlign w:val="bottom"/>
          </w:tcPr>
          <w:p>
            <w:pPr>
              <w:spacing w:after="0"/>
              <w:rPr>
                <w:sz w:val="23"/>
                <w:szCs w:val="23"/>
                <w:color w:val="auto"/>
              </w:rPr>
            </w:pPr>
          </w:p>
        </w:tc>
        <w:tc>
          <w:tcPr>
            <w:tcW w:w="1080" w:type="dxa"/>
            <w:vAlign w:val="bottom"/>
          </w:tcPr>
          <w:p>
            <w:pPr>
              <w:jc w:val="right"/>
              <w:ind w:right="62"/>
              <w:spacing w:after="0"/>
              <w:rPr>
                <w:sz w:val="20"/>
                <w:szCs w:val="20"/>
                <w:color w:val="auto"/>
              </w:rPr>
            </w:pPr>
            <w:r>
              <w:rPr>
                <w:rFonts w:ascii="Arial" w:cs="Arial" w:eastAsia="Arial" w:hAnsi="Arial"/>
                <w:sz w:val="16"/>
                <w:szCs w:val="16"/>
                <w:b w:val="1"/>
                <w:bCs w:val="1"/>
                <w:color w:val="auto"/>
              </w:rPr>
              <w:t>144</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339</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Amortization of prior service credit</w:t>
            </w:r>
          </w:p>
        </w:tc>
        <w:tc>
          <w:tcPr>
            <w:tcW w:w="280" w:type="dxa"/>
            <w:vAlign w:val="bottom"/>
          </w:tcPr>
          <w:p>
            <w:pPr>
              <w:spacing w:after="0"/>
              <w:rPr>
                <w:sz w:val="23"/>
                <w:szCs w:val="23"/>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b w:val="1"/>
                <w:bCs w:val="1"/>
                <w:color w:val="auto"/>
              </w:rPr>
              <w:t>(1,840)</w:t>
            </w:r>
          </w:p>
        </w:tc>
        <w:tc>
          <w:tcPr>
            <w:tcW w:w="40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(44)</w:t>
            </w:r>
          </w:p>
        </w:tc>
        <w:tc>
          <w:tcPr>
            <w:tcW w:w="380" w:type="dxa"/>
            <w:vAlign w:val="bottom"/>
          </w:tcPr>
          <w:p>
            <w:pPr>
              <w:spacing w:after="0"/>
              <w:rPr>
                <w:sz w:val="23"/>
                <w:szCs w:val="23"/>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b w:val="1"/>
                <w:bCs w:val="1"/>
                <w:color w:val="auto"/>
              </w:rPr>
              <w:t>(3,681)</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283"/>
        </w:trPr>
        <w:tc>
          <w:tcPr>
            <w:tcW w:w="5620" w:type="dxa"/>
            <w:vAlign w:val="bottom"/>
          </w:tcPr>
          <w:p>
            <w:pPr>
              <w:ind w:left="40"/>
              <w:spacing w:after="0"/>
              <w:rPr>
                <w:sz w:val="20"/>
                <w:szCs w:val="20"/>
                <w:color w:val="auto"/>
              </w:rPr>
            </w:pPr>
            <w:r>
              <w:rPr>
                <w:rFonts w:ascii="Arial" w:cs="Arial" w:eastAsia="Arial" w:hAnsi="Arial"/>
                <w:sz w:val="16"/>
                <w:szCs w:val="16"/>
                <w:color w:val="auto"/>
              </w:rPr>
              <w:t>Recognized actuarial gain</w:t>
            </w: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(1,090)</w:t>
            </w: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(921)</w:t>
            </w: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(2,180)</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(1,843)</w:t>
            </w:r>
          </w:p>
        </w:tc>
      </w:tr>
      <w:tr>
        <w:trPr>
          <w:trHeight w:val="26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Net Periodic Benefit</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(2,858)</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(528)</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(5,717)</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(1,056)</w:t>
            </w: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OTHER NON-OPERATING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income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3"/>
          </w:tcPr>
          <w:p>
            <w:pPr>
              <w:jc w:val="right"/>
              <w:ind w:right="579"/>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120" w:type="dxa"/>
            <w:vAlign w:val="bottom"/>
            <w:gridSpan w:val="3"/>
          </w:tcPr>
          <w:p>
            <w:pPr>
              <w:jc w:val="right"/>
              <w:ind w:right="499"/>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r>
      <w:tr>
        <w:trPr>
          <w:trHeight w:val="26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2019</w:t>
            </w:r>
          </w:p>
        </w:tc>
        <w:tc>
          <w:tcPr>
            <w:tcW w:w="4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2018</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2019</w:t>
            </w: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2018</w:t>
            </w:r>
          </w:p>
        </w:tc>
      </w:tr>
      <w:tr>
        <w:trPr>
          <w:trHeight w:val="250"/>
        </w:trPr>
        <w:tc>
          <w:tcPr>
            <w:tcW w:w="6280" w:type="dxa"/>
            <w:vAlign w:val="bottom"/>
          </w:tcPr>
          <w:p>
            <w:pPr>
              <w:ind w:left="40"/>
              <w:spacing w:after="0"/>
              <w:rPr>
                <w:sz w:val="20"/>
                <w:szCs w:val="20"/>
                <w:color w:val="auto"/>
              </w:rPr>
            </w:pPr>
            <w:r>
              <w:rPr>
                <w:rFonts w:ascii="Arial" w:cs="Arial" w:eastAsia="Arial" w:hAnsi="Arial"/>
                <w:sz w:val="16"/>
                <w:szCs w:val="16"/>
                <w:color w:val="auto"/>
              </w:rPr>
              <w:t>Gain on sale of an equity affiliate</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1"/>
              <w:spacing w:after="0"/>
              <w:rPr>
                <w:sz w:val="20"/>
                <w:szCs w:val="20"/>
                <w:color w:val="auto"/>
              </w:rPr>
            </w:pPr>
            <w:r>
              <w:rPr>
                <w:rFonts w:ascii="Arial" w:cs="Arial" w:eastAsia="Arial" w:hAnsi="Arial"/>
                <w:sz w:val="16"/>
                <w:szCs w:val="16"/>
                <w:b w:val="1"/>
                <w:bCs w:val="1"/>
                <w:color w:val="auto"/>
              </w:rPr>
              <w:t>28,994</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color w:val="auto"/>
              </w:rPr>
              <w:t>Foreign currency gain (loss), net</w:t>
            </w:r>
          </w:p>
        </w:tc>
        <w:tc>
          <w:tcPr>
            <w:tcW w:w="300" w:type="dxa"/>
            <w:vAlign w:val="bottom"/>
          </w:tcPr>
          <w:p>
            <w:pPr>
              <w:spacing w:after="0"/>
              <w:rPr>
                <w:sz w:val="23"/>
                <w:szCs w:val="23"/>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109</w:t>
            </w:r>
          </w:p>
        </w:tc>
        <w:tc>
          <w:tcPr>
            <w:tcW w:w="44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(2,266)</w:t>
            </w:r>
          </w:p>
        </w:tc>
        <w:tc>
          <w:tcPr>
            <w:tcW w:w="320" w:type="dxa"/>
            <w:vAlign w:val="bottom"/>
          </w:tcPr>
          <w:p>
            <w:pPr>
              <w:spacing w:after="0"/>
              <w:rPr>
                <w:sz w:val="23"/>
                <w:szCs w:val="23"/>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b w:val="1"/>
                <w:bCs w:val="1"/>
                <w:color w:val="auto"/>
              </w:rPr>
              <w:t>623</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(2,089)</w:t>
            </w: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color w:val="auto"/>
              </w:rPr>
              <w:t>Gain on sales of businesses</w:t>
            </w:r>
          </w:p>
        </w:tc>
        <w:tc>
          <w:tcPr>
            <w:tcW w:w="300" w:type="dxa"/>
            <w:vAlign w:val="bottom"/>
          </w:tcPr>
          <w:p>
            <w:pPr>
              <w:spacing w:after="0"/>
              <w:rPr>
                <w:sz w:val="23"/>
                <w:szCs w:val="23"/>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232</w:t>
            </w:r>
          </w:p>
        </w:tc>
        <w:tc>
          <w:tcPr>
            <w:tcW w:w="44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1,334</w:t>
            </w:r>
          </w:p>
        </w:tc>
        <w:tc>
          <w:tcPr>
            <w:tcW w:w="320" w:type="dxa"/>
            <w:vAlign w:val="bottom"/>
          </w:tcPr>
          <w:p>
            <w:pPr>
              <w:spacing w:after="0"/>
              <w:rPr>
                <w:sz w:val="23"/>
                <w:szCs w:val="23"/>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b w:val="1"/>
                <w:bCs w:val="1"/>
                <w:color w:val="auto"/>
              </w:rPr>
              <w:t>421</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7,241</w:t>
            </w: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color w:val="auto"/>
              </w:rPr>
              <w:t>Gain on sale of a cost method investment</w:t>
            </w:r>
          </w:p>
        </w:tc>
        <w:tc>
          <w:tcPr>
            <w:tcW w:w="300" w:type="dxa"/>
            <w:vAlign w:val="bottom"/>
          </w:tcPr>
          <w:p>
            <w:pPr>
              <w:spacing w:after="0"/>
              <w:rPr>
                <w:sz w:val="23"/>
                <w:szCs w:val="23"/>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2,845</w:t>
            </w: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color w:val="auto"/>
              </w:rPr>
              <w:t>Gain (loss) on sale of property, plant and equipment</w:t>
            </w:r>
          </w:p>
        </w:tc>
        <w:tc>
          <w:tcPr>
            <w:tcW w:w="300" w:type="dxa"/>
            <w:vAlign w:val="bottom"/>
          </w:tcPr>
          <w:p>
            <w:pPr>
              <w:spacing w:after="0"/>
              <w:rPr>
                <w:sz w:val="23"/>
                <w:szCs w:val="23"/>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2,542</w:t>
            </w:r>
          </w:p>
        </w:tc>
        <w:tc>
          <w:tcPr>
            <w:tcW w:w="320" w:type="dxa"/>
            <w:vAlign w:val="bottom"/>
          </w:tcPr>
          <w:p>
            <w:pPr>
              <w:spacing w:after="0"/>
              <w:rPr>
                <w:sz w:val="23"/>
                <w:szCs w:val="23"/>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b w:val="1"/>
                <w:bCs w:val="1"/>
                <w:color w:val="auto"/>
              </w:rPr>
              <w:t>(44)</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2,542</w:t>
            </w:r>
          </w:p>
        </w:tc>
      </w:tr>
      <w:tr>
        <w:trPr>
          <w:trHeight w:val="283"/>
        </w:trPr>
        <w:tc>
          <w:tcPr>
            <w:tcW w:w="6280" w:type="dxa"/>
            <w:vAlign w:val="bottom"/>
          </w:tcPr>
          <w:p>
            <w:pPr>
              <w:ind w:left="40"/>
              <w:spacing w:after="0"/>
              <w:rPr>
                <w:sz w:val="20"/>
                <w:szCs w:val="20"/>
                <w:color w:val="auto"/>
              </w:rPr>
            </w:pPr>
            <w:r>
              <w:rPr>
                <w:rFonts w:ascii="Arial" w:cs="Arial" w:eastAsia="Arial" w:hAnsi="Arial"/>
                <w:sz w:val="16"/>
                <w:szCs w:val="16"/>
                <w:color w:val="auto"/>
              </w:rPr>
              <w:t>Other, net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887</w:t>
            </w:r>
          </w:p>
        </w:tc>
        <w:tc>
          <w:tcPr>
            <w:tcW w:w="4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723</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585</w:t>
            </w: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981</w:t>
            </w:r>
          </w:p>
        </w:tc>
      </w:tr>
      <w:tr>
        <w:trPr>
          <w:trHeight w:val="267"/>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Total Other Non-Operating Income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1,228</w:t>
            </w:r>
          </w:p>
        </w:tc>
        <w:tc>
          <w:tcPr>
            <w:tcW w:w="4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2,333</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30,579</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11,520</w:t>
            </w:r>
          </w:p>
        </w:tc>
      </w:tr>
      <w:tr>
        <w:trPr>
          <w:trHeight w:val="20"/>
        </w:trPr>
        <w:tc>
          <w:tcPr>
            <w:tcW w:w="6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of 2019, the Company recorded a $29.0 million gain on the sale of the Company’s interest in Gimlet Media.</w:t>
      </w:r>
    </w:p>
    <w:p>
      <w:pPr>
        <w:spacing w:after="0" w:line="144"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In the second quarter of 2018, the Company recorded a $1.4 million contingent consideration gain related to the sale of a business (see Note 2).</w:t>
      </w:r>
    </w:p>
    <w:p>
      <w:pPr>
        <w:spacing w:after="0" w:line="135"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In the first quarter of 2018, the Company recorded a $5.9 million gain on the sale of two businesses in the education division, including a gain of $4.3 million on the Kaplan University transaction (see Note 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INCOME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other comprehensive loss consists of the following components: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16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0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50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color w:val="auto"/>
              </w:rPr>
              <w:t>2018</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121"/>
              <w:spacing w:after="0"/>
              <w:rPr>
                <w:sz w:val="20"/>
                <w:szCs w:val="20"/>
                <w:color w:val="auto"/>
              </w:rPr>
            </w:pPr>
            <w:r>
              <w:rPr>
                <w:rFonts w:ascii="Arial" w:cs="Arial" w:eastAsia="Arial" w:hAnsi="Arial"/>
                <w:sz w:val="14"/>
                <w:szCs w:val="14"/>
                <w:b w:val="1"/>
                <w:bCs w:val="1"/>
                <w:color w:val="auto"/>
              </w:rPr>
              <w:t>Before-Tax</w:t>
            </w:r>
          </w:p>
        </w:tc>
        <w:tc>
          <w:tcPr>
            <w:tcW w:w="240" w:type="dxa"/>
            <w:vAlign w:val="bottom"/>
          </w:tcPr>
          <w:p>
            <w:pPr>
              <w:spacing w:after="0"/>
              <w:rPr>
                <w:sz w:val="22"/>
                <w:szCs w:val="22"/>
                <w:color w:val="auto"/>
              </w:rPr>
            </w:pPr>
          </w:p>
        </w:tc>
        <w:tc>
          <w:tcPr>
            <w:tcW w:w="780" w:type="dxa"/>
            <w:vAlign w:val="bottom"/>
          </w:tcPr>
          <w:p>
            <w:pPr>
              <w:jc w:val="right"/>
              <w:ind w:right="162"/>
              <w:spacing w:after="0"/>
              <w:rPr>
                <w:sz w:val="20"/>
                <w:szCs w:val="20"/>
                <w:color w:val="auto"/>
              </w:rPr>
            </w:pPr>
            <w:r>
              <w:rPr>
                <w:rFonts w:ascii="Arial" w:cs="Arial" w:eastAsia="Arial" w:hAnsi="Arial"/>
                <w:sz w:val="14"/>
                <w:szCs w:val="14"/>
                <w:b w:val="1"/>
                <w:bCs w:val="1"/>
                <w:color w:val="auto"/>
              </w:rPr>
              <w:t>Income</w:t>
            </w:r>
          </w:p>
        </w:tc>
        <w:tc>
          <w:tcPr>
            <w:tcW w:w="200" w:type="dxa"/>
            <w:vAlign w:val="bottom"/>
          </w:tcPr>
          <w:p>
            <w:pPr>
              <w:spacing w:after="0"/>
              <w:rPr>
                <w:sz w:val="22"/>
                <w:szCs w:val="22"/>
                <w:color w:val="auto"/>
              </w:rPr>
            </w:pPr>
          </w:p>
        </w:tc>
        <w:tc>
          <w:tcPr>
            <w:tcW w:w="820" w:type="dxa"/>
            <w:vAlign w:val="bottom"/>
          </w:tcPr>
          <w:p>
            <w:pPr>
              <w:jc w:val="right"/>
              <w:ind w:right="101"/>
              <w:spacing w:after="0"/>
              <w:rPr>
                <w:sz w:val="20"/>
                <w:szCs w:val="20"/>
                <w:color w:val="auto"/>
              </w:rPr>
            </w:pPr>
            <w:r>
              <w:rPr>
                <w:rFonts w:ascii="Arial" w:cs="Arial" w:eastAsia="Arial" w:hAnsi="Arial"/>
                <w:sz w:val="14"/>
                <w:szCs w:val="14"/>
                <w:b w:val="1"/>
                <w:bCs w:val="1"/>
                <w:color w:val="auto"/>
              </w:rPr>
              <w:t>After-Tax</w:t>
            </w:r>
          </w:p>
        </w:tc>
        <w:tc>
          <w:tcPr>
            <w:tcW w:w="200" w:type="dxa"/>
            <w:vAlign w:val="bottom"/>
          </w:tcPr>
          <w:p>
            <w:pPr>
              <w:spacing w:after="0"/>
              <w:rPr>
                <w:sz w:val="22"/>
                <w:szCs w:val="22"/>
                <w:color w:val="auto"/>
              </w:rPr>
            </w:pPr>
          </w:p>
        </w:tc>
        <w:tc>
          <w:tcPr>
            <w:tcW w:w="940" w:type="dxa"/>
            <w:vAlign w:val="bottom"/>
          </w:tcPr>
          <w:p>
            <w:pPr>
              <w:jc w:val="right"/>
              <w:ind w:right="141"/>
              <w:spacing w:after="0"/>
              <w:rPr>
                <w:sz w:val="20"/>
                <w:szCs w:val="20"/>
                <w:color w:val="auto"/>
              </w:rPr>
            </w:pPr>
            <w:r>
              <w:rPr>
                <w:rFonts w:ascii="Arial" w:cs="Arial" w:eastAsia="Arial" w:hAnsi="Arial"/>
                <w:sz w:val="14"/>
                <w:szCs w:val="14"/>
                <w:color w:val="auto"/>
              </w:rPr>
              <w:t>Before-Tax</w:t>
            </w:r>
          </w:p>
        </w:tc>
        <w:tc>
          <w:tcPr>
            <w:tcW w:w="220" w:type="dxa"/>
            <w:vAlign w:val="bottom"/>
          </w:tcPr>
          <w:p>
            <w:pPr>
              <w:spacing w:after="0"/>
              <w:rPr>
                <w:sz w:val="22"/>
                <w:szCs w:val="22"/>
                <w:color w:val="auto"/>
              </w:rPr>
            </w:pPr>
          </w:p>
        </w:tc>
        <w:tc>
          <w:tcPr>
            <w:tcW w:w="780" w:type="dxa"/>
            <w:vAlign w:val="bottom"/>
          </w:tcPr>
          <w:p>
            <w:pPr>
              <w:jc w:val="center"/>
              <w:ind w:right="122"/>
              <w:spacing w:after="0"/>
              <w:rPr>
                <w:sz w:val="20"/>
                <w:szCs w:val="20"/>
                <w:color w:val="auto"/>
              </w:rPr>
            </w:pPr>
            <w:r>
              <w:rPr>
                <w:rFonts w:ascii="Arial" w:cs="Arial" w:eastAsia="Arial" w:hAnsi="Arial"/>
                <w:sz w:val="14"/>
                <w:szCs w:val="14"/>
                <w:color w:val="auto"/>
              </w:rPr>
              <w:t>Income</w:t>
            </w:r>
          </w:p>
        </w:tc>
        <w:tc>
          <w:tcPr>
            <w:tcW w:w="240" w:type="dxa"/>
            <w:vAlign w:val="bottom"/>
          </w:tcPr>
          <w:p>
            <w:pPr>
              <w:spacing w:after="0"/>
              <w:rPr>
                <w:sz w:val="22"/>
                <w:szCs w:val="22"/>
                <w:color w:val="auto"/>
              </w:rPr>
            </w:pPr>
          </w:p>
        </w:tc>
        <w:tc>
          <w:tcPr>
            <w:tcW w:w="860" w:type="dxa"/>
            <w:vAlign w:val="bottom"/>
          </w:tcPr>
          <w:p>
            <w:pPr>
              <w:jc w:val="right"/>
              <w:ind w:right="141"/>
              <w:spacing w:after="0"/>
              <w:rPr>
                <w:sz w:val="20"/>
                <w:szCs w:val="20"/>
                <w:color w:val="auto"/>
              </w:rPr>
            </w:pPr>
            <w:r>
              <w:rPr>
                <w:rFonts w:ascii="Arial" w:cs="Arial" w:eastAsia="Arial" w:hAnsi="Arial"/>
                <w:sz w:val="14"/>
                <w:szCs w:val="14"/>
                <w:color w:val="auto"/>
              </w:rPr>
              <w:t>After-Tax</w:t>
            </w:r>
          </w:p>
        </w:tc>
        <w:tc>
          <w:tcPr>
            <w:tcW w:w="0" w:type="dxa"/>
            <w:vAlign w:val="bottom"/>
          </w:tcPr>
          <w:p>
            <w:pPr>
              <w:spacing w:after="0"/>
              <w:rPr>
                <w:sz w:val="1"/>
                <w:szCs w:val="1"/>
                <w:color w:val="auto"/>
              </w:rPr>
            </w:pPr>
          </w:p>
        </w:tc>
      </w:tr>
      <w:tr>
        <w:trPr>
          <w:trHeight w:val="216"/>
        </w:trPr>
        <w:tc>
          <w:tcPr>
            <w:tcW w:w="5040" w:type="dxa"/>
            <w:vAlign w:val="bottom"/>
            <w:vMerge w:val="restart"/>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8"/>
                <w:szCs w:val="18"/>
                <w:color w:val="auto"/>
              </w:rPr>
            </w:pPr>
          </w:p>
        </w:tc>
        <w:tc>
          <w:tcPr>
            <w:tcW w:w="960" w:type="dxa"/>
            <w:vAlign w:val="bottom"/>
          </w:tcPr>
          <w:p>
            <w:pPr>
              <w:jc w:val="right"/>
              <w:ind w:right="221"/>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8"/>
                <w:szCs w:val="18"/>
                <w:color w:val="auto"/>
              </w:rPr>
            </w:pPr>
          </w:p>
        </w:tc>
        <w:tc>
          <w:tcPr>
            <w:tcW w:w="780" w:type="dxa"/>
            <w:vAlign w:val="bottom"/>
          </w:tcPr>
          <w:p>
            <w:pPr>
              <w:jc w:val="right"/>
              <w:ind w:right="282"/>
              <w:spacing w:after="0"/>
              <w:rPr>
                <w:sz w:val="20"/>
                <w:szCs w:val="20"/>
                <w:color w:val="auto"/>
              </w:rPr>
            </w:pPr>
            <w:r>
              <w:rPr>
                <w:rFonts w:ascii="Arial" w:cs="Arial" w:eastAsia="Arial" w:hAnsi="Arial"/>
                <w:sz w:val="14"/>
                <w:szCs w:val="14"/>
                <w:b w:val="1"/>
                <w:bCs w:val="1"/>
                <w:color w:val="auto"/>
              </w:rPr>
              <w:t>Tax</w:t>
            </w:r>
          </w:p>
        </w:tc>
        <w:tc>
          <w:tcPr>
            <w:tcW w:w="200" w:type="dxa"/>
            <w:vAlign w:val="bottom"/>
          </w:tcPr>
          <w:p>
            <w:pPr>
              <w:spacing w:after="0"/>
              <w:rPr>
                <w:sz w:val="18"/>
                <w:szCs w:val="18"/>
                <w:color w:val="auto"/>
              </w:rPr>
            </w:pPr>
          </w:p>
        </w:tc>
        <w:tc>
          <w:tcPr>
            <w:tcW w:w="820" w:type="dxa"/>
            <w:vAlign w:val="bottom"/>
          </w:tcPr>
          <w:p>
            <w:pPr>
              <w:jc w:val="right"/>
              <w:ind w:right="141"/>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8"/>
                <w:szCs w:val="18"/>
                <w:color w:val="auto"/>
              </w:rPr>
            </w:pPr>
          </w:p>
        </w:tc>
        <w:tc>
          <w:tcPr>
            <w:tcW w:w="940" w:type="dxa"/>
            <w:vAlign w:val="bottom"/>
          </w:tcPr>
          <w:p>
            <w:pPr>
              <w:jc w:val="right"/>
              <w:ind w:right="241"/>
              <w:spacing w:after="0"/>
              <w:rPr>
                <w:sz w:val="20"/>
                <w:szCs w:val="20"/>
                <w:color w:val="auto"/>
              </w:rPr>
            </w:pPr>
            <w:r>
              <w:rPr>
                <w:rFonts w:ascii="Arial" w:cs="Arial" w:eastAsia="Arial" w:hAnsi="Arial"/>
                <w:sz w:val="14"/>
                <w:szCs w:val="14"/>
                <w:color w:val="auto"/>
              </w:rPr>
              <w:t>Amount</w:t>
            </w:r>
          </w:p>
        </w:tc>
        <w:tc>
          <w:tcPr>
            <w:tcW w:w="220" w:type="dxa"/>
            <w:vAlign w:val="bottom"/>
          </w:tcPr>
          <w:p>
            <w:pPr>
              <w:spacing w:after="0"/>
              <w:rPr>
                <w:sz w:val="18"/>
                <w:szCs w:val="18"/>
                <w:color w:val="auto"/>
              </w:rPr>
            </w:pPr>
          </w:p>
        </w:tc>
        <w:tc>
          <w:tcPr>
            <w:tcW w:w="780" w:type="dxa"/>
            <w:vAlign w:val="bottom"/>
          </w:tcPr>
          <w:p>
            <w:pPr>
              <w:jc w:val="center"/>
              <w:ind w:right="122"/>
              <w:spacing w:after="0"/>
              <w:rPr>
                <w:sz w:val="20"/>
                <w:szCs w:val="20"/>
                <w:color w:val="auto"/>
              </w:rPr>
            </w:pPr>
            <w:r>
              <w:rPr>
                <w:rFonts w:ascii="Arial" w:cs="Arial" w:eastAsia="Arial" w:hAnsi="Arial"/>
                <w:sz w:val="14"/>
                <w:szCs w:val="14"/>
                <w:color w:val="auto"/>
                <w:w w:val="94"/>
              </w:rPr>
              <w:t>Tax</w:t>
            </w:r>
          </w:p>
        </w:tc>
        <w:tc>
          <w:tcPr>
            <w:tcW w:w="240" w:type="dxa"/>
            <w:vAlign w:val="bottom"/>
          </w:tcPr>
          <w:p>
            <w:pPr>
              <w:spacing w:after="0"/>
              <w:rPr>
                <w:sz w:val="18"/>
                <w:szCs w:val="18"/>
                <w:color w:val="auto"/>
              </w:rPr>
            </w:pPr>
          </w:p>
        </w:tc>
        <w:tc>
          <w:tcPr>
            <w:tcW w:w="860" w:type="dxa"/>
            <w:vAlign w:val="bottom"/>
          </w:tcPr>
          <w:p>
            <w:pPr>
              <w:jc w:val="right"/>
              <w:ind w:right="181"/>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60"/>
        </w:trPr>
        <w:tc>
          <w:tcPr>
            <w:tcW w:w="5040" w:type="dxa"/>
            <w:vAlign w:val="bottom"/>
            <w:tcBorders>
              <w:bottom w:val="single" w:sz="8" w:color="auto"/>
            </w:tcBorders>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040" w:type="dxa"/>
            <w:vAlign w:val="bottom"/>
          </w:tcPr>
          <w:p>
            <w:pPr>
              <w:ind w:left="40"/>
              <w:spacing w:after="0"/>
              <w:rPr>
                <w:sz w:val="20"/>
                <w:szCs w:val="20"/>
                <w:color w:val="auto"/>
              </w:rPr>
            </w:pPr>
            <w:r>
              <w:rPr>
                <w:rFonts w:ascii="Arial" w:cs="Arial" w:eastAsia="Arial" w:hAnsi="Arial"/>
                <w:sz w:val="16"/>
                <w:szCs w:val="16"/>
                <w:color w:val="auto"/>
              </w:rPr>
              <w:t>Foreign currency translation adjustments: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40" w:type="dxa"/>
            <w:vAlign w:val="bottom"/>
          </w:tcPr>
          <w:p>
            <w:pPr>
              <w:ind w:left="180"/>
              <w:spacing w:after="0"/>
              <w:rPr>
                <w:sz w:val="20"/>
                <w:szCs w:val="20"/>
                <w:color w:val="auto"/>
              </w:rPr>
            </w:pPr>
            <w:r>
              <w:rPr>
                <w:rFonts w:ascii="Arial" w:cs="Arial" w:eastAsia="Arial" w:hAnsi="Arial"/>
                <w:sz w:val="16"/>
                <w:szCs w:val="16"/>
                <w:color w:val="auto"/>
              </w:rPr>
              <w:t>Translation adjustments arising during the period</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(11,104)</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62"/>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ind w:left="100"/>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21"/>
              <w:spacing w:after="0"/>
              <w:rPr>
                <w:sz w:val="20"/>
                <w:szCs w:val="20"/>
                <w:color w:val="auto"/>
              </w:rPr>
            </w:pPr>
            <w:r>
              <w:rPr>
                <w:rFonts w:ascii="Arial" w:cs="Arial" w:eastAsia="Arial" w:hAnsi="Arial"/>
                <w:sz w:val="16"/>
                <w:szCs w:val="16"/>
                <w:b w:val="1"/>
                <w:bCs w:val="1"/>
                <w:color w:val="auto"/>
              </w:rPr>
              <w:t>(11,104)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(31,167)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(31,167)</w:t>
            </w:r>
          </w:p>
        </w:tc>
        <w:tc>
          <w:tcPr>
            <w:tcW w:w="0" w:type="dxa"/>
            <w:vAlign w:val="bottom"/>
          </w:tcPr>
          <w:p>
            <w:pPr>
              <w:spacing w:after="0"/>
              <w:rPr>
                <w:sz w:val="1"/>
                <w:szCs w:val="1"/>
                <w:color w:val="auto"/>
              </w:rPr>
            </w:pPr>
          </w:p>
        </w:tc>
      </w:tr>
      <w:tr>
        <w:trPr>
          <w:trHeight w:val="270"/>
        </w:trPr>
        <w:tc>
          <w:tcPr>
            <w:tcW w:w="5040" w:type="dxa"/>
            <w:vAlign w:val="bottom"/>
          </w:tcPr>
          <w:p>
            <w:pPr>
              <w:ind w:left="40"/>
              <w:spacing w:after="0"/>
              <w:rPr>
                <w:sz w:val="20"/>
                <w:szCs w:val="20"/>
                <w:color w:val="auto"/>
              </w:rPr>
            </w:pPr>
            <w:r>
              <w:rPr>
                <w:rFonts w:ascii="Arial" w:cs="Arial" w:eastAsia="Arial" w:hAnsi="Arial"/>
                <w:sz w:val="16"/>
                <w:szCs w:val="16"/>
                <w:color w:val="auto"/>
              </w:rPr>
              <w:t>Pension and other postretirement plans:</w:t>
            </w: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40" w:type="dxa"/>
            <w:vAlign w:val="bottom"/>
          </w:tcPr>
          <w:p>
            <w:pPr>
              <w:ind w:left="180"/>
              <w:spacing w:after="0"/>
              <w:rPr>
                <w:sz w:val="20"/>
                <w:szCs w:val="20"/>
                <w:color w:val="auto"/>
              </w:rPr>
            </w:pPr>
            <w:r>
              <w:rPr>
                <w:rFonts w:ascii="Arial" w:cs="Arial" w:eastAsia="Arial" w:hAnsi="Arial"/>
                <w:sz w:val="16"/>
                <w:szCs w:val="16"/>
                <w:color w:val="auto"/>
              </w:rPr>
              <w:t>Amortization of net prior service (credit) cost included in net income</w:t>
            </w:r>
          </w:p>
        </w:tc>
        <w:tc>
          <w:tcPr>
            <w:tcW w:w="140" w:type="dxa"/>
            <w:vAlign w:val="bottom"/>
          </w:tcPr>
          <w:p>
            <w:pPr>
              <w:spacing w:after="0"/>
              <w:rPr>
                <w:sz w:val="23"/>
                <w:szCs w:val="23"/>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(931)</w:t>
            </w:r>
          </w:p>
        </w:tc>
        <w:tc>
          <w:tcPr>
            <w:tcW w:w="240" w:type="dxa"/>
            <w:vAlign w:val="bottom"/>
          </w:tcPr>
          <w:p>
            <w:pPr>
              <w:spacing w:after="0"/>
              <w:rPr>
                <w:sz w:val="23"/>
                <w:szCs w:val="23"/>
                <w:color w:val="auto"/>
              </w:rPr>
            </w:pPr>
          </w:p>
        </w:tc>
        <w:tc>
          <w:tcPr>
            <w:tcW w:w="780" w:type="dxa"/>
            <w:vAlign w:val="bottom"/>
          </w:tcPr>
          <w:p>
            <w:pPr>
              <w:jc w:val="right"/>
              <w:ind w:right="62"/>
              <w:spacing w:after="0"/>
              <w:rPr>
                <w:sz w:val="20"/>
                <w:szCs w:val="20"/>
                <w:color w:val="auto"/>
              </w:rPr>
            </w:pPr>
            <w:r>
              <w:rPr>
                <w:rFonts w:ascii="Arial" w:cs="Arial" w:eastAsia="Arial" w:hAnsi="Arial"/>
                <w:sz w:val="16"/>
                <w:szCs w:val="16"/>
                <w:b w:val="1"/>
                <w:bCs w:val="1"/>
                <w:color w:val="auto"/>
              </w:rPr>
              <w:t>251</w:t>
            </w:r>
          </w:p>
        </w:tc>
        <w:tc>
          <w:tcPr>
            <w:tcW w:w="200" w:type="dxa"/>
            <w:vAlign w:val="bottom"/>
          </w:tcPr>
          <w:p>
            <w:pPr>
              <w:spacing w:after="0"/>
              <w:rPr>
                <w:sz w:val="23"/>
                <w:szCs w:val="23"/>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b w:val="1"/>
                <w:bCs w:val="1"/>
                <w:color w:val="auto"/>
              </w:rPr>
              <w:t>(680)</w:t>
            </w:r>
          </w:p>
        </w:tc>
        <w:tc>
          <w:tcPr>
            <w:tcW w:w="200" w:type="dxa"/>
            <w:vAlign w:val="bottom"/>
          </w:tcPr>
          <w:p>
            <w:pPr>
              <w:spacing w:after="0"/>
              <w:rPr>
                <w:sz w:val="23"/>
                <w:szCs w:val="23"/>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70</w:t>
            </w:r>
          </w:p>
        </w:tc>
        <w:tc>
          <w:tcPr>
            <w:tcW w:w="220" w:type="dxa"/>
            <w:vAlign w:val="bottom"/>
          </w:tcPr>
          <w:p>
            <w:pPr>
              <w:spacing w:after="0"/>
              <w:rPr>
                <w:sz w:val="23"/>
                <w:szCs w:val="23"/>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(19)</w:t>
            </w:r>
          </w:p>
        </w:tc>
        <w:tc>
          <w:tcPr>
            <w:tcW w:w="24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83"/>
        </w:trPr>
        <w:tc>
          <w:tcPr>
            <w:tcW w:w="5040" w:type="dxa"/>
            <w:vAlign w:val="bottom"/>
          </w:tcPr>
          <w:p>
            <w:pPr>
              <w:ind w:left="180"/>
              <w:spacing w:after="0"/>
              <w:rPr>
                <w:sz w:val="20"/>
                <w:szCs w:val="20"/>
                <w:color w:val="auto"/>
              </w:rPr>
            </w:pPr>
            <w:r>
              <w:rPr>
                <w:rFonts w:ascii="Arial" w:cs="Arial" w:eastAsia="Arial" w:hAnsi="Arial"/>
                <w:sz w:val="16"/>
                <w:szCs w:val="16"/>
                <w:color w:val="auto"/>
              </w:rPr>
              <w:t>Amortization of net actuarial gain included in net income</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(475)</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129</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(346)</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(3,294)</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888</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(2,406)</w:t>
            </w:r>
          </w:p>
        </w:tc>
        <w:tc>
          <w:tcPr>
            <w:tcW w:w="0" w:type="dxa"/>
            <w:vAlign w:val="bottom"/>
          </w:tcPr>
          <w:p>
            <w:pPr>
              <w:spacing w:after="0"/>
              <w:rPr>
                <w:sz w:val="1"/>
                <w:szCs w:val="1"/>
                <w:color w:val="auto"/>
              </w:rPr>
            </w:pPr>
          </w:p>
        </w:tc>
      </w:tr>
      <w:tr>
        <w:trPr>
          <w:trHeight w:val="264"/>
        </w:trPr>
        <w:tc>
          <w:tcPr>
            <w:tcW w:w="50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(1,406)</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380</w:t>
            </w: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(1,026)</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(3,224)</w:t>
            </w: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869</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(2,355)</w:t>
            </w:r>
          </w:p>
        </w:tc>
        <w:tc>
          <w:tcPr>
            <w:tcW w:w="0" w:type="dxa"/>
            <w:vAlign w:val="bottom"/>
          </w:tcPr>
          <w:p>
            <w:pPr>
              <w:spacing w:after="0"/>
              <w:rPr>
                <w:sz w:val="1"/>
                <w:szCs w:val="1"/>
                <w:color w:val="auto"/>
              </w:rPr>
            </w:pPr>
          </w:p>
        </w:tc>
      </w:tr>
      <w:tr>
        <w:trPr>
          <w:trHeight w:val="251"/>
        </w:trPr>
        <w:tc>
          <w:tcPr>
            <w:tcW w:w="5040" w:type="dxa"/>
            <w:vAlign w:val="bottom"/>
          </w:tcPr>
          <w:p>
            <w:pPr>
              <w:ind w:left="40"/>
              <w:spacing w:after="0"/>
              <w:rPr>
                <w:sz w:val="20"/>
                <w:szCs w:val="20"/>
                <w:color w:val="auto"/>
              </w:rPr>
            </w:pPr>
            <w:r>
              <w:rPr>
                <w:rFonts w:ascii="Arial" w:cs="Arial" w:eastAsia="Arial" w:hAnsi="Arial"/>
                <w:sz w:val="16"/>
                <w:szCs w:val="16"/>
                <w:color w:val="auto"/>
              </w:rPr>
              <w:t>Cash flow hedges: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5040" w:type="dxa"/>
            <w:vAlign w:val="bottom"/>
          </w:tcPr>
          <w:p>
            <w:pPr>
              <w:ind w:left="180"/>
              <w:spacing w:after="0"/>
              <w:rPr>
                <w:sz w:val="20"/>
                <w:szCs w:val="20"/>
                <w:color w:val="auto"/>
              </w:rPr>
            </w:pPr>
            <w:r>
              <w:rPr>
                <w:rFonts w:ascii="Arial" w:cs="Arial" w:eastAsia="Arial" w:hAnsi="Arial"/>
                <w:sz w:val="16"/>
                <w:szCs w:val="16"/>
                <w:color w:val="auto"/>
              </w:rPr>
              <w:t>Gain for the period</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40</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(5)</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35</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371</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(70)</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267"/>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(12,470)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375</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(12,095)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(34,020)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799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(33,221)</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19" w:right="23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719" w:right="23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196"/>
        </w:trPr>
        <w:tc>
          <w:tcPr>
            <w:tcW w:w="50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4"/>
          </w:tcPr>
          <w:p>
            <w:pPr>
              <w:jc w:val="right"/>
              <w:ind w:right="81"/>
              <w:spacing w:after="0"/>
              <w:rPr>
                <w:sz w:val="20"/>
                <w:szCs w:val="20"/>
                <w:color w:val="auto"/>
              </w:rPr>
            </w:pPr>
            <w:r>
              <w:rPr>
                <w:rFonts w:ascii="Arial" w:cs="Arial" w:eastAsia="Arial" w:hAnsi="Arial"/>
                <w:sz w:val="14"/>
                <w:szCs w:val="14"/>
                <w:b w:val="1"/>
                <w:bCs w:val="1"/>
                <w:color w:val="auto"/>
              </w:rPr>
              <w:t>Six Months Ended June 30</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0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color w:val="auto"/>
              </w:rPr>
              <w:t>2018</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121"/>
              <w:spacing w:after="0"/>
              <w:rPr>
                <w:sz w:val="20"/>
                <w:szCs w:val="20"/>
                <w:color w:val="auto"/>
              </w:rPr>
            </w:pPr>
            <w:r>
              <w:rPr>
                <w:rFonts w:ascii="Arial" w:cs="Arial" w:eastAsia="Arial" w:hAnsi="Arial"/>
                <w:sz w:val="14"/>
                <w:szCs w:val="14"/>
                <w:b w:val="1"/>
                <w:bCs w:val="1"/>
                <w:color w:val="auto"/>
              </w:rPr>
              <w:t>Before-Tax</w:t>
            </w:r>
          </w:p>
        </w:tc>
        <w:tc>
          <w:tcPr>
            <w:tcW w:w="240" w:type="dxa"/>
            <w:vAlign w:val="bottom"/>
          </w:tcPr>
          <w:p>
            <w:pPr>
              <w:spacing w:after="0"/>
              <w:rPr>
                <w:sz w:val="22"/>
                <w:szCs w:val="22"/>
                <w:color w:val="auto"/>
              </w:rPr>
            </w:pPr>
          </w:p>
        </w:tc>
        <w:tc>
          <w:tcPr>
            <w:tcW w:w="760" w:type="dxa"/>
            <w:vAlign w:val="bottom"/>
          </w:tcPr>
          <w:p>
            <w:pPr>
              <w:jc w:val="right"/>
              <w:ind w:right="142"/>
              <w:spacing w:after="0"/>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22"/>
                <w:szCs w:val="22"/>
                <w:color w:val="auto"/>
              </w:rPr>
            </w:pPr>
          </w:p>
        </w:tc>
        <w:tc>
          <w:tcPr>
            <w:tcW w:w="820" w:type="dxa"/>
            <w:vAlign w:val="bottom"/>
          </w:tcPr>
          <w:p>
            <w:pPr>
              <w:jc w:val="right"/>
              <w:ind w:right="101"/>
              <w:spacing w:after="0"/>
              <w:rPr>
                <w:sz w:val="20"/>
                <w:szCs w:val="20"/>
                <w:color w:val="auto"/>
              </w:rPr>
            </w:pPr>
            <w:r>
              <w:rPr>
                <w:rFonts w:ascii="Arial" w:cs="Arial" w:eastAsia="Arial" w:hAnsi="Arial"/>
                <w:sz w:val="14"/>
                <w:szCs w:val="14"/>
                <w:b w:val="1"/>
                <w:bCs w:val="1"/>
                <w:color w:val="auto"/>
              </w:rPr>
              <w:t>After-Tax</w:t>
            </w:r>
          </w:p>
        </w:tc>
        <w:tc>
          <w:tcPr>
            <w:tcW w:w="200" w:type="dxa"/>
            <w:vAlign w:val="bottom"/>
          </w:tcPr>
          <w:p>
            <w:pPr>
              <w:spacing w:after="0"/>
              <w:rPr>
                <w:sz w:val="22"/>
                <w:szCs w:val="22"/>
                <w:color w:val="auto"/>
              </w:rPr>
            </w:pPr>
          </w:p>
        </w:tc>
        <w:tc>
          <w:tcPr>
            <w:tcW w:w="940" w:type="dxa"/>
            <w:vAlign w:val="bottom"/>
          </w:tcPr>
          <w:p>
            <w:pPr>
              <w:jc w:val="right"/>
              <w:ind w:right="141"/>
              <w:spacing w:after="0"/>
              <w:rPr>
                <w:sz w:val="20"/>
                <w:szCs w:val="20"/>
                <w:color w:val="auto"/>
              </w:rPr>
            </w:pPr>
            <w:r>
              <w:rPr>
                <w:rFonts w:ascii="Arial" w:cs="Arial" w:eastAsia="Arial" w:hAnsi="Arial"/>
                <w:sz w:val="14"/>
                <w:szCs w:val="14"/>
                <w:color w:val="auto"/>
              </w:rPr>
              <w:t>Before-Tax</w:t>
            </w:r>
          </w:p>
        </w:tc>
        <w:tc>
          <w:tcPr>
            <w:tcW w:w="220" w:type="dxa"/>
            <w:vAlign w:val="bottom"/>
          </w:tcPr>
          <w:p>
            <w:pPr>
              <w:spacing w:after="0"/>
              <w:rPr>
                <w:sz w:val="22"/>
                <w:szCs w:val="22"/>
                <w:color w:val="auto"/>
              </w:rPr>
            </w:pPr>
          </w:p>
        </w:tc>
        <w:tc>
          <w:tcPr>
            <w:tcW w:w="780" w:type="dxa"/>
            <w:vAlign w:val="bottom"/>
          </w:tcPr>
          <w:p>
            <w:pPr>
              <w:jc w:val="center"/>
              <w:ind w:right="122"/>
              <w:spacing w:after="0"/>
              <w:rPr>
                <w:sz w:val="20"/>
                <w:szCs w:val="20"/>
                <w:color w:val="auto"/>
              </w:rPr>
            </w:pPr>
            <w:r>
              <w:rPr>
                <w:rFonts w:ascii="Arial" w:cs="Arial" w:eastAsia="Arial" w:hAnsi="Arial"/>
                <w:sz w:val="14"/>
                <w:szCs w:val="14"/>
                <w:color w:val="auto"/>
              </w:rPr>
              <w:t>Income</w:t>
            </w:r>
          </w:p>
        </w:tc>
        <w:tc>
          <w:tcPr>
            <w:tcW w:w="240" w:type="dxa"/>
            <w:vAlign w:val="bottom"/>
          </w:tcPr>
          <w:p>
            <w:pPr>
              <w:spacing w:after="0"/>
              <w:rPr>
                <w:sz w:val="22"/>
                <w:szCs w:val="22"/>
                <w:color w:val="auto"/>
              </w:rPr>
            </w:pPr>
          </w:p>
        </w:tc>
        <w:tc>
          <w:tcPr>
            <w:tcW w:w="860" w:type="dxa"/>
            <w:vAlign w:val="bottom"/>
          </w:tcPr>
          <w:p>
            <w:pPr>
              <w:jc w:val="right"/>
              <w:ind w:right="141"/>
              <w:spacing w:after="0"/>
              <w:rPr>
                <w:sz w:val="20"/>
                <w:szCs w:val="20"/>
                <w:color w:val="auto"/>
              </w:rPr>
            </w:pPr>
            <w:r>
              <w:rPr>
                <w:rFonts w:ascii="Arial" w:cs="Arial" w:eastAsia="Arial" w:hAnsi="Arial"/>
                <w:sz w:val="14"/>
                <w:szCs w:val="14"/>
                <w:color w:val="auto"/>
              </w:rPr>
              <w:t>After-Tax</w:t>
            </w:r>
          </w:p>
        </w:tc>
        <w:tc>
          <w:tcPr>
            <w:tcW w:w="0" w:type="dxa"/>
            <w:vAlign w:val="bottom"/>
          </w:tcPr>
          <w:p>
            <w:pPr>
              <w:spacing w:after="0"/>
              <w:rPr>
                <w:sz w:val="1"/>
                <w:szCs w:val="1"/>
                <w:color w:val="auto"/>
              </w:rPr>
            </w:pPr>
          </w:p>
        </w:tc>
      </w:tr>
      <w:tr>
        <w:trPr>
          <w:trHeight w:val="216"/>
        </w:trPr>
        <w:tc>
          <w:tcPr>
            <w:tcW w:w="5040" w:type="dxa"/>
            <w:vAlign w:val="bottom"/>
            <w:vMerge w:val="restart"/>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8"/>
                <w:szCs w:val="18"/>
                <w:color w:val="auto"/>
              </w:rPr>
            </w:pPr>
          </w:p>
        </w:tc>
        <w:tc>
          <w:tcPr>
            <w:tcW w:w="960" w:type="dxa"/>
            <w:vAlign w:val="bottom"/>
          </w:tcPr>
          <w:p>
            <w:pPr>
              <w:jc w:val="right"/>
              <w:ind w:right="221"/>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8"/>
                <w:szCs w:val="18"/>
                <w:color w:val="auto"/>
              </w:rPr>
            </w:pPr>
          </w:p>
        </w:tc>
        <w:tc>
          <w:tcPr>
            <w:tcW w:w="760" w:type="dxa"/>
            <w:vAlign w:val="bottom"/>
          </w:tcPr>
          <w:p>
            <w:pPr>
              <w:jc w:val="right"/>
              <w:ind w:right="262"/>
              <w:spacing w:after="0"/>
              <w:rPr>
                <w:sz w:val="20"/>
                <w:szCs w:val="20"/>
                <w:color w:val="auto"/>
              </w:rPr>
            </w:pPr>
            <w:r>
              <w:rPr>
                <w:rFonts w:ascii="Arial" w:cs="Arial" w:eastAsia="Arial" w:hAnsi="Arial"/>
                <w:sz w:val="14"/>
                <w:szCs w:val="14"/>
                <w:b w:val="1"/>
                <w:bCs w:val="1"/>
                <w:color w:val="auto"/>
              </w:rPr>
              <w:t>Tax</w:t>
            </w:r>
          </w:p>
        </w:tc>
        <w:tc>
          <w:tcPr>
            <w:tcW w:w="220" w:type="dxa"/>
            <w:vAlign w:val="bottom"/>
          </w:tcPr>
          <w:p>
            <w:pPr>
              <w:spacing w:after="0"/>
              <w:rPr>
                <w:sz w:val="18"/>
                <w:szCs w:val="18"/>
                <w:color w:val="auto"/>
              </w:rPr>
            </w:pPr>
          </w:p>
        </w:tc>
        <w:tc>
          <w:tcPr>
            <w:tcW w:w="820" w:type="dxa"/>
            <w:vAlign w:val="bottom"/>
          </w:tcPr>
          <w:p>
            <w:pPr>
              <w:jc w:val="right"/>
              <w:ind w:right="141"/>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8"/>
                <w:szCs w:val="18"/>
                <w:color w:val="auto"/>
              </w:rPr>
            </w:pPr>
          </w:p>
        </w:tc>
        <w:tc>
          <w:tcPr>
            <w:tcW w:w="940" w:type="dxa"/>
            <w:vAlign w:val="bottom"/>
          </w:tcPr>
          <w:p>
            <w:pPr>
              <w:jc w:val="right"/>
              <w:ind w:right="241"/>
              <w:spacing w:after="0"/>
              <w:rPr>
                <w:sz w:val="20"/>
                <w:szCs w:val="20"/>
                <w:color w:val="auto"/>
              </w:rPr>
            </w:pPr>
            <w:r>
              <w:rPr>
                <w:rFonts w:ascii="Arial" w:cs="Arial" w:eastAsia="Arial" w:hAnsi="Arial"/>
                <w:sz w:val="14"/>
                <w:szCs w:val="14"/>
                <w:color w:val="auto"/>
              </w:rPr>
              <w:t>Amount</w:t>
            </w:r>
          </w:p>
        </w:tc>
        <w:tc>
          <w:tcPr>
            <w:tcW w:w="220" w:type="dxa"/>
            <w:vAlign w:val="bottom"/>
          </w:tcPr>
          <w:p>
            <w:pPr>
              <w:spacing w:after="0"/>
              <w:rPr>
                <w:sz w:val="18"/>
                <w:szCs w:val="18"/>
                <w:color w:val="auto"/>
              </w:rPr>
            </w:pPr>
          </w:p>
        </w:tc>
        <w:tc>
          <w:tcPr>
            <w:tcW w:w="780" w:type="dxa"/>
            <w:vAlign w:val="bottom"/>
          </w:tcPr>
          <w:p>
            <w:pPr>
              <w:jc w:val="center"/>
              <w:ind w:right="122"/>
              <w:spacing w:after="0"/>
              <w:rPr>
                <w:sz w:val="20"/>
                <w:szCs w:val="20"/>
                <w:color w:val="auto"/>
              </w:rPr>
            </w:pPr>
            <w:r>
              <w:rPr>
                <w:rFonts w:ascii="Arial" w:cs="Arial" w:eastAsia="Arial" w:hAnsi="Arial"/>
                <w:sz w:val="14"/>
                <w:szCs w:val="14"/>
                <w:color w:val="auto"/>
                <w:w w:val="94"/>
              </w:rPr>
              <w:t>Tax</w:t>
            </w:r>
          </w:p>
        </w:tc>
        <w:tc>
          <w:tcPr>
            <w:tcW w:w="240" w:type="dxa"/>
            <w:vAlign w:val="bottom"/>
          </w:tcPr>
          <w:p>
            <w:pPr>
              <w:spacing w:after="0"/>
              <w:rPr>
                <w:sz w:val="18"/>
                <w:szCs w:val="18"/>
                <w:color w:val="auto"/>
              </w:rPr>
            </w:pPr>
          </w:p>
        </w:tc>
        <w:tc>
          <w:tcPr>
            <w:tcW w:w="860" w:type="dxa"/>
            <w:vAlign w:val="bottom"/>
          </w:tcPr>
          <w:p>
            <w:pPr>
              <w:jc w:val="right"/>
              <w:ind w:right="181"/>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60"/>
        </w:trPr>
        <w:tc>
          <w:tcPr>
            <w:tcW w:w="5040" w:type="dxa"/>
            <w:vAlign w:val="bottom"/>
            <w:tcBorders>
              <w:bottom w:val="single" w:sz="8" w:color="auto"/>
            </w:tcBorders>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040" w:type="dxa"/>
            <w:vAlign w:val="bottom"/>
          </w:tcPr>
          <w:p>
            <w:pPr>
              <w:ind w:left="40"/>
              <w:spacing w:after="0"/>
              <w:rPr>
                <w:sz w:val="20"/>
                <w:szCs w:val="20"/>
                <w:color w:val="auto"/>
              </w:rPr>
            </w:pPr>
            <w:r>
              <w:rPr>
                <w:rFonts w:ascii="Arial" w:cs="Arial" w:eastAsia="Arial" w:hAnsi="Arial"/>
                <w:sz w:val="16"/>
                <w:szCs w:val="16"/>
                <w:color w:val="auto"/>
              </w:rPr>
              <w:t>Foreign currency translation adjustments: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40" w:type="dxa"/>
            <w:vAlign w:val="bottom"/>
          </w:tcPr>
          <w:p>
            <w:pPr>
              <w:ind w:left="180"/>
              <w:spacing w:after="0"/>
              <w:rPr>
                <w:sz w:val="20"/>
                <w:szCs w:val="20"/>
                <w:color w:val="auto"/>
              </w:rPr>
            </w:pPr>
            <w:r>
              <w:rPr>
                <w:rFonts w:ascii="Arial" w:cs="Arial" w:eastAsia="Arial" w:hAnsi="Arial"/>
                <w:sz w:val="16"/>
                <w:szCs w:val="16"/>
                <w:color w:val="auto"/>
              </w:rPr>
              <w:t>Translation adjustments arising during the period</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(1,071)</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21"/>
              <w:spacing w:after="0"/>
              <w:rPr>
                <w:sz w:val="20"/>
                <w:szCs w:val="20"/>
                <w:color w:val="auto"/>
              </w:rPr>
            </w:pPr>
            <w:r>
              <w:rPr>
                <w:rFonts w:ascii="Arial" w:cs="Arial" w:eastAsia="Arial" w:hAnsi="Arial"/>
                <w:sz w:val="16"/>
                <w:szCs w:val="16"/>
                <w:b w:val="1"/>
                <w:bCs w:val="1"/>
                <w:color w:val="auto"/>
              </w:rPr>
              <w:t>(1,071)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(19,603)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(19,603)</w:t>
            </w:r>
          </w:p>
        </w:tc>
        <w:tc>
          <w:tcPr>
            <w:tcW w:w="0" w:type="dxa"/>
            <w:vAlign w:val="bottom"/>
          </w:tcPr>
          <w:p>
            <w:pPr>
              <w:spacing w:after="0"/>
              <w:rPr>
                <w:sz w:val="1"/>
                <w:szCs w:val="1"/>
                <w:color w:val="auto"/>
              </w:rPr>
            </w:pPr>
          </w:p>
        </w:tc>
      </w:tr>
      <w:tr>
        <w:trPr>
          <w:trHeight w:val="270"/>
        </w:trPr>
        <w:tc>
          <w:tcPr>
            <w:tcW w:w="5040" w:type="dxa"/>
            <w:vAlign w:val="bottom"/>
          </w:tcPr>
          <w:p>
            <w:pPr>
              <w:ind w:left="40"/>
              <w:spacing w:after="0"/>
              <w:rPr>
                <w:sz w:val="20"/>
                <w:szCs w:val="20"/>
                <w:color w:val="auto"/>
              </w:rPr>
            </w:pPr>
            <w:r>
              <w:rPr>
                <w:rFonts w:ascii="Arial" w:cs="Arial" w:eastAsia="Arial" w:hAnsi="Arial"/>
                <w:sz w:val="16"/>
                <w:szCs w:val="16"/>
                <w:color w:val="auto"/>
              </w:rPr>
              <w:t>Pension and other postretirement plans:</w:t>
            </w: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40" w:type="dxa"/>
            <w:vAlign w:val="bottom"/>
          </w:tcPr>
          <w:p>
            <w:pPr>
              <w:ind w:left="180"/>
              <w:spacing w:after="0"/>
              <w:rPr>
                <w:sz w:val="20"/>
                <w:szCs w:val="20"/>
                <w:color w:val="auto"/>
              </w:rPr>
            </w:pPr>
            <w:r>
              <w:rPr>
                <w:rFonts w:ascii="Arial" w:cs="Arial" w:eastAsia="Arial" w:hAnsi="Arial"/>
                <w:sz w:val="16"/>
                <w:szCs w:val="16"/>
                <w:color w:val="auto"/>
              </w:rPr>
              <w:t>Amortization of net prior service (credit) cost included in net income</w:t>
            </w:r>
          </w:p>
        </w:tc>
        <w:tc>
          <w:tcPr>
            <w:tcW w:w="140" w:type="dxa"/>
            <w:vAlign w:val="bottom"/>
          </w:tcPr>
          <w:p>
            <w:pPr>
              <w:spacing w:after="0"/>
              <w:rPr>
                <w:sz w:val="23"/>
                <w:szCs w:val="23"/>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(2,278)</w:t>
            </w:r>
          </w:p>
        </w:tc>
        <w:tc>
          <w:tcPr>
            <w:tcW w:w="240" w:type="dxa"/>
            <w:vAlign w:val="bottom"/>
          </w:tcPr>
          <w:p>
            <w:pPr>
              <w:spacing w:after="0"/>
              <w:rPr>
                <w:sz w:val="23"/>
                <w:szCs w:val="23"/>
                <w:color w:val="auto"/>
              </w:rPr>
            </w:pPr>
          </w:p>
        </w:tc>
        <w:tc>
          <w:tcPr>
            <w:tcW w:w="760" w:type="dxa"/>
            <w:vAlign w:val="bottom"/>
          </w:tcPr>
          <w:p>
            <w:pPr>
              <w:jc w:val="right"/>
              <w:ind w:right="42"/>
              <w:spacing w:after="0"/>
              <w:rPr>
                <w:sz w:val="20"/>
                <w:szCs w:val="20"/>
                <w:color w:val="auto"/>
              </w:rPr>
            </w:pPr>
            <w:r>
              <w:rPr>
                <w:rFonts w:ascii="Arial" w:cs="Arial" w:eastAsia="Arial" w:hAnsi="Arial"/>
                <w:sz w:val="16"/>
                <w:szCs w:val="16"/>
                <w:b w:val="1"/>
                <w:bCs w:val="1"/>
                <w:color w:val="auto"/>
              </w:rPr>
              <w:t>615</w:t>
            </w:r>
          </w:p>
        </w:tc>
        <w:tc>
          <w:tcPr>
            <w:tcW w:w="220" w:type="dxa"/>
            <w:vAlign w:val="bottom"/>
          </w:tcPr>
          <w:p>
            <w:pPr>
              <w:spacing w:after="0"/>
              <w:rPr>
                <w:sz w:val="23"/>
                <w:szCs w:val="23"/>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b w:val="1"/>
                <w:bCs w:val="1"/>
                <w:color w:val="auto"/>
              </w:rPr>
              <w:t>(1,663)</w:t>
            </w:r>
          </w:p>
        </w:tc>
        <w:tc>
          <w:tcPr>
            <w:tcW w:w="200" w:type="dxa"/>
            <w:vAlign w:val="bottom"/>
          </w:tcPr>
          <w:p>
            <w:pPr>
              <w:spacing w:after="0"/>
              <w:rPr>
                <w:sz w:val="23"/>
                <w:szCs w:val="23"/>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146</w:t>
            </w:r>
          </w:p>
        </w:tc>
        <w:tc>
          <w:tcPr>
            <w:tcW w:w="220" w:type="dxa"/>
            <w:vAlign w:val="bottom"/>
          </w:tcPr>
          <w:p>
            <w:pPr>
              <w:spacing w:after="0"/>
              <w:rPr>
                <w:sz w:val="23"/>
                <w:szCs w:val="23"/>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(40)</w:t>
            </w:r>
          </w:p>
        </w:tc>
        <w:tc>
          <w:tcPr>
            <w:tcW w:w="24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83"/>
        </w:trPr>
        <w:tc>
          <w:tcPr>
            <w:tcW w:w="5040" w:type="dxa"/>
            <w:vAlign w:val="bottom"/>
          </w:tcPr>
          <w:p>
            <w:pPr>
              <w:ind w:left="180"/>
              <w:spacing w:after="0"/>
              <w:rPr>
                <w:sz w:val="20"/>
                <w:szCs w:val="20"/>
                <w:color w:val="auto"/>
              </w:rPr>
            </w:pPr>
            <w:r>
              <w:rPr>
                <w:rFonts w:ascii="Arial" w:cs="Arial" w:eastAsia="Arial" w:hAnsi="Arial"/>
                <w:sz w:val="16"/>
                <w:szCs w:val="16"/>
                <w:color w:val="auto"/>
              </w:rPr>
              <w:t>Amortization of net actuarial gain included in net income</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(1,023)</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276</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(747)</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(4,661)</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1,257</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(3,404)</w:t>
            </w:r>
          </w:p>
        </w:tc>
        <w:tc>
          <w:tcPr>
            <w:tcW w:w="0" w:type="dxa"/>
            <w:vAlign w:val="bottom"/>
          </w:tcPr>
          <w:p>
            <w:pPr>
              <w:spacing w:after="0"/>
              <w:rPr>
                <w:sz w:val="1"/>
                <w:szCs w:val="1"/>
                <w:color w:val="auto"/>
              </w:rPr>
            </w:pPr>
          </w:p>
        </w:tc>
      </w:tr>
      <w:tr>
        <w:trPr>
          <w:trHeight w:val="264"/>
        </w:trPr>
        <w:tc>
          <w:tcPr>
            <w:tcW w:w="50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(3,301)</w:t>
            </w: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891</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(2,410)</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(4,515)</w:t>
            </w: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1,217</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(3,298)</w:t>
            </w:r>
          </w:p>
        </w:tc>
        <w:tc>
          <w:tcPr>
            <w:tcW w:w="0" w:type="dxa"/>
            <w:vAlign w:val="bottom"/>
          </w:tcPr>
          <w:p>
            <w:pPr>
              <w:spacing w:after="0"/>
              <w:rPr>
                <w:sz w:val="1"/>
                <w:szCs w:val="1"/>
                <w:color w:val="auto"/>
              </w:rPr>
            </w:pPr>
          </w:p>
        </w:tc>
      </w:tr>
      <w:tr>
        <w:trPr>
          <w:trHeight w:val="251"/>
        </w:trPr>
        <w:tc>
          <w:tcPr>
            <w:tcW w:w="5040" w:type="dxa"/>
            <w:vAlign w:val="bottom"/>
          </w:tcPr>
          <w:p>
            <w:pPr>
              <w:ind w:left="40"/>
              <w:spacing w:after="0"/>
              <w:rPr>
                <w:sz w:val="20"/>
                <w:szCs w:val="20"/>
                <w:color w:val="auto"/>
              </w:rPr>
            </w:pPr>
            <w:r>
              <w:rPr>
                <w:rFonts w:ascii="Arial" w:cs="Arial" w:eastAsia="Arial" w:hAnsi="Arial"/>
                <w:sz w:val="16"/>
                <w:szCs w:val="16"/>
                <w:color w:val="auto"/>
              </w:rPr>
              <w:t>Cash flow hedges: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5040" w:type="dxa"/>
            <w:vAlign w:val="bottom"/>
          </w:tcPr>
          <w:p>
            <w:pPr>
              <w:ind w:left="180"/>
              <w:spacing w:after="0"/>
              <w:rPr>
                <w:sz w:val="20"/>
                <w:szCs w:val="20"/>
                <w:color w:val="auto"/>
              </w:rPr>
            </w:pPr>
            <w:r>
              <w:rPr>
                <w:rFonts w:ascii="Arial" w:cs="Arial" w:eastAsia="Arial" w:hAnsi="Arial"/>
                <w:sz w:val="16"/>
                <w:szCs w:val="16"/>
                <w:color w:val="auto"/>
              </w:rPr>
              <w:t>(Loss) gain for the period</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(427)</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103</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(324)</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607</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(115)</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267"/>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(4,799)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994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(3,805)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(23,511)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1,102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(22,409)</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accumulated balances related to each component of other comprehensive income (loss)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ind w:right="163"/>
              <w:spacing w:after="0"/>
              <w:rPr>
                <w:sz w:val="20"/>
                <w:szCs w:val="20"/>
                <w:color w:val="auto"/>
              </w:rPr>
            </w:pPr>
            <w:r>
              <w:rPr>
                <w:rFonts w:ascii="Arial" w:cs="Arial" w:eastAsia="Arial" w:hAnsi="Arial"/>
                <w:sz w:val="14"/>
                <w:szCs w:val="14"/>
                <w:b w:val="1"/>
                <w:bCs w:val="1"/>
                <w:color w:val="auto"/>
              </w:rPr>
              <w:t>Cumulative</w:t>
            </w:r>
          </w:p>
        </w:tc>
        <w:tc>
          <w:tcPr>
            <w:tcW w:w="260" w:type="dxa"/>
            <w:vAlign w:val="bottom"/>
          </w:tcPr>
          <w:p>
            <w:pPr>
              <w:spacing w:after="0"/>
              <w:rPr>
                <w:sz w:val="14"/>
                <w:szCs w:val="14"/>
                <w:color w:val="auto"/>
              </w:rPr>
            </w:pPr>
          </w:p>
        </w:tc>
        <w:tc>
          <w:tcPr>
            <w:tcW w:w="1440" w:type="dxa"/>
            <w:vAlign w:val="bottom"/>
          </w:tcPr>
          <w:p>
            <w:pPr>
              <w:jc w:val="center"/>
              <w:ind w:right="143"/>
              <w:spacing w:after="0"/>
              <w:rPr>
                <w:sz w:val="20"/>
                <w:szCs w:val="20"/>
                <w:color w:val="auto"/>
              </w:rPr>
            </w:pPr>
            <w:r>
              <w:rPr>
                <w:rFonts w:ascii="Arial" w:cs="Arial" w:eastAsia="Arial" w:hAnsi="Arial"/>
                <w:sz w:val="14"/>
                <w:szCs w:val="14"/>
                <w:b w:val="1"/>
                <w:bCs w:val="1"/>
                <w:color w:val="auto"/>
              </w:rPr>
              <w:t>Unrealized Gain</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2"/>
        </w:trPr>
        <w:tc>
          <w:tcPr>
            <w:tcW w:w="5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ind w:right="163"/>
              <w:spacing w:after="0"/>
              <w:rPr>
                <w:sz w:val="20"/>
                <w:szCs w:val="20"/>
                <w:color w:val="auto"/>
              </w:rPr>
            </w:pPr>
            <w:r>
              <w:rPr>
                <w:rFonts w:ascii="Arial" w:cs="Arial" w:eastAsia="Arial" w:hAnsi="Arial"/>
                <w:sz w:val="14"/>
                <w:szCs w:val="14"/>
                <w:b w:val="1"/>
                <w:bCs w:val="1"/>
                <w:color w:val="auto"/>
              </w:rPr>
              <w:t>Foreign</w:t>
            </w:r>
          </w:p>
        </w:tc>
        <w:tc>
          <w:tcPr>
            <w:tcW w:w="260" w:type="dxa"/>
            <w:vAlign w:val="bottom"/>
          </w:tcPr>
          <w:p>
            <w:pPr>
              <w:spacing w:after="0"/>
              <w:rPr>
                <w:sz w:val="14"/>
                <w:szCs w:val="14"/>
                <w:color w:val="auto"/>
              </w:rPr>
            </w:pPr>
          </w:p>
        </w:tc>
        <w:tc>
          <w:tcPr>
            <w:tcW w:w="1440" w:type="dxa"/>
            <w:vAlign w:val="bottom"/>
          </w:tcPr>
          <w:p>
            <w:pPr>
              <w:jc w:val="center"/>
              <w:ind w:right="143"/>
              <w:spacing w:after="0"/>
              <w:rPr>
                <w:sz w:val="20"/>
                <w:szCs w:val="20"/>
                <w:color w:val="auto"/>
              </w:rPr>
            </w:pPr>
            <w:r>
              <w:rPr>
                <w:rFonts w:ascii="Arial" w:cs="Arial" w:eastAsia="Arial" w:hAnsi="Arial"/>
                <w:sz w:val="14"/>
                <w:szCs w:val="14"/>
                <w:b w:val="1"/>
                <w:bCs w:val="1"/>
                <w:color w:val="auto"/>
              </w:rPr>
              <w:t>on Pensions</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center"/>
              <w:ind w:right="103"/>
              <w:spacing w:after="0"/>
              <w:rPr>
                <w:sz w:val="20"/>
                <w:szCs w:val="20"/>
                <w:color w:val="auto"/>
              </w:rPr>
            </w:pPr>
            <w:r>
              <w:rPr>
                <w:rFonts w:ascii="Arial" w:cs="Arial" w:eastAsia="Arial" w:hAnsi="Arial"/>
                <w:sz w:val="14"/>
                <w:szCs w:val="14"/>
                <w:b w:val="1"/>
                <w:bCs w:val="1"/>
                <w:color w:val="auto"/>
              </w:rPr>
              <w:t>Accumulated</w:t>
            </w:r>
          </w:p>
        </w:tc>
      </w:tr>
      <w:tr>
        <w:trPr>
          <w:trHeight w:val="162"/>
        </w:trPr>
        <w:tc>
          <w:tcPr>
            <w:tcW w:w="5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ind w:right="163"/>
              <w:spacing w:after="0"/>
              <w:rPr>
                <w:sz w:val="20"/>
                <w:szCs w:val="20"/>
                <w:color w:val="auto"/>
              </w:rPr>
            </w:pPr>
            <w:r>
              <w:rPr>
                <w:rFonts w:ascii="Arial" w:cs="Arial" w:eastAsia="Arial" w:hAnsi="Arial"/>
                <w:sz w:val="14"/>
                <w:szCs w:val="14"/>
                <w:b w:val="1"/>
                <w:bCs w:val="1"/>
                <w:color w:val="auto"/>
              </w:rPr>
              <w:t>Currency</w:t>
            </w:r>
          </w:p>
        </w:tc>
        <w:tc>
          <w:tcPr>
            <w:tcW w:w="260" w:type="dxa"/>
            <w:vAlign w:val="bottom"/>
          </w:tcPr>
          <w:p>
            <w:pPr>
              <w:spacing w:after="0"/>
              <w:rPr>
                <w:sz w:val="14"/>
                <w:szCs w:val="14"/>
                <w:color w:val="auto"/>
              </w:rPr>
            </w:pPr>
          </w:p>
        </w:tc>
        <w:tc>
          <w:tcPr>
            <w:tcW w:w="1440" w:type="dxa"/>
            <w:vAlign w:val="bottom"/>
          </w:tcPr>
          <w:p>
            <w:pPr>
              <w:jc w:val="center"/>
              <w:ind w:right="163"/>
              <w:spacing w:after="0"/>
              <w:rPr>
                <w:sz w:val="20"/>
                <w:szCs w:val="20"/>
                <w:color w:val="auto"/>
              </w:rPr>
            </w:pPr>
            <w:r>
              <w:rPr>
                <w:rFonts w:ascii="Arial" w:cs="Arial" w:eastAsia="Arial" w:hAnsi="Arial"/>
                <w:sz w:val="14"/>
                <w:szCs w:val="14"/>
                <w:b w:val="1"/>
                <w:bCs w:val="1"/>
                <w:color w:val="auto"/>
              </w:rPr>
              <w:t>and Other</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center"/>
              <w:ind w:right="103"/>
              <w:spacing w:after="0"/>
              <w:rPr>
                <w:sz w:val="20"/>
                <w:szCs w:val="20"/>
                <w:color w:val="auto"/>
              </w:rPr>
            </w:pPr>
            <w:r>
              <w:rPr>
                <w:rFonts w:ascii="Arial" w:cs="Arial" w:eastAsia="Arial" w:hAnsi="Arial"/>
                <w:sz w:val="14"/>
                <w:szCs w:val="14"/>
                <w:b w:val="1"/>
                <w:bCs w:val="1"/>
                <w:color w:val="auto"/>
              </w:rPr>
              <w:t>Other</w:t>
            </w:r>
          </w:p>
        </w:tc>
      </w:tr>
      <w:tr>
        <w:trPr>
          <w:trHeight w:val="162"/>
        </w:trPr>
        <w:tc>
          <w:tcPr>
            <w:tcW w:w="5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ind w:right="163"/>
              <w:spacing w:after="0"/>
              <w:rPr>
                <w:sz w:val="20"/>
                <w:szCs w:val="20"/>
                <w:color w:val="auto"/>
              </w:rPr>
            </w:pPr>
            <w:r>
              <w:rPr>
                <w:rFonts w:ascii="Arial" w:cs="Arial" w:eastAsia="Arial" w:hAnsi="Arial"/>
                <w:sz w:val="14"/>
                <w:szCs w:val="14"/>
                <w:b w:val="1"/>
                <w:bCs w:val="1"/>
                <w:color w:val="auto"/>
              </w:rPr>
              <w:t>Translation</w:t>
            </w:r>
          </w:p>
        </w:tc>
        <w:tc>
          <w:tcPr>
            <w:tcW w:w="260" w:type="dxa"/>
            <w:vAlign w:val="bottom"/>
          </w:tcPr>
          <w:p>
            <w:pPr>
              <w:spacing w:after="0"/>
              <w:rPr>
                <w:sz w:val="14"/>
                <w:szCs w:val="14"/>
                <w:color w:val="auto"/>
              </w:rPr>
            </w:pPr>
          </w:p>
        </w:tc>
        <w:tc>
          <w:tcPr>
            <w:tcW w:w="1440" w:type="dxa"/>
            <w:vAlign w:val="bottom"/>
          </w:tcPr>
          <w:p>
            <w:pPr>
              <w:jc w:val="center"/>
              <w:ind w:right="143"/>
              <w:spacing w:after="0"/>
              <w:rPr>
                <w:sz w:val="20"/>
                <w:szCs w:val="20"/>
                <w:color w:val="auto"/>
              </w:rPr>
            </w:pPr>
            <w:r>
              <w:rPr>
                <w:rFonts w:ascii="Arial" w:cs="Arial" w:eastAsia="Arial" w:hAnsi="Arial"/>
                <w:sz w:val="14"/>
                <w:szCs w:val="14"/>
                <w:b w:val="1"/>
                <w:bCs w:val="1"/>
                <w:color w:val="auto"/>
              </w:rPr>
              <w:t>Postretirement</w:t>
            </w:r>
          </w:p>
        </w:tc>
        <w:tc>
          <w:tcPr>
            <w:tcW w:w="200" w:type="dxa"/>
            <w:vAlign w:val="bottom"/>
          </w:tcPr>
          <w:p>
            <w:pPr>
              <w:spacing w:after="0"/>
              <w:rPr>
                <w:sz w:val="14"/>
                <w:szCs w:val="14"/>
                <w:color w:val="auto"/>
              </w:rPr>
            </w:pPr>
          </w:p>
        </w:tc>
        <w:tc>
          <w:tcPr>
            <w:tcW w:w="940" w:type="dxa"/>
            <w:vAlign w:val="bottom"/>
          </w:tcPr>
          <w:p>
            <w:pPr>
              <w:jc w:val="right"/>
              <w:ind w:right="122"/>
              <w:spacing w:after="0"/>
              <w:rPr>
                <w:sz w:val="20"/>
                <w:szCs w:val="20"/>
                <w:color w:val="auto"/>
              </w:rPr>
            </w:pPr>
            <w:r>
              <w:rPr>
                <w:rFonts w:ascii="Arial" w:cs="Arial" w:eastAsia="Arial" w:hAnsi="Arial"/>
                <w:sz w:val="14"/>
                <w:szCs w:val="14"/>
                <w:b w:val="1"/>
                <w:bCs w:val="1"/>
                <w:color w:val="auto"/>
              </w:rPr>
              <w:t>Cash Flow</w:t>
            </w:r>
          </w:p>
        </w:tc>
        <w:tc>
          <w:tcPr>
            <w:tcW w:w="260" w:type="dxa"/>
            <w:vAlign w:val="bottom"/>
          </w:tcPr>
          <w:p>
            <w:pPr>
              <w:spacing w:after="0"/>
              <w:rPr>
                <w:sz w:val="14"/>
                <w:szCs w:val="14"/>
                <w:color w:val="auto"/>
              </w:rPr>
            </w:pPr>
          </w:p>
        </w:tc>
        <w:tc>
          <w:tcPr>
            <w:tcW w:w="1400" w:type="dxa"/>
            <w:vAlign w:val="bottom"/>
          </w:tcPr>
          <w:p>
            <w:pPr>
              <w:jc w:val="center"/>
              <w:ind w:right="123"/>
              <w:spacing w:after="0"/>
              <w:rPr>
                <w:sz w:val="20"/>
                <w:szCs w:val="20"/>
                <w:color w:val="auto"/>
              </w:rPr>
            </w:pPr>
            <w:r>
              <w:rPr>
                <w:rFonts w:ascii="Arial" w:cs="Arial" w:eastAsia="Arial" w:hAnsi="Arial"/>
                <w:sz w:val="14"/>
                <w:szCs w:val="14"/>
                <w:b w:val="1"/>
                <w:bCs w:val="1"/>
                <w:color w:val="auto"/>
              </w:rPr>
              <w:t>Comprehensive</w:t>
            </w:r>
          </w:p>
        </w:tc>
      </w:tr>
      <w:tr>
        <w:trPr>
          <w:trHeight w:val="196"/>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net of taxes)</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rPr>
              <w:t>Adjustment</w:t>
            </w: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rPr>
              <w:t>Plans</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Hedges</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rPr>
              <w:t>Income</w:t>
            </w:r>
          </w:p>
        </w:tc>
      </w:tr>
      <w:tr>
        <w:trPr>
          <w:trHeight w:val="250"/>
        </w:trPr>
        <w:tc>
          <w:tcPr>
            <w:tcW w:w="5500" w:type="dxa"/>
            <w:vAlign w:val="bottom"/>
          </w:tcPr>
          <w:p>
            <w:pPr>
              <w:ind w:left="40"/>
              <w:spacing w:after="0"/>
              <w:rPr>
                <w:sz w:val="20"/>
                <w:szCs w:val="20"/>
                <w:color w:val="auto"/>
              </w:rPr>
            </w:pPr>
            <w:r>
              <w:rPr>
                <w:rFonts w:ascii="Arial" w:cs="Arial" w:eastAsia="Arial" w:hAnsi="Arial"/>
                <w:sz w:val="16"/>
                <w:szCs w:val="16"/>
                <w:color w:val="auto"/>
              </w:rPr>
              <w:t>Balance as of December 31, 2018</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3"/>
              <w:spacing w:after="0"/>
              <w:rPr>
                <w:sz w:val="20"/>
                <w:szCs w:val="20"/>
                <w:color w:val="auto"/>
              </w:rPr>
            </w:pPr>
            <w:r>
              <w:rPr>
                <w:rFonts w:ascii="Arial" w:cs="Arial" w:eastAsia="Arial" w:hAnsi="Arial"/>
                <w:sz w:val="16"/>
                <w:szCs w:val="16"/>
                <w:color w:val="auto"/>
              </w:rPr>
              <w:t>(29,270)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63"/>
              <w:spacing w:after="0"/>
              <w:rPr>
                <w:sz w:val="20"/>
                <w:szCs w:val="20"/>
                <w:color w:val="auto"/>
              </w:rPr>
            </w:pPr>
            <w:r>
              <w:rPr>
                <w:rFonts w:ascii="Arial" w:cs="Arial" w:eastAsia="Arial" w:hAnsi="Arial"/>
                <w:sz w:val="16"/>
                <w:szCs w:val="16"/>
                <w:color w:val="auto"/>
              </w:rPr>
              <w:t>232,836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263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3"/>
              <w:spacing w:after="0"/>
              <w:rPr>
                <w:sz w:val="20"/>
                <w:szCs w:val="20"/>
                <w:color w:val="auto"/>
              </w:rPr>
            </w:pPr>
            <w:r>
              <w:rPr>
                <w:rFonts w:ascii="Arial" w:cs="Arial" w:eastAsia="Arial" w:hAnsi="Arial"/>
                <w:sz w:val="16"/>
                <w:szCs w:val="16"/>
                <w:color w:val="auto"/>
              </w:rPr>
              <w:t>203,829</w:t>
            </w:r>
          </w:p>
        </w:tc>
      </w:tr>
      <w:tr>
        <w:trPr>
          <w:trHeight w:val="270"/>
        </w:trPr>
        <w:tc>
          <w:tcPr>
            <w:tcW w:w="5500" w:type="dxa"/>
            <w:vAlign w:val="bottom"/>
          </w:tcPr>
          <w:p>
            <w:pPr>
              <w:ind w:left="180"/>
              <w:spacing w:after="0"/>
              <w:rPr>
                <w:sz w:val="20"/>
                <w:szCs w:val="20"/>
                <w:color w:val="auto"/>
              </w:rPr>
            </w:pPr>
            <w:r>
              <w:rPr>
                <w:rFonts w:ascii="Arial" w:cs="Arial" w:eastAsia="Arial" w:hAnsi="Arial"/>
                <w:sz w:val="16"/>
                <w:szCs w:val="16"/>
                <w:b w:val="1"/>
                <w:bCs w:val="1"/>
                <w:color w:val="auto"/>
              </w:rPr>
              <w:t>Other comprehensive loss before reclassifications</w:t>
            </w:r>
          </w:p>
        </w:tc>
        <w:tc>
          <w:tcPr>
            <w:tcW w:w="200" w:type="dxa"/>
            <w:vAlign w:val="bottom"/>
          </w:tcPr>
          <w:p>
            <w:pPr>
              <w:spacing w:after="0"/>
              <w:rPr>
                <w:sz w:val="23"/>
                <w:szCs w:val="23"/>
                <w:color w:val="auto"/>
              </w:rPr>
            </w:pPr>
          </w:p>
        </w:tc>
        <w:tc>
          <w:tcPr>
            <w:tcW w:w="1220" w:type="dxa"/>
            <w:vAlign w:val="bottom"/>
          </w:tcPr>
          <w:p>
            <w:pPr>
              <w:jc w:val="right"/>
              <w:ind w:right="23"/>
              <w:spacing w:after="0"/>
              <w:rPr>
                <w:sz w:val="20"/>
                <w:szCs w:val="20"/>
                <w:color w:val="auto"/>
              </w:rPr>
            </w:pPr>
            <w:r>
              <w:rPr>
                <w:rFonts w:ascii="Arial" w:cs="Arial" w:eastAsia="Arial" w:hAnsi="Arial"/>
                <w:sz w:val="16"/>
                <w:szCs w:val="16"/>
                <w:b w:val="1"/>
                <w:bCs w:val="1"/>
                <w:color w:val="auto"/>
              </w:rPr>
              <w:t>(1,071)</w:t>
            </w:r>
          </w:p>
        </w:tc>
        <w:tc>
          <w:tcPr>
            <w:tcW w:w="260" w:type="dxa"/>
            <w:vAlign w:val="bottom"/>
          </w:tcPr>
          <w:p>
            <w:pPr>
              <w:spacing w:after="0"/>
              <w:rPr>
                <w:sz w:val="23"/>
                <w:szCs w:val="23"/>
                <w:color w:val="auto"/>
              </w:rPr>
            </w:pPr>
          </w:p>
        </w:tc>
        <w:tc>
          <w:tcPr>
            <w:tcW w:w="1440" w:type="dxa"/>
            <w:vAlign w:val="bottom"/>
          </w:tcPr>
          <w:p>
            <w:pPr>
              <w:jc w:val="right"/>
              <w:ind w:right="63"/>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3"/>
                <w:szCs w:val="23"/>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b w:val="1"/>
                <w:bCs w:val="1"/>
                <w:color w:val="auto"/>
              </w:rPr>
              <w:t>(226)</w:t>
            </w:r>
          </w:p>
        </w:tc>
        <w:tc>
          <w:tcPr>
            <w:tcW w:w="2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(1,297)</w:t>
            </w:r>
          </w:p>
        </w:tc>
      </w:tr>
      <w:tr>
        <w:trPr>
          <w:trHeight w:val="217"/>
        </w:trPr>
        <w:tc>
          <w:tcPr>
            <w:tcW w:w="5500" w:type="dxa"/>
            <w:vAlign w:val="bottom"/>
          </w:tcPr>
          <w:p>
            <w:pPr>
              <w:ind w:left="180"/>
              <w:spacing w:after="0"/>
              <w:rPr>
                <w:sz w:val="20"/>
                <w:szCs w:val="20"/>
                <w:color w:val="auto"/>
              </w:rPr>
            </w:pPr>
            <w:r>
              <w:rPr>
                <w:rFonts w:ascii="Arial" w:cs="Arial" w:eastAsia="Arial" w:hAnsi="Arial"/>
                <w:sz w:val="16"/>
                <w:szCs w:val="16"/>
                <w:b w:val="1"/>
                <w:bCs w:val="1"/>
                <w:color w:val="auto"/>
              </w:rPr>
              <w:t>Net amount reclassified from accumulated other comprehensive</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8"/>
        </w:trPr>
        <w:tc>
          <w:tcPr>
            <w:tcW w:w="5500" w:type="dxa"/>
            <w:vAlign w:val="bottom"/>
          </w:tcPr>
          <w:p>
            <w:pPr>
              <w:ind w:left="260"/>
              <w:spacing w:after="0"/>
              <w:rPr>
                <w:sz w:val="20"/>
                <w:szCs w:val="20"/>
                <w:color w:val="auto"/>
              </w:rPr>
            </w:pPr>
            <w:r>
              <w:rPr>
                <w:rFonts w:ascii="Arial" w:cs="Arial" w:eastAsia="Arial" w:hAnsi="Arial"/>
                <w:sz w:val="16"/>
                <w:szCs w:val="16"/>
                <w:b w:val="1"/>
                <w:bCs w:val="1"/>
                <w:color w:val="auto"/>
              </w:rPr>
              <w:t>income (loss)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(2,410)</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(98)</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(2,508)</w:t>
            </w:r>
          </w:p>
        </w:tc>
      </w:tr>
      <w:tr>
        <w:trPr>
          <w:trHeight w:val="264"/>
        </w:trPr>
        <w:tc>
          <w:tcPr>
            <w:tcW w:w="5500" w:type="dxa"/>
            <w:vAlign w:val="bottom"/>
          </w:tcPr>
          <w:p>
            <w:pPr>
              <w:ind w:left="180"/>
              <w:spacing w:after="0"/>
              <w:rPr>
                <w:sz w:val="20"/>
                <w:szCs w:val="20"/>
                <w:color w:val="auto"/>
              </w:rPr>
            </w:pPr>
            <w:r>
              <w:rPr>
                <w:rFonts w:ascii="Arial" w:cs="Arial" w:eastAsia="Arial" w:hAnsi="Arial"/>
                <w:sz w:val="16"/>
                <w:szCs w:val="16"/>
                <w:b w:val="1"/>
                <w:bCs w:val="1"/>
                <w:color w:val="auto"/>
              </w:rPr>
              <w:t>Other comprehensive loss, net of tax</w:t>
            </w: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(1,071)</w:t>
            </w: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(2,410)</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(324)</w:t>
            </w:r>
          </w:p>
        </w:tc>
        <w:tc>
          <w:tcPr>
            <w:tcW w:w="2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(3,805)</w:t>
            </w:r>
          </w:p>
        </w:tc>
      </w:tr>
      <w:tr>
        <w:trPr>
          <w:trHeight w:val="267"/>
        </w:trPr>
        <w:tc>
          <w:tcPr>
            <w:tcW w:w="5500" w:type="dxa"/>
            <w:vAlign w:val="bottom"/>
          </w:tcPr>
          <w:p>
            <w:pPr>
              <w:ind w:left="40"/>
              <w:spacing w:after="0"/>
              <w:rPr>
                <w:sz w:val="20"/>
                <w:szCs w:val="20"/>
                <w:color w:val="auto"/>
              </w:rPr>
            </w:pPr>
            <w:r>
              <w:rPr>
                <w:rFonts w:ascii="Arial" w:cs="Arial" w:eastAsia="Arial" w:hAnsi="Arial"/>
                <w:sz w:val="16"/>
                <w:szCs w:val="16"/>
                <w:b w:val="1"/>
                <w:bCs w:val="1"/>
                <w:color w:val="auto"/>
              </w:rPr>
              <w:t>Balance as of June 30, 2019</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(30,341)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230,426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(61)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200,024</w:t>
            </w:r>
          </w:p>
        </w:tc>
      </w:tr>
      <w:tr>
        <w:trPr>
          <w:trHeight w:val="20"/>
        </w:trPr>
        <w:tc>
          <w:tcPr>
            <w:tcW w:w="5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amounts and line items of reclassifications out of Accumulated Other Comprehensive Income (Loss) are as follows: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204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Three Months Ended</w:t>
            </w:r>
          </w:p>
        </w:tc>
        <w:tc>
          <w:tcPr>
            <w:tcW w:w="2180" w:type="dxa"/>
            <w:vAlign w:val="bottom"/>
            <w:gridSpan w:val="2"/>
          </w:tcPr>
          <w:p>
            <w:pPr>
              <w:jc w:val="right"/>
              <w:ind w:right="388"/>
              <w:spacing w:after="0"/>
              <w:rPr>
                <w:sz w:val="20"/>
                <w:szCs w:val="20"/>
                <w:color w:val="auto"/>
              </w:rPr>
            </w:pPr>
            <w:r>
              <w:rPr>
                <w:rFonts w:ascii="Arial" w:cs="Arial" w:eastAsia="Arial" w:hAnsi="Arial"/>
                <w:sz w:val="14"/>
                <w:szCs w:val="14"/>
                <w:b w:val="1"/>
                <w:bCs w:val="1"/>
                <w:color w:val="auto"/>
              </w:rPr>
              <w:t>Six Months Ended</w:t>
            </w:r>
          </w:p>
        </w:tc>
        <w:tc>
          <w:tcPr>
            <w:tcW w:w="284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rPr>
              <w:t>Affected Line Item in the Condensed</w:t>
            </w:r>
          </w:p>
        </w:tc>
        <w:tc>
          <w:tcPr>
            <w:tcW w:w="0" w:type="dxa"/>
            <w:vAlign w:val="bottom"/>
          </w:tcPr>
          <w:p>
            <w:pPr>
              <w:spacing w:after="0"/>
              <w:rPr>
                <w:sz w:val="1"/>
                <w:szCs w:val="1"/>
                <w:color w:val="auto"/>
              </w:rPr>
            </w:pPr>
          </w:p>
        </w:tc>
      </w:tr>
      <w:tr>
        <w:trPr>
          <w:trHeight w:val="140"/>
        </w:trPr>
        <w:tc>
          <w:tcPr>
            <w:tcW w:w="4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tcPr>
          <w:p>
            <w:pPr>
              <w:jc w:val="right"/>
              <w:ind w:right="688"/>
              <w:spacing w:after="0" w:line="140" w:lineRule="exact"/>
              <w:rPr>
                <w:sz w:val="20"/>
                <w:szCs w:val="20"/>
                <w:color w:val="auto"/>
              </w:rPr>
            </w:pPr>
            <w:r>
              <w:rPr>
                <w:rFonts w:ascii="Arial" w:cs="Arial" w:eastAsia="Arial" w:hAnsi="Arial"/>
                <w:sz w:val="14"/>
                <w:szCs w:val="14"/>
                <w:b w:val="1"/>
                <w:bCs w:val="1"/>
                <w:color w:val="auto"/>
              </w:rPr>
              <w:t>June 30</w:t>
            </w:r>
          </w:p>
        </w:tc>
        <w:tc>
          <w:tcPr>
            <w:tcW w:w="780" w:type="dxa"/>
            <w:vAlign w:val="bottom"/>
          </w:tcPr>
          <w:p>
            <w:pPr>
              <w:spacing w:after="0"/>
              <w:rPr>
                <w:sz w:val="12"/>
                <w:szCs w:val="12"/>
                <w:color w:val="auto"/>
              </w:rPr>
            </w:pPr>
          </w:p>
        </w:tc>
        <w:tc>
          <w:tcPr>
            <w:tcW w:w="1400" w:type="dxa"/>
            <w:vAlign w:val="bottom"/>
          </w:tcPr>
          <w:p>
            <w:pPr>
              <w:jc w:val="right"/>
              <w:ind w:right="708"/>
              <w:spacing w:after="0" w:line="140" w:lineRule="exact"/>
              <w:rPr>
                <w:sz w:val="20"/>
                <w:szCs w:val="20"/>
                <w:color w:val="auto"/>
              </w:rPr>
            </w:pPr>
            <w:r>
              <w:rPr>
                <w:rFonts w:ascii="Arial" w:cs="Arial" w:eastAsia="Arial" w:hAnsi="Arial"/>
                <w:sz w:val="14"/>
                <w:szCs w:val="14"/>
                <w:b w:val="1"/>
                <w:bCs w:val="1"/>
                <w:color w:val="auto"/>
              </w:rPr>
              <w:t>June 30</w:t>
            </w:r>
          </w:p>
        </w:tc>
        <w:tc>
          <w:tcPr>
            <w:tcW w:w="2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436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2840" w:type="dxa"/>
            <w:vAlign w:val="bottom"/>
            <w:vMerge w:val="restart"/>
          </w:tcPr>
          <w:p>
            <w:pPr>
              <w:jc w:val="center"/>
              <w:ind w:left="28"/>
              <w:spacing w:after="0" w:line="144" w:lineRule="exact"/>
              <w:rPr>
                <w:sz w:val="20"/>
                <w:szCs w:val="20"/>
                <w:color w:val="auto"/>
              </w:rPr>
            </w:pPr>
            <w:r>
              <w:rPr>
                <w:rFonts w:ascii="Arial" w:cs="Arial" w:eastAsia="Arial" w:hAnsi="Arial"/>
                <w:sz w:val="14"/>
                <w:szCs w:val="14"/>
                <w:b w:val="1"/>
                <w:bCs w:val="1"/>
                <w:color w:val="auto"/>
              </w:rPr>
              <w:t>Consolidated Statements of</w:t>
            </w:r>
          </w:p>
        </w:tc>
        <w:tc>
          <w:tcPr>
            <w:tcW w:w="0" w:type="dxa"/>
            <w:vAlign w:val="bottom"/>
          </w:tcPr>
          <w:p>
            <w:pPr>
              <w:spacing w:after="0"/>
              <w:rPr>
                <w:sz w:val="1"/>
                <w:szCs w:val="1"/>
                <w:color w:val="auto"/>
              </w:rPr>
            </w:pPr>
          </w:p>
        </w:tc>
      </w:tr>
      <w:tr>
        <w:trPr>
          <w:trHeight w:val="61"/>
        </w:trPr>
        <w:tc>
          <w:tcPr>
            <w:tcW w:w="4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13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2018</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14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2018</w:t>
            </w:r>
          </w:p>
        </w:tc>
        <w:tc>
          <w:tcPr>
            <w:tcW w:w="284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bl>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60" w:type="dxa"/>
            <w:vAlign w:val="bottom"/>
          </w:tcPr>
          <w:p>
            <w:pPr>
              <w:ind w:left="40"/>
              <w:spacing w:after="0"/>
              <w:rPr>
                <w:sz w:val="20"/>
                <w:szCs w:val="20"/>
                <w:color w:val="auto"/>
              </w:rPr>
            </w:pPr>
            <w:r>
              <w:rPr>
                <w:rFonts w:ascii="Arial" w:cs="Arial" w:eastAsia="Arial" w:hAnsi="Arial"/>
                <w:sz w:val="16"/>
                <w:szCs w:val="16"/>
                <w:b w:val="1"/>
                <w:bCs w:val="1"/>
                <w:color w:val="auto"/>
              </w:rPr>
              <w:t>Pension and Other Postretirement Plans:</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60" w:type="dxa"/>
            <w:vAlign w:val="bottom"/>
          </w:tcPr>
          <w:p>
            <w:pPr>
              <w:ind w:left="180"/>
              <w:spacing w:after="0"/>
              <w:rPr>
                <w:sz w:val="20"/>
                <w:szCs w:val="20"/>
                <w:color w:val="auto"/>
              </w:rPr>
            </w:pPr>
            <w:r>
              <w:rPr>
                <w:rFonts w:ascii="Arial" w:cs="Arial" w:eastAsia="Arial" w:hAnsi="Arial"/>
                <w:sz w:val="16"/>
                <w:szCs w:val="16"/>
                <w:color w:val="auto"/>
              </w:rPr>
              <w:t>Amortization of net prior service (credit) cost</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b w:val="1"/>
                <w:bCs w:val="1"/>
                <w:color w:val="auto"/>
              </w:rPr>
              <w:t>(931)</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70</w:t>
            </w:r>
          </w:p>
        </w:tc>
        <w:tc>
          <w:tcPr>
            <w:tcW w:w="36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(2,278)</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146</w:t>
            </w:r>
          </w:p>
        </w:tc>
        <w:tc>
          <w:tcPr>
            <w:tcW w:w="1860" w:type="dxa"/>
            <w:vAlign w:val="bottom"/>
          </w:tcPr>
          <w:p>
            <w:pPr>
              <w:ind w:left="14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83"/>
        </w:trPr>
        <w:tc>
          <w:tcPr>
            <w:tcW w:w="4360" w:type="dxa"/>
            <w:vAlign w:val="bottom"/>
          </w:tcPr>
          <w:p>
            <w:pPr>
              <w:ind w:left="180"/>
              <w:spacing w:after="0"/>
              <w:rPr>
                <w:sz w:val="20"/>
                <w:szCs w:val="20"/>
                <w:color w:val="auto"/>
              </w:rPr>
            </w:pPr>
            <w:r>
              <w:rPr>
                <w:rFonts w:ascii="Arial" w:cs="Arial" w:eastAsia="Arial" w:hAnsi="Arial"/>
                <w:sz w:val="16"/>
                <w:szCs w:val="16"/>
                <w:color w:val="auto"/>
              </w:rPr>
              <w:t>Amortization of net actuarial gain</w:t>
            </w: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(475)</w:t>
            </w: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(3,294)</w:t>
            </w: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(1,023)</w:t>
            </w: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(4,661)</w:t>
            </w:r>
          </w:p>
        </w:tc>
        <w:tc>
          <w:tcPr>
            <w:tcW w:w="1860" w:type="dxa"/>
            <w:vAlign w:val="bottom"/>
          </w:tcPr>
          <w:p>
            <w:pPr>
              <w:ind w:left="14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8"/>
        </w:trPr>
        <w:tc>
          <w:tcPr>
            <w:tcW w:w="4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b w:val="1"/>
                <w:bCs w:val="1"/>
                <w:color w:val="auto"/>
              </w:rPr>
              <w:t>(1,406)</w:t>
            </w:r>
          </w:p>
        </w:tc>
        <w:tc>
          <w:tcPr>
            <w:tcW w:w="300" w:type="dxa"/>
            <w:vAlign w:val="bottom"/>
          </w:tcPr>
          <w:p>
            <w:pPr>
              <w:spacing w:after="0"/>
              <w:rPr>
                <w:sz w:val="22"/>
                <w:szCs w:val="22"/>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(3,224)</w:t>
            </w:r>
          </w:p>
        </w:tc>
        <w:tc>
          <w:tcPr>
            <w:tcW w:w="3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(3,301)</w:t>
            </w:r>
          </w:p>
        </w:tc>
        <w:tc>
          <w:tcPr>
            <w:tcW w:w="3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(4,515)</w:t>
            </w:r>
          </w:p>
        </w:tc>
        <w:tc>
          <w:tcPr>
            <w:tcW w:w="1860" w:type="dxa"/>
            <w:vAlign w:val="bottom"/>
          </w:tcPr>
          <w:p>
            <w:pPr>
              <w:ind w:left="140"/>
              <w:spacing w:after="0"/>
              <w:rPr>
                <w:sz w:val="20"/>
                <w:szCs w:val="20"/>
                <w:color w:val="auto"/>
              </w:rPr>
            </w:pPr>
            <w:r>
              <w:rPr>
                <w:rFonts w:ascii="Arial" w:cs="Arial" w:eastAsia="Arial" w:hAnsi="Arial"/>
                <w:sz w:val="14"/>
                <w:szCs w:val="14"/>
                <w:color w:val="auto"/>
              </w:rPr>
              <w:t>Before tax</w:t>
            </w:r>
          </w:p>
        </w:tc>
        <w:tc>
          <w:tcPr>
            <w:tcW w:w="0" w:type="dxa"/>
            <w:vAlign w:val="bottom"/>
          </w:tcPr>
          <w:p>
            <w:pPr>
              <w:spacing w:after="0"/>
              <w:rPr>
                <w:sz w:val="1"/>
                <w:szCs w:val="1"/>
                <w:color w:val="auto"/>
              </w:rPr>
            </w:pPr>
          </w:p>
        </w:tc>
      </w:tr>
      <w:tr>
        <w:trPr>
          <w:trHeight w:val="276"/>
        </w:trPr>
        <w:tc>
          <w:tcPr>
            <w:tcW w:w="4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380</w:t>
            </w: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869</w:t>
            </w: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891</w:t>
            </w: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1,217</w:t>
            </w:r>
          </w:p>
        </w:tc>
        <w:tc>
          <w:tcPr>
            <w:tcW w:w="1860" w:type="dxa"/>
            <w:vAlign w:val="bottom"/>
          </w:tcPr>
          <w:p>
            <w:pPr>
              <w:ind w:left="140"/>
              <w:spacing w:after="0"/>
              <w:rPr>
                <w:sz w:val="20"/>
                <w:szCs w:val="20"/>
                <w:color w:val="auto"/>
              </w:rPr>
            </w:pPr>
            <w:r>
              <w:rPr>
                <w:rFonts w:ascii="Arial" w:cs="Arial" w:eastAsia="Arial" w:hAnsi="Arial"/>
                <w:sz w:val="14"/>
                <w:szCs w:val="14"/>
                <w:color w:val="auto"/>
              </w:rPr>
              <w:t>Provision for Income Taxes</w:t>
            </w:r>
          </w:p>
        </w:tc>
        <w:tc>
          <w:tcPr>
            <w:tcW w:w="0" w:type="dxa"/>
            <w:vAlign w:val="bottom"/>
          </w:tcPr>
          <w:p>
            <w:pPr>
              <w:spacing w:after="0"/>
              <w:rPr>
                <w:sz w:val="1"/>
                <w:szCs w:val="1"/>
                <w:color w:val="auto"/>
              </w:rPr>
            </w:pPr>
          </w:p>
        </w:tc>
      </w:tr>
      <w:tr>
        <w:trPr>
          <w:trHeight w:val="263"/>
        </w:trPr>
        <w:tc>
          <w:tcPr>
            <w:tcW w:w="43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(1,026)</w:t>
            </w: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(2,355)</w:t>
            </w: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(2,410)</w:t>
            </w: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(3,298)</w:t>
            </w:r>
          </w:p>
        </w:tc>
        <w:tc>
          <w:tcPr>
            <w:tcW w:w="1860" w:type="dxa"/>
            <w:vAlign w:val="bottom"/>
          </w:tcPr>
          <w:p>
            <w:pPr>
              <w:ind w:left="14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51"/>
        </w:trPr>
        <w:tc>
          <w:tcPr>
            <w:tcW w:w="4360" w:type="dxa"/>
            <w:vAlign w:val="bottom"/>
          </w:tcPr>
          <w:p>
            <w:pPr>
              <w:ind w:left="40"/>
              <w:spacing w:after="0"/>
              <w:rPr>
                <w:sz w:val="20"/>
                <w:szCs w:val="20"/>
                <w:color w:val="auto"/>
              </w:rPr>
            </w:pPr>
            <w:r>
              <w:rPr>
                <w:rFonts w:ascii="Arial" w:cs="Arial" w:eastAsia="Arial" w:hAnsi="Arial"/>
                <w:sz w:val="16"/>
                <w:szCs w:val="16"/>
                <w:b w:val="1"/>
                <w:bCs w:val="1"/>
                <w:color w:val="auto"/>
              </w:rPr>
              <w:t>Cash Flow Hedges</w:t>
            </w: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4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b w:val="1"/>
                <w:bCs w:val="1"/>
                <w:color w:val="auto"/>
              </w:rPr>
              <w:t>(58)</w:t>
            </w:r>
          </w:p>
        </w:tc>
        <w:tc>
          <w:tcPr>
            <w:tcW w:w="300" w:type="dxa"/>
            <w:vAlign w:val="bottom"/>
          </w:tcPr>
          <w:p>
            <w:pPr>
              <w:spacing w:after="0"/>
              <w:rPr>
                <w:sz w:val="24"/>
                <w:szCs w:val="24"/>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(127)</w:t>
            </w: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w:t>
            </w:r>
          </w:p>
        </w:tc>
        <w:tc>
          <w:tcPr>
            <w:tcW w:w="1860" w:type="dxa"/>
            <w:vAlign w:val="bottom"/>
          </w:tcPr>
          <w:p>
            <w:pPr>
              <w:ind w:left="140"/>
              <w:spacing w:after="0"/>
              <w:rPr>
                <w:sz w:val="20"/>
                <w:szCs w:val="20"/>
                <w:color w:val="auto"/>
              </w:rPr>
            </w:pPr>
            <w:r>
              <w:rPr>
                <w:rFonts w:ascii="Arial" w:cs="Arial" w:eastAsia="Arial" w:hAnsi="Arial"/>
                <w:sz w:val="14"/>
                <w:szCs w:val="14"/>
                <w:color w:val="auto"/>
              </w:rPr>
              <w:t>Interest expense</w:t>
            </w:r>
          </w:p>
        </w:tc>
        <w:tc>
          <w:tcPr>
            <w:tcW w:w="0" w:type="dxa"/>
            <w:vAlign w:val="bottom"/>
          </w:tcPr>
          <w:p>
            <w:pPr>
              <w:spacing w:after="0"/>
              <w:rPr>
                <w:sz w:val="1"/>
                <w:szCs w:val="1"/>
                <w:color w:val="auto"/>
              </w:rPr>
            </w:pPr>
          </w:p>
        </w:tc>
      </w:tr>
      <w:tr>
        <w:trPr>
          <w:trHeight w:val="276"/>
        </w:trPr>
        <w:tc>
          <w:tcPr>
            <w:tcW w:w="4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14</w:t>
            </w: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w:t>
            </w: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29</w:t>
            </w: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w:t>
            </w:r>
          </w:p>
        </w:tc>
        <w:tc>
          <w:tcPr>
            <w:tcW w:w="1860" w:type="dxa"/>
            <w:vAlign w:val="bottom"/>
          </w:tcPr>
          <w:p>
            <w:pPr>
              <w:ind w:left="140"/>
              <w:spacing w:after="0"/>
              <w:rPr>
                <w:sz w:val="20"/>
                <w:szCs w:val="20"/>
                <w:color w:val="auto"/>
              </w:rPr>
            </w:pPr>
            <w:r>
              <w:rPr>
                <w:rFonts w:ascii="Arial" w:cs="Arial" w:eastAsia="Arial" w:hAnsi="Arial"/>
                <w:sz w:val="14"/>
                <w:szCs w:val="14"/>
                <w:color w:val="auto"/>
              </w:rPr>
              <w:t>Provision for Income Taxes</w:t>
            </w:r>
          </w:p>
        </w:tc>
        <w:tc>
          <w:tcPr>
            <w:tcW w:w="0" w:type="dxa"/>
            <w:vAlign w:val="bottom"/>
          </w:tcPr>
          <w:p>
            <w:pPr>
              <w:spacing w:after="0"/>
              <w:rPr>
                <w:sz w:val="1"/>
                <w:szCs w:val="1"/>
                <w:color w:val="auto"/>
              </w:rPr>
            </w:pPr>
          </w:p>
        </w:tc>
      </w:tr>
      <w:tr>
        <w:trPr>
          <w:trHeight w:val="264"/>
        </w:trPr>
        <w:tc>
          <w:tcPr>
            <w:tcW w:w="43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(44)</w:t>
            </w: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w:t>
            </w: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w:t>
            </w: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860" w:type="dxa"/>
            <w:vAlign w:val="bottom"/>
          </w:tcPr>
          <w:p>
            <w:pPr>
              <w:ind w:left="14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70"/>
        </w:trPr>
        <w:tc>
          <w:tcPr>
            <w:tcW w:w="4360" w:type="dxa"/>
            <w:vAlign w:val="bottom"/>
          </w:tcPr>
          <w:p>
            <w:pPr>
              <w:ind w:left="40"/>
              <w:spacing w:after="0"/>
              <w:rPr>
                <w:sz w:val="20"/>
                <w:szCs w:val="20"/>
                <w:color w:val="auto"/>
              </w:rPr>
            </w:pPr>
            <w:r>
              <w:rPr>
                <w:rFonts w:ascii="Arial" w:cs="Arial" w:eastAsia="Arial" w:hAnsi="Arial"/>
                <w:sz w:val="16"/>
                <w:szCs w:val="16"/>
                <w:b w:val="1"/>
                <w:bCs w:val="1"/>
                <w:color w:val="auto"/>
              </w:rPr>
              <w:t>Total reclassification for the period</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(1,070)</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(2,391)</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(2,508)</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(3,332)</w:t>
            </w:r>
          </w:p>
        </w:tc>
        <w:tc>
          <w:tcPr>
            <w:tcW w:w="1860" w:type="dxa"/>
            <w:vAlign w:val="bottom"/>
          </w:tcPr>
          <w:p>
            <w:pPr>
              <w:ind w:left="14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4"/>
                <w:szCs w:val="14"/>
                <w:color w:val="auto"/>
              </w:rPr>
              <w:t>____________</w:t>
            </w: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3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420" w:right="120" w:hanging="412"/>
        <w:spacing w:after="0" w:line="239" w:lineRule="auto"/>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These accumulated other comprehensive income components are components of net periodic pension and postretirement plan cost (see Note 12) and are included in non-operating pension and postretirement benefit income in the Company’s Condensed Consolidated Statements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CONTINGENCIES AND REGULATORY MATTERS</w:t>
      </w:r>
    </w:p>
    <w:p>
      <w:pPr>
        <w:spacing w:after="0" w:line="144" w:lineRule="exact"/>
        <w:rPr>
          <w:sz w:val="20"/>
          <w:szCs w:val="20"/>
          <w:color w:val="auto"/>
        </w:rPr>
      </w:pPr>
    </w:p>
    <w:p>
      <w:pPr>
        <w:spacing w:after="0" w:line="226" w:lineRule="auto"/>
        <w:rPr>
          <w:sz w:val="20"/>
          <w:szCs w:val="20"/>
          <w:color w:val="auto"/>
        </w:rPr>
      </w:pPr>
      <w:r>
        <w:rPr>
          <w:rFonts w:ascii="Arial" w:cs="Arial" w:eastAsia="Arial" w:hAnsi="Arial"/>
          <w:sz w:val="18"/>
          <w:szCs w:val="18"/>
          <w:b w:val="1"/>
          <w:bCs w:val="1"/>
          <w:color w:val="auto"/>
        </w:rPr>
        <w:t>Litigation, Legal and Other Matters</w:t>
      </w:r>
      <w:r>
        <w:rPr>
          <w:rFonts w:ascii="Arial" w:cs="Arial" w:eastAsia="Arial" w:hAnsi="Arial"/>
          <w:sz w:val="18"/>
          <w:szCs w:val="18"/>
          <w:color w:val="auto"/>
        </w:rPr>
        <w:t>. The Company and its subsidiaries are subject to complaints and administrative proceedings and are</w:t>
      </w:r>
      <w:r>
        <w:rPr>
          <w:rFonts w:ascii="Arial" w:cs="Arial" w:eastAsia="Arial" w:hAnsi="Arial"/>
          <w:sz w:val="18"/>
          <w:szCs w:val="18"/>
          <w:b w:val="1"/>
          <w:bCs w:val="1"/>
          <w:color w:val="auto"/>
        </w:rPr>
        <w:t xml:space="preserve"> </w:t>
      </w:r>
      <w:r>
        <w:rPr>
          <w:rFonts w:ascii="Arial" w:cs="Arial" w:eastAsia="Arial" w:hAnsi="Arial"/>
          <w:sz w:val="18"/>
          <w:szCs w:val="18"/>
          <w:color w:val="auto"/>
        </w:rPr>
        <w:t>defendants in various civil lawsuits that have arisen in the ordinary course of their businesses, including contract disputes; actions alleging negligence, libel, defamation, invasion of privacy; trademark, copyright and patent infringement; violations of applicable wage and hour laws; and statutory or common law claims involving current and former students and employees. Although the outcomes of the legal claims and proceedings against the Company cannot be predicted with certainty, based on currently available information, management believes that there are no existing claims or proceedings that are likely to have a material effect on the Company’s business, financial condition, results of operations or cash flows. However, based on currently available information, management believes it is reasonably possible that future losses from existing and threatened legal, regulatory and other proceedings in excess of the amounts recorded could reach approximately $45 million.</w:t>
      </w:r>
    </w:p>
    <w:p>
      <w:pPr>
        <w:sectPr>
          <w:pgSz w:w="11900" w:h="16838" w:orient="portrait"/>
          <w:cols w:equalWidth="0" w:num="1">
            <w:col w:w="11420"/>
          </w:cols>
          <w:pgMar w:left="240" w:top="883" w:right="239" w:bottom="8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883" w:right="239" w:bottom="840" w:gutter="0" w:footer="0" w:header="0"/>
          <w:type w:val="continuous"/>
        </w:sectPr>
      </w:pPr>
    </w:p>
    <w:bookmarkStart w:id="23" w:name="page24"/>
    <w:bookmarkEnd w:id="23"/>
    <w:p>
      <w:pPr>
        <w:ind w:right="60"/>
        <w:spacing w:after="0" w:line="235" w:lineRule="auto"/>
        <w:rPr>
          <w:sz w:val="20"/>
          <w:szCs w:val="20"/>
          <w:color w:val="auto"/>
        </w:rPr>
      </w:pPr>
      <w:r>
        <w:rPr>
          <w:rFonts w:ascii="Arial" w:cs="Arial" w:eastAsia="Arial" w:hAnsi="Arial"/>
          <w:sz w:val="17"/>
          <w:szCs w:val="17"/>
          <w:color w:val="222222"/>
        </w:rPr>
        <w:t xml:space="preserve">On September 3, 2015, Kaplan sold to ECA substantially all of the assets of KHE nationally accredited on-ground Title IV eligible schools (KHE Campuses). The transaction included the transfer of certain real estate leases that were guaranteed by Kaplan. As part of the transaction, Kaplan retained liability for, among other things, obligations arising under certain lease guarantees. </w:t>
      </w:r>
      <w:r>
        <w:rPr>
          <w:rFonts w:ascii="Arial" w:cs="Arial" w:eastAsia="Arial" w:hAnsi="Arial"/>
          <w:sz w:val="17"/>
          <w:szCs w:val="17"/>
          <w:color w:val="000000"/>
        </w:rPr>
        <w:t>ECA is currently in receivership and has</w:t>
      </w:r>
      <w:r>
        <w:rPr>
          <w:rFonts w:ascii="Arial" w:cs="Arial" w:eastAsia="Arial" w:hAnsi="Arial"/>
          <w:sz w:val="17"/>
          <w:szCs w:val="17"/>
          <w:color w:val="222222"/>
        </w:rPr>
        <w:t xml:space="preserve"> </w:t>
      </w:r>
      <w:r>
        <w:rPr>
          <w:rFonts w:ascii="Arial" w:cs="Arial" w:eastAsia="Arial" w:hAnsi="Arial"/>
          <w:sz w:val="17"/>
          <w:szCs w:val="17"/>
          <w:color w:val="000000"/>
        </w:rPr>
        <w:t>terminated all of its higher education operations other than the New England College of Business (NECB). The receiver has repudiated all of ECA’s real estate leases not connected to NECB. Although ECA is required to indemnify Kaplan for any amounts Kaplan must pay due to ECA’s failure to fulfill its obligations under real estate leases guaranteed by Kaplan, ECA’s financial situation and the existence of secured and unsecured creditors make it unlikely that Kaplan will recover from ECA. In the second half of 2018, the Company recorded an estimated $17.5 million in losses on guarantor lease obligations in connection with this transaction in other non-operating expense. The Company continues to monitor the status of these obligations and there was no significant change to estimated losses in the first half of 2019.</w:t>
      </w:r>
    </w:p>
    <w:p>
      <w:pPr>
        <w:spacing w:after="0" w:line="141"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 xml:space="preserve">Her Majesty’s Revenue and Customs (HMRC), a department of the U.K. government responsible for the collection of taxes, has raised assessments against the Kaplan U.K. Pathways business for Value Added Tax (VAT) relating to 2017 and earlier years, which have been paid by Kaplan. In September 2017, in a case captioned </w:t>
      </w:r>
      <w:r>
        <w:rPr>
          <w:rFonts w:ascii="Arial" w:cs="Arial" w:eastAsia="Arial" w:hAnsi="Arial"/>
          <w:sz w:val="18"/>
          <w:szCs w:val="18"/>
          <w:i w:val="1"/>
          <w:iCs w:val="1"/>
          <w:color w:val="auto"/>
        </w:rPr>
        <w:t>Kaplan International Colleges UK Limited</w:t>
      </w:r>
      <w:r>
        <w:rPr>
          <w:rFonts w:ascii="Arial" w:cs="Arial" w:eastAsia="Arial" w:hAnsi="Arial"/>
          <w:sz w:val="18"/>
          <w:szCs w:val="18"/>
          <w:color w:val="auto"/>
        </w:rPr>
        <w:t xml:space="preserve"> v. </w:t>
      </w:r>
      <w:r>
        <w:rPr>
          <w:rFonts w:ascii="Arial" w:cs="Arial" w:eastAsia="Arial" w:hAnsi="Arial"/>
          <w:sz w:val="18"/>
          <w:szCs w:val="18"/>
          <w:i w:val="1"/>
          <w:iCs w:val="1"/>
          <w:color w:val="auto"/>
        </w:rPr>
        <w:t>The Commissioners for Her Majesty’s Revenue</w:t>
      </w:r>
      <w:r>
        <w:rPr>
          <w:rFonts w:ascii="Arial" w:cs="Arial" w:eastAsia="Arial" w:hAnsi="Arial"/>
          <w:sz w:val="18"/>
          <w:szCs w:val="18"/>
          <w:color w:val="auto"/>
        </w:rPr>
        <w:t xml:space="preserve"> </w:t>
      </w:r>
      <w:r>
        <w:rPr>
          <w:rFonts w:ascii="Arial" w:cs="Arial" w:eastAsia="Arial" w:hAnsi="Arial"/>
          <w:sz w:val="18"/>
          <w:szCs w:val="18"/>
          <w:i w:val="1"/>
          <w:iCs w:val="1"/>
          <w:color w:val="auto"/>
        </w:rPr>
        <w:t>and Customs</w:t>
      </w:r>
      <w:r>
        <w:rPr>
          <w:rFonts w:ascii="Arial" w:cs="Arial" w:eastAsia="Arial" w:hAnsi="Arial"/>
          <w:sz w:val="18"/>
          <w:szCs w:val="18"/>
          <w:color w:val="auto"/>
        </w:rPr>
        <w:t>, Kaplan challenged these assessments. The Company believes it has met all requirements under U.K. VAT law and expects to</w:t>
      </w:r>
      <w:r>
        <w:rPr>
          <w:rFonts w:ascii="Arial" w:cs="Arial" w:eastAsia="Arial" w:hAnsi="Arial"/>
          <w:sz w:val="18"/>
          <w:szCs w:val="18"/>
          <w:i w:val="1"/>
          <w:iCs w:val="1"/>
          <w:color w:val="auto"/>
        </w:rPr>
        <w:t xml:space="preserve"> </w:t>
      </w:r>
      <w:r>
        <w:rPr>
          <w:rFonts w:ascii="Arial" w:cs="Arial" w:eastAsia="Arial" w:hAnsi="Arial"/>
          <w:sz w:val="18"/>
          <w:szCs w:val="18"/>
          <w:color w:val="auto"/>
        </w:rPr>
        <w:t>recover the £16.8 million receivable related to the assessments and subsequent payments that have been paid. Following a hearing held in January 2019, before the First Tier Tax Tribunal, all issues related to EU law in the case were referred to the Court of Justice of the European Union. If the Company does not prevail in this case, a pre-tax charge of £16.8 million will be recorded to operating expense in the Company’s Condensed Consolidated Statement of Operations.</w:t>
      </w:r>
    </w:p>
    <w:p>
      <w:pPr>
        <w:spacing w:after="0" w:line="136" w:lineRule="exact"/>
        <w:rPr>
          <w:sz w:val="20"/>
          <w:szCs w:val="20"/>
          <w:color w:val="auto"/>
        </w:rPr>
      </w:pPr>
    </w:p>
    <w:p>
      <w:pPr>
        <w:ind w:right="200"/>
        <w:spacing w:after="0" w:line="227" w:lineRule="auto"/>
        <w:rPr>
          <w:sz w:val="20"/>
          <w:szCs w:val="20"/>
          <w:color w:val="auto"/>
        </w:rPr>
      </w:pPr>
      <w:r>
        <w:rPr>
          <w:rFonts w:ascii="Arial" w:cs="Arial" w:eastAsia="Arial" w:hAnsi="Arial"/>
          <w:sz w:val="18"/>
          <w:szCs w:val="18"/>
          <w:color w:val="auto"/>
        </w:rPr>
        <w:t>In March 2018, HMRC issued new VAT guidance indicating a change of policy in relation to certain aspects of a cost sharing exemption that could impact the U.K. Pathways business adversely if this guidance were to become law. As of March 31, 2019, this guidance had not been incorporated into U.K. law. If Kaplan is not successful in preserving a valid exemption under U.K. VAT law, the U.K. Pathways business would incur additional VAT expense in the future.</w:t>
      </w:r>
    </w:p>
    <w:p>
      <w:pPr>
        <w:spacing w:after="0" w:line="135"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In a separate matter, there was a legal case awaiting judgment at the Supreme Court in the U.K. as at December 31, 2018 that could have impacted U.K. Pathways’ ability to receive the benefit of an exemption from charging its students VAT on tuition fees. The case could have reversed or amended the law and guidance permitting private providers to qualify as a “college of a university” and, therefore, receive the benefit of an exemption from charging its students VAT on tuition fees. However the Supreme Court decided the case in the college’s favor. The result was more favorable to private providers working in collaboration with a university than the opposing view. The Supreme Court emphasized five key tests for a private provider to satisfy so that it could exempt its services as a “college of a university”, even if it did not have a constitutional link to the university. Satisfying these tests would generally show that the college had a sufficiently close relationship with the university and its activities were sufficiently integrated with the university, to constitute a “college of a university”. The new test has now been incorporated into official HMRC guidance.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Department of Education (ED) Program Reviews. </w:t>
      </w:r>
      <w:r>
        <w:rPr>
          <w:rFonts w:ascii="Arial" w:cs="Arial" w:eastAsia="Arial" w:hAnsi="Arial"/>
          <w:sz w:val="18"/>
          <w:szCs w:val="18"/>
          <w:color w:val="auto"/>
        </w:rPr>
        <w:t>The ED has undertaken program reviews at various KHE locations.</w:t>
      </w:r>
    </w:p>
    <w:p>
      <w:pPr>
        <w:spacing w:after="0" w:line="166"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On February 23, 2015, the ED began a program review assessing KU’s administration of its Title IV and Higher Education Act programs during the 2013-2014 and 2014-2015 award years. In 2018, Kaplan contributed the institutional assets and operations of KU to Purdue Global, and the university became Purdue Global, under the ownership and control of Purdue University. However, Kaplan retains liability for any financial obligations the ED might impose under this program review and that are the result of actions taken during the time that Kaplan owned the institution. On September 28, 2018, the ED issued a Preliminary Program Report (Preliminary Report). This Preliminary Report is not final, and the ED may change the findings in the final report. None of the initial findings in the Preliminary Report carries material financial liability. Although the program review technically covers only the 2013–2015 award years, the ED included a review of the treatment of student financial aid refunds for students who withdrew from a program prior to completion in 2017–2018. KHE cannot predict the outcome of this review, when it will be completed, whether any final findings of non-compliance with financial aid program or other requirements will impact KHE’s operations, or what liability or other limitations the ED might place on KHE or Purdue Global as a result of this review.</w:t>
      </w:r>
    </w:p>
    <w:p>
      <w:pPr>
        <w:spacing w:after="0" w:line="138"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There are also two open program reviews at campuses that were part of the KHE Campuses business prior to its sale in 2015 to ECA. The ED’s final reports on the program reviews at former KHE Broomall, PA, and Pittsburgh, PA, locations are pending. KHE retains responsibility for any financial obligations resulting from these program reviews.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19" w:right="239" w:bottom="1440" w:gutter="0" w:footer="0" w:header="0"/>
        </w:sectPr>
      </w:pPr>
    </w:p>
    <w:bookmarkStart w:id="24" w:name="page25"/>
    <w:bookmarkEnd w:id="24"/>
    <w:p>
      <w:pPr>
        <w:spacing w:after="0" w:line="235" w:lineRule="auto"/>
        <w:rPr>
          <w:sz w:val="20"/>
          <w:szCs w:val="20"/>
          <w:color w:val="auto"/>
        </w:rPr>
      </w:pPr>
      <w:r>
        <w:rPr>
          <w:rFonts w:ascii="Arial" w:cs="Arial" w:eastAsia="Arial" w:hAnsi="Arial"/>
          <w:sz w:val="18"/>
          <w:szCs w:val="18"/>
          <w:color w:val="auto"/>
        </w:rPr>
        <w:t>The Company does not expect the open program reviews to have a material impact on KHE; however, the results of open program reviews and their impact on Kaplan’s operations are uncertain.</w:t>
      </w:r>
    </w:p>
    <w:p>
      <w:pPr>
        <w:spacing w:after="0" w:line="113" w:lineRule="exact"/>
        <w:rPr>
          <w:sz w:val="20"/>
          <w:szCs w:val="20"/>
          <w:color w:val="auto"/>
        </w:rPr>
      </w:pPr>
    </w:p>
    <w:p>
      <w:pPr>
        <w:spacing w:after="0" w:line="227" w:lineRule="auto"/>
        <w:rPr>
          <w:sz w:val="20"/>
          <w:szCs w:val="20"/>
          <w:color w:val="auto"/>
        </w:rPr>
      </w:pPr>
      <w:r>
        <w:rPr>
          <w:rFonts w:ascii="Arial" w:cs="Arial" w:eastAsia="Arial" w:hAnsi="Arial"/>
          <w:sz w:val="18"/>
          <w:szCs w:val="18"/>
          <w:b w:val="1"/>
          <w:bCs w:val="1"/>
          <w:color w:val="auto"/>
        </w:rPr>
        <w:t xml:space="preserve">Regulatory Matters. </w:t>
      </w:r>
      <w:r>
        <w:rPr>
          <w:rFonts w:ascii="Arial" w:cs="Arial" w:eastAsia="Arial" w:hAnsi="Arial"/>
          <w:sz w:val="18"/>
          <w:szCs w:val="18"/>
          <w:color w:val="auto"/>
        </w:rPr>
        <w:t>In November 2018, Kaplan Learning Institute in Singapore (KLI) was notified by SkillsFuture Singapore (SSG), a statutory</w:t>
      </w:r>
      <w:r>
        <w:rPr>
          <w:rFonts w:ascii="Arial" w:cs="Arial" w:eastAsia="Arial" w:hAnsi="Arial"/>
          <w:sz w:val="18"/>
          <w:szCs w:val="18"/>
          <w:b w:val="1"/>
          <w:bCs w:val="1"/>
          <w:color w:val="auto"/>
        </w:rPr>
        <w:t xml:space="preserve"> </w:t>
      </w:r>
      <w:r>
        <w:rPr>
          <w:rFonts w:ascii="Arial" w:cs="Arial" w:eastAsia="Arial" w:hAnsi="Arial"/>
          <w:sz w:val="18"/>
          <w:szCs w:val="18"/>
          <w:color w:val="auto"/>
        </w:rPr>
        <w:t>board under the Singapore Ministry of Education, that its right to deliver workforce skills qualifications (WSQ) courses under the Leadership &amp; People Management framework would be suspended for six months from December 1, 2018. In June 2019, SSG notified KLI that from July 1, 2019, SSG was suspending KLI’s WSQ Approved Training Organization status for twelve months and terminating its WSQ course accreditation and funding due to findings of non-compliance with WSQ assessment principles. Kaplan Singapore subsequently began voluntarily de-registering KLI as a Private Education institution. These actions have and will continue to adversely impact Kaplan Singapore’s revenues and operating results for 2019, as compared to 2018.</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719"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16. BUSINESS SEGMENTS</w:t>
      </w:r>
    </w:p>
    <w:p>
      <w:pPr>
        <w:spacing w:after="0" w:line="166"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color w:val="auto"/>
        </w:rPr>
        <w:t>The Company has six reportable segments: Kaplan International, Kaplan Higher Education, Kaplan Test Preparation, Kaplan Professional (U.S.), Television Broadcasting and Healthcare.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financial information related to each of the Company’s business segments: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0" w:type="dxa"/>
            <w:vAlign w:val="bottom"/>
            <w:gridSpan w:val="3"/>
          </w:tcPr>
          <w:p>
            <w:pPr>
              <w:jc w:val="right"/>
              <w:ind w:right="559"/>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2160" w:type="dxa"/>
            <w:vAlign w:val="bottom"/>
            <w:gridSpan w:val="3"/>
          </w:tcPr>
          <w:p>
            <w:pPr>
              <w:jc w:val="right"/>
              <w:ind w:right="47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76"/>
        </w:trPr>
        <w:tc>
          <w:tcPr>
            <w:tcW w:w="62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color w:val="auto"/>
              </w:rPr>
              <w:t>2018</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50"/>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367,763</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370,005</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740,217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745,504</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3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116,628</w:t>
            </w:r>
          </w:p>
        </w:tc>
        <w:tc>
          <w:tcPr>
            <w:tcW w:w="40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114,086</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224,851</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222,888</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3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40,641</w:t>
            </w:r>
          </w:p>
        </w:tc>
        <w:tc>
          <w:tcPr>
            <w:tcW w:w="40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38,208</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78,369</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75,829</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3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212,614</w:t>
            </w:r>
          </w:p>
        </w:tc>
        <w:tc>
          <w:tcPr>
            <w:tcW w:w="40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150,399</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386,448</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287,937</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3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628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(44)</w:t>
            </w: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(84)</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64"/>
        </w:trPr>
        <w:tc>
          <w:tcPr>
            <w:tcW w:w="6280" w:type="dxa"/>
            <w:vAlign w:val="bottom"/>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737,602</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672,677</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1,429,801</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1,332,113</w:t>
            </w:r>
          </w:p>
        </w:tc>
        <w:tc>
          <w:tcPr>
            <w:tcW w:w="0" w:type="dxa"/>
            <w:vAlign w:val="bottom"/>
          </w:tcPr>
          <w:p>
            <w:pPr>
              <w:spacing w:after="0"/>
              <w:rPr>
                <w:sz w:val="1"/>
                <w:szCs w:val="1"/>
                <w:color w:val="auto"/>
              </w:rPr>
            </w:pPr>
          </w:p>
        </w:tc>
      </w:tr>
      <w:tr>
        <w:trPr>
          <w:trHeight w:val="251"/>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Income (Loss) from Operations</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26,305</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37,554</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51,900</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60,254</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3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44,494</w:t>
            </w:r>
          </w:p>
        </w:tc>
        <w:tc>
          <w:tcPr>
            <w:tcW w:w="40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41,118</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80,034</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81,660</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3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2,598</w:t>
            </w:r>
          </w:p>
        </w:tc>
        <w:tc>
          <w:tcPr>
            <w:tcW w:w="40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764</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4,927</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(627)</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3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(2,196)</w:t>
            </w:r>
          </w:p>
        </w:tc>
        <w:tc>
          <w:tcPr>
            <w:tcW w:w="4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(1,054)</w:t>
            </w: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(11,433)</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(4,749)</w:t>
            </w:r>
          </w:p>
        </w:tc>
        <w:tc>
          <w:tcPr>
            <w:tcW w:w="0" w:type="dxa"/>
            <w:vAlign w:val="bottom"/>
          </w:tcPr>
          <w:p>
            <w:pPr>
              <w:spacing w:after="0"/>
              <w:rPr>
                <w:sz w:val="1"/>
                <w:szCs w:val="1"/>
                <w:color w:val="auto"/>
              </w:rPr>
            </w:pPr>
          </w:p>
        </w:tc>
      </w:tr>
      <w:tr>
        <w:trPr>
          <w:trHeight w:val="283"/>
        </w:trPr>
        <w:tc>
          <w:tcPr>
            <w:tcW w:w="628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(13,238)</w:t>
            </w: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(12,756)</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(27,462)</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(26,698)</w:t>
            </w:r>
          </w:p>
        </w:tc>
        <w:tc>
          <w:tcPr>
            <w:tcW w:w="0" w:type="dxa"/>
            <w:vAlign w:val="bottom"/>
          </w:tcPr>
          <w:p>
            <w:pPr>
              <w:spacing w:after="0"/>
              <w:rPr>
                <w:sz w:val="1"/>
                <w:szCs w:val="1"/>
                <w:color w:val="auto"/>
              </w:rPr>
            </w:pPr>
          </w:p>
        </w:tc>
      </w:tr>
      <w:tr>
        <w:trPr>
          <w:trHeight w:val="264"/>
        </w:trPr>
        <w:tc>
          <w:tcPr>
            <w:tcW w:w="6280" w:type="dxa"/>
            <w:vAlign w:val="bottom"/>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57,963</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65,626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97,966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109,840</w:t>
            </w:r>
          </w:p>
        </w:tc>
        <w:tc>
          <w:tcPr>
            <w:tcW w:w="0" w:type="dxa"/>
            <w:vAlign w:val="bottom"/>
          </w:tcPr>
          <w:p>
            <w:pPr>
              <w:spacing w:after="0"/>
              <w:rPr>
                <w:sz w:val="1"/>
                <w:szCs w:val="1"/>
                <w:color w:val="auto"/>
              </w:rPr>
            </w:pPr>
          </w:p>
        </w:tc>
      </w:tr>
      <w:tr>
        <w:trPr>
          <w:trHeight w:val="251"/>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Equity in Earnings of Affiliates, Net</w:t>
            </w:r>
          </w:p>
        </w:tc>
        <w:tc>
          <w:tcPr>
            <w:tcW w:w="30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1,467</w:t>
            </w:r>
          </w:p>
        </w:tc>
        <w:tc>
          <w:tcPr>
            <w:tcW w:w="400" w:type="dxa"/>
            <w:vAlign w:val="bottom"/>
          </w:tcPr>
          <w:p>
            <w:pPr>
              <w:spacing w:after="0"/>
              <w:rPr>
                <w:sz w:val="21"/>
                <w:szCs w:val="21"/>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931</w:t>
            </w:r>
          </w:p>
        </w:tc>
        <w:tc>
          <w:tcPr>
            <w:tcW w:w="280" w:type="dxa"/>
            <w:vAlign w:val="bottom"/>
          </w:tcPr>
          <w:p>
            <w:pPr>
              <w:spacing w:after="0"/>
              <w:rPr>
                <w:sz w:val="21"/>
                <w:szCs w:val="21"/>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3,146</w:t>
            </w:r>
          </w:p>
        </w:tc>
        <w:tc>
          <w:tcPr>
            <w:tcW w:w="34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3,510</w:t>
            </w:r>
          </w:p>
        </w:tc>
        <w:tc>
          <w:tcPr>
            <w:tcW w:w="0" w:type="dxa"/>
            <w:vAlign w:val="bottom"/>
          </w:tcPr>
          <w:p>
            <w:pPr>
              <w:spacing w:after="0"/>
              <w:rPr>
                <w:sz w:val="1"/>
                <w:szCs w:val="1"/>
                <w:color w:val="auto"/>
              </w:rPr>
            </w:pP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Interest Expense, Net</w:t>
            </w:r>
          </w:p>
        </w:tc>
        <w:tc>
          <w:tcPr>
            <w:tcW w:w="3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(6,807)</w:t>
            </w:r>
          </w:p>
        </w:tc>
        <w:tc>
          <w:tcPr>
            <w:tcW w:w="4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(15,264)</w:t>
            </w: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(12,532)</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(21,963)</w:t>
            </w:r>
          </w:p>
        </w:tc>
        <w:tc>
          <w:tcPr>
            <w:tcW w:w="0" w:type="dxa"/>
            <w:vAlign w:val="bottom"/>
          </w:tcPr>
          <w:p>
            <w:pPr>
              <w:spacing w:after="0"/>
              <w:rPr>
                <w:sz w:val="1"/>
                <w:szCs w:val="1"/>
                <w:color w:val="auto"/>
              </w:rPr>
            </w:pP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Debt Extinguishment Costs</w:t>
            </w:r>
          </w:p>
        </w:tc>
        <w:tc>
          <w:tcPr>
            <w:tcW w:w="3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(11,378)</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(11,378)</w:t>
            </w:r>
          </w:p>
        </w:tc>
        <w:tc>
          <w:tcPr>
            <w:tcW w:w="0" w:type="dxa"/>
            <w:vAlign w:val="bottom"/>
          </w:tcPr>
          <w:p>
            <w:pPr>
              <w:spacing w:after="0"/>
              <w:rPr>
                <w:sz w:val="1"/>
                <w:szCs w:val="1"/>
                <w:color w:val="auto"/>
              </w:rPr>
            </w:pP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Non-Operating Pension and Postretirement Benefit Income, Net</w:t>
            </w:r>
          </w:p>
        </w:tc>
        <w:tc>
          <w:tcPr>
            <w:tcW w:w="3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12,253</w:t>
            </w:r>
          </w:p>
        </w:tc>
        <w:tc>
          <w:tcPr>
            <w:tcW w:w="40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23,041</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32,181</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44,427</w:t>
            </w:r>
          </w:p>
        </w:tc>
        <w:tc>
          <w:tcPr>
            <w:tcW w:w="0" w:type="dxa"/>
            <w:vAlign w:val="bottom"/>
          </w:tcPr>
          <w:p>
            <w:pPr>
              <w:spacing w:after="0"/>
              <w:rPr>
                <w:sz w:val="1"/>
                <w:szCs w:val="1"/>
                <w:color w:val="auto"/>
              </w:rPr>
            </w:pP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Gain (Loss) on Marketable Equity Securities, Net</w:t>
            </w:r>
          </w:p>
        </w:tc>
        <w:tc>
          <w:tcPr>
            <w:tcW w:w="3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7,791</w:t>
            </w:r>
          </w:p>
        </w:tc>
        <w:tc>
          <w:tcPr>
            <w:tcW w:w="4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(2,554)</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31,857</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(16,656)</w:t>
            </w:r>
          </w:p>
        </w:tc>
        <w:tc>
          <w:tcPr>
            <w:tcW w:w="0" w:type="dxa"/>
            <w:vAlign w:val="bottom"/>
          </w:tcPr>
          <w:p>
            <w:pPr>
              <w:spacing w:after="0"/>
              <w:rPr>
                <w:sz w:val="1"/>
                <w:szCs w:val="1"/>
                <w:color w:val="auto"/>
              </w:rPr>
            </w:pPr>
          </w:p>
        </w:tc>
      </w:tr>
      <w:tr>
        <w:trPr>
          <w:trHeight w:val="283"/>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Other Income, Net</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1,228</w:t>
            </w: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2,333</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30,579</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11,520</w:t>
            </w:r>
          </w:p>
        </w:tc>
        <w:tc>
          <w:tcPr>
            <w:tcW w:w="0" w:type="dxa"/>
            <w:vAlign w:val="bottom"/>
          </w:tcPr>
          <w:p>
            <w:pPr>
              <w:spacing w:after="0"/>
              <w:rPr>
                <w:sz w:val="1"/>
                <w:szCs w:val="1"/>
                <w:color w:val="auto"/>
              </w:rPr>
            </w:pPr>
          </w:p>
        </w:tc>
      </w:tr>
      <w:tr>
        <w:trPr>
          <w:trHeight w:val="264"/>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73,895</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62,735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183,197</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119,300</w:t>
            </w:r>
          </w:p>
        </w:tc>
        <w:tc>
          <w:tcPr>
            <w:tcW w:w="0" w:type="dxa"/>
            <w:vAlign w:val="bottom"/>
          </w:tcPr>
          <w:p>
            <w:pPr>
              <w:spacing w:after="0"/>
              <w:rPr>
                <w:sz w:val="1"/>
                <w:szCs w:val="1"/>
                <w:color w:val="auto"/>
              </w:rPr>
            </w:pPr>
          </w:p>
        </w:tc>
      </w:tr>
      <w:tr>
        <w:trPr>
          <w:trHeight w:val="20"/>
        </w:trPr>
        <w:tc>
          <w:tcPr>
            <w:tcW w:w="62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Depreciation of Property, Plant and Equipment</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6,137</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6,839</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12,338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14,445</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3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3,293</w:t>
            </w:r>
          </w:p>
        </w:tc>
        <w:tc>
          <w:tcPr>
            <w:tcW w:w="40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2,974</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6,532</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6,045</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3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607</w:t>
            </w:r>
          </w:p>
        </w:tc>
        <w:tc>
          <w:tcPr>
            <w:tcW w:w="40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647</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1,217</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1,300</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3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3,605</w:t>
            </w:r>
          </w:p>
        </w:tc>
        <w:tc>
          <w:tcPr>
            <w:tcW w:w="40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2,906</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6,838</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5,965</w:t>
            </w:r>
          </w:p>
        </w:tc>
        <w:tc>
          <w:tcPr>
            <w:tcW w:w="0" w:type="dxa"/>
            <w:vAlign w:val="bottom"/>
          </w:tcPr>
          <w:p>
            <w:pPr>
              <w:spacing w:after="0"/>
              <w:rPr>
                <w:sz w:val="1"/>
                <w:szCs w:val="1"/>
                <w:color w:val="auto"/>
              </w:rPr>
            </w:pPr>
          </w:p>
        </w:tc>
      </w:tr>
      <w:tr>
        <w:trPr>
          <w:trHeight w:val="283"/>
        </w:trPr>
        <w:tc>
          <w:tcPr>
            <w:tcW w:w="628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242</w:t>
            </w: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253</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482</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506</w:t>
            </w:r>
          </w:p>
        </w:tc>
        <w:tc>
          <w:tcPr>
            <w:tcW w:w="0" w:type="dxa"/>
            <w:vAlign w:val="bottom"/>
          </w:tcPr>
          <w:p>
            <w:pPr>
              <w:spacing w:after="0"/>
              <w:rPr>
                <w:sz w:val="1"/>
                <w:szCs w:val="1"/>
                <w:color w:val="auto"/>
              </w:rPr>
            </w:pPr>
          </w:p>
        </w:tc>
      </w:tr>
      <w:tr>
        <w:trPr>
          <w:trHeight w:val="264"/>
        </w:trPr>
        <w:tc>
          <w:tcPr>
            <w:tcW w:w="6280" w:type="dxa"/>
            <w:vAlign w:val="bottom"/>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13,884</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13,619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27,407</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28,261</w:t>
            </w:r>
          </w:p>
        </w:tc>
        <w:tc>
          <w:tcPr>
            <w:tcW w:w="0" w:type="dxa"/>
            <w:vAlign w:val="bottom"/>
          </w:tcPr>
          <w:p>
            <w:pPr>
              <w:spacing w:after="0"/>
              <w:rPr>
                <w:sz w:val="1"/>
                <w:szCs w:val="1"/>
                <w:color w:val="auto"/>
              </w:rPr>
            </w:pPr>
          </w:p>
        </w:tc>
      </w:tr>
      <w:tr>
        <w:trPr>
          <w:trHeight w:val="251"/>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 and Impairment of Long-Lived Assets</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4,070</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1,663</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7,637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2,812</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3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1,408</w:t>
            </w:r>
          </w:p>
        </w:tc>
        <w:tc>
          <w:tcPr>
            <w:tcW w:w="40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1,408</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2,816</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2,816</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3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1,410</w:t>
            </w:r>
          </w:p>
        </w:tc>
        <w:tc>
          <w:tcPr>
            <w:tcW w:w="40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1,809</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2,808</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3,617</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3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6,685</w:t>
            </w:r>
          </w:p>
        </w:tc>
        <w:tc>
          <w:tcPr>
            <w:tcW w:w="40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6,519</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13,372</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12,538</w:t>
            </w:r>
          </w:p>
        </w:tc>
        <w:tc>
          <w:tcPr>
            <w:tcW w:w="0" w:type="dxa"/>
            <w:vAlign w:val="bottom"/>
          </w:tcPr>
          <w:p>
            <w:pPr>
              <w:spacing w:after="0"/>
              <w:rPr>
                <w:sz w:val="1"/>
                <w:szCs w:val="1"/>
                <w:color w:val="auto"/>
              </w:rPr>
            </w:pPr>
          </w:p>
        </w:tc>
      </w:tr>
      <w:tr>
        <w:trPr>
          <w:trHeight w:val="283"/>
        </w:trPr>
        <w:tc>
          <w:tcPr>
            <w:tcW w:w="628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6280" w:type="dxa"/>
            <w:vAlign w:val="bottom"/>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13,573</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11,399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26,633</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21,783</w:t>
            </w:r>
          </w:p>
        </w:tc>
        <w:tc>
          <w:tcPr>
            <w:tcW w:w="0" w:type="dxa"/>
            <w:vAlign w:val="bottom"/>
          </w:tcPr>
          <w:p>
            <w:pPr>
              <w:spacing w:after="0"/>
              <w:rPr>
                <w:sz w:val="1"/>
                <w:szCs w:val="1"/>
                <w:color w:val="auto"/>
              </w:rPr>
            </w:pPr>
          </w:p>
        </w:tc>
      </w:tr>
      <w:tr>
        <w:trPr>
          <w:trHeight w:val="251"/>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Pension Service Cost</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2,522</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1,878</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5,186</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4,542</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3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780</w:t>
            </w:r>
          </w:p>
        </w:tc>
        <w:tc>
          <w:tcPr>
            <w:tcW w:w="40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601</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1,511</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1,094</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3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63</w:t>
            </w:r>
          </w:p>
        </w:tc>
        <w:tc>
          <w:tcPr>
            <w:tcW w:w="40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165</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246</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3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367</w:t>
            </w:r>
          </w:p>
        </w:tc>
        <w:tc>
          <w:tcPr>
            <w:tcW w:w="40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378</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841</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667</w:t>
            </w:r>
          </w:p>
        </w:tc>
        <w:tc>
          <w:tcPr>
            <w:tcW w:w="0" w:type="dxa"/>
            <w:vAlign w:val="bottom"/>
          </w:tcPr>
          <w:p>
            <w:pPr>
              <w:spacing w:after="0"/>
              <w:rPr>
                <w:sz w:val="1"/>
                <w:szCs w:val="1"/>
                <w:color w:val="auto"/>
              </w:rPr>
            </w:pPr>
          </w:p>
        </w:tc>
      </w:tr>
      <w:tr>
        <w:trPr>
          <w:trHeight w:val="283"/>
        </w:trPr>
        <w:tc>
          <w:tcPr>
            <w:tcW w:w="628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1,231</w:t>
            </w: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1,295</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2,400</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2,667</w:t>
            </w:r>
          </w:p>
        </w:tc>
        <w:tc>
          <w:tcPr>
            <w:tcW w:w="0" w:type="dxa"/>
            <w:vAlign w:val="bottom"/>
          </w:tcPr>
          <w:p>
            <w:pPr>
              <w:spacing w:after="0"/>
              <w:rPr>
                <w:sz w:val="1"/>
                <w:szCs w:val="1"/>
                <w:color w:val="auto"/>
              </w:rPr>
            </w:pPr>
          </w:p>
        </w:tc>
      </w:tr>
      <w:tr>
        <w:trPr>
          <w:trHeight w:val="264"/>
        </w:trPr>
        <w:tc>
          <w:tcPr>
            <w:tcW w:w="6280" w:type="dxa"/>
            <w:vAlign w:val="bottom"/>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4,963</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4,317</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10,184</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9,257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97" w:right="239" w:bottom="1097" w:gutter="0" w:footer="0" w:header="0"/>
        </w:sectPr>
      </w:pP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697" w:right="239" w:bottom="1097"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color w:val="auto"/>
        </w:rPr>
        <w:t>Asset information for the Company’s business segments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8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June 30, 2019</w:t>
            </w:r>
          </w:p>
        </w:tc>
        <w:tc>
          <w:tcPr>
            <w:tcW w:w="260" w:type="dxa"/>
            <w:vAlign w:val="bottom"/>
          </w:tcPr>
          <w:p>
            <w:pPr>
              <w:spacing w:after="0"/>
              <w:rPr>
                <w:sz w:val="16"/>
                <w:szCs w:val="16"/>
                <w:color w:val="auto"/>
              </w:rPr>
            </w:pPr>
          </w:p>
        </w:tc>
        <w:tc>
          <w:tcPr>
            <w:tcW w:w="1100" w:type="dxa"/>
            <w:vAlign w:val="bottom"/>
          </w:tcPr>
          <w:p>
            <w:pPr>
              <w:jc w:val="right"/>
              <w:ind w:right="10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8"/>
        </w:trPr>
        <w:tc>
          <w:tcPr>
            <w:tcW w:w="8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23"/>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Identifiable Assets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80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1,789,059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1,568,747</w:t>
            </w:r>
          </w:p>
        </w:tc>
        <w:tc>
          <w:tcPr>
            <w:tcW w:w="0" w:type="dxa"/>
            <w:vAlign w:val="bottom"/>
          </w:tcPr>
          <w:p>
            <w:pPr>
              <w:spacing w:after="0"/>
              <w:rPr>
                <w:sz w:val="1"/>
                <w:szCs w:val="1"/>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14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475,379</w:t>
            </w:r>
          </w:p>
        </w:tc>
        <w:tc>
          <w:tcPr>
            <w:tcW w:w="260" w:type="dxa"/>
            <w:vAlign w:val="bottom"/>
          </w:tcPr>
          <w:p>
            <w:pPr>
              <w:spacing w:after="0"/>
              <w:rPr>
                <w:sz w:val="23"/>
                <w:szCs w:val="23"/>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452,853</w:t>
            </w:r>
          </w:p>
        </w:tc>
        <w:tc>
          <w:tcPr>
            <w:tcW w:w="0" w:type="dxa"/>
            <w:vAlign w:val="bottom"/>
          </w:tcPr>
          <w:p>
            <w:pPr>
              <w:spacing w:after="0"/>
              <w:rPr>
                <w:sz w:val="1"/>
                <w:szCs w:val="1"/>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14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123,876</w:t>
            </w:r>
          </w:p>
        </w:tc>
        <w:tc>
          <w:tcPr>
            <w:tcW w:w="260" w:type="dxa"/>
            <w:vAlign w:val="bottom"/>
          </w:tcPr>
          <w:p>
            <w:pPr>
              <w:spacing w:after="0"/>
              <w:rPr>
                <w:sz w:val="23"/>
                <w:szCs w:val="23"/>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108,596</w:t>
            </w:r>
          </w:p>
        </w:tc>
        <w:tc>
          <w:tcPr>
            <w:tcW w:w="0" w:type="dxa"/>
            <w:vAlign w:val="bottom"/>
          </w:tcPr>
          <w:p>
            <w:pPr>
              <w:spacing w:after="0"/>
              <w:rPr>
                <w:sz w:val="1"/>
                <w:szCs w:val="1"/>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14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962,227</w:t>
            </w:r>
          </w:p>
        </w:tc>
        <w:tc>
          <w:tcPr>
            <w:tcW w:w="260" w:type="dxa"/>
            <w:vAlign w:val="bottom"/>
          </w:tcPr>
          <w:p>
            <w:pPr>
              <w:spacing w:after="0"/>
              <w:rPr>
                <w:sz w:val="23"/>
                <w:szCs w:val="23"/>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827,113</w:t>
            </w:r>
          </w:p>
        </w:tc>
        <w:tc>
          <w:tcPr>
            <w:tcW w:w="0" w:type="dxa"/>
            <w:vAlign w:val="bottom"/>
          </w:tcPr>
          <w:p>
            <w:pPr>
              <w:spacing w:after="0"/>
              <w:rPr>
                <w:sz w:val="1"/>
                <w:szCs w:val="1"/>
                <w:color w:val="auto"/>
              </w:rPr>
            </w:pPr>
          </w:p>
        </w:tc>
      </w:tr>
      <w:tr>
        <w:trPr>
          <w:trHeight w:val="283"/>
        </w:trPr>
        <w:tc>
          <w:tcPr>
            <w:tcW w:w="880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160,095</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162,971</w:t>
            </w:r>
          </w:p>
        </w:tc>
        <w:tc>
          <w:tcPr>
            <w:tcW w:w="0" w:type="dxa"/>
            <w:vAlign w:val="bottom"/>
          </w:tcPr>
          <w:p>
            <w:pPr>
              <w:spacing w:after="0"/>
              <w:rPr>
                <w:sz w:val="1"/>
                <w:szCs w:val="1"/>
                <w:color w:val="auto"/>
              </w:rPr>
            </w:pPr>
          </w:p>
        </w:tc>
      </w:tr>
      <w:tr>
        <w:trPr>
          <w:trHeight w:val="264"/>
        </w:trPr>
        <w:tc>
          <w:tcPr>
            <w:tcW w:w="88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3,510,636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3,120,280</w:t>
            </w:r>
          </w:p>
        </w:tc>
        <w:tc>
          <w:tcPr>
            <w:tcW w:w="0" w:type="dxa"/>
            <w:vAlign w:val="bottom"/>
          </w:tcPr>
          <w:p>
            <w:pPr>
              <w:spacing w:after="0"/>
              <w:rPr>
                <w:sz w:val="1"/>
                <w:szCs w:val="1"/>
                <w:color w:val="auto"/>
              </w:rPr>
            </w:pPr>
          </w:p>
        </w:tc>
      </w:tr>
      <w:tr>
        <w:trPr>
          <w:trHeight w:val="251"/>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Investments in Marketable Equity Securities</w:t>
            </w:r>
          </w:p>
        </w:tc>
        <w:tc>
          <w:tcPr>
            <w:tcW w:w="140" w:type="dxa"/>
            <w:vAlign w:val="bottom"/>
          </w:tcPr>
          <w:p>
            <w:pPr>
              <w:spacing w:after="0"/>
              <w:rPr>
                <w:sz w:val="21"/>
                <w:szCs w:val="21"/>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518,099</w:t>
            </w:r>
          </w:p>
        </w:tc>
        <w:tc>
          <w:tcPr>
            <w:tcW w:w="26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496,390</w:t>
            </w:r>
          </w:p>
        </w:tc>
        <w:tc>
          <w:tcPr>
            <w:tcW w:w="0" w:type="dxa"/>
            <w:vAlign w:val="bottom"/>
          </w:tcPr>
          <w:p>
            <w:pPr>
              <w:spacing w:after="0"/>
              <w:rPr>
                <w:sz w:val="1"/>
                <w:szCs w:val="1"/>
                <w:color w:val="auto"/>
              </w:rPr>
            </w:pPr>
          </w:p>
        </w:tc>
      </w:tr>
      <w:tr>
        <w:trPr>
          <w:trHeight w:val="270"/>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Investments in Affiliates</w:t>
            </w:r>
          </w:p>
        </w:tc>
        <w:tc>
          <w:tcPr>
            <w:tcW w:w="14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159,660</w:t>
            </w:r>
          </w:p>
        </w:tc>
        <w:tc>
          <w:tcPr>
            <w:tcW w:w="260" w:type="dxa"/>
            <w:vAlign w:val="bottom"/>
          </w:tcPr>
          <w:p>
            <w:pPr>
              <w:spacing w:after="0"/>
              <w:rPr>
                <w:sz w:val="23"/>
                <w:szCs w:val="23"/>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143,813</w:t>
            </w:r>
          </w:p>
        </w:tc>
        <w:tc>
          <w:tcPr>
            <w:tcW w:w="0" w:type="dxa"/>
            <w:vAlign w:val="bottom"/>
          </w:tcPr>
          <w:p>
            <w:pPr>
              <w:spacing w:after="0"/>
              <w:rPr>
                <w:sz w:val="1"/>
                <w:szCs w:val="1"/>
                <w:color w:val="auto"/>
              </w:rPr>
            </w:pPr>
          </w:p>
        </w:tc>
      </w:tr>
      <w:tr>
        <w:trPr>
          <w:trHeight w:val="283"/>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Prepaid Pension Cost</w:t>
            </w: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1,024,555</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1,003,558</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5,212,950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4,764,041</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8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2340" w:type="dxa"/>
            <w:vAlign w:val="bottom"/>
            <w:gridSpan w:val="3"/>
          </w:tcPr>
          <w:p>
            <w:pPr>
              <w:jc w:val="center"/>
              <w:ind w:right="139"/>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62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center"/>
              <w:ind w:left="62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24"/>
                <w:szCs w:val="24"/>
                <w:color w:val="auto"/>
              </w:rPr>
            </w:pPr>
          </w:p>
        </w:tc>
      </w:tr>
      <w:tr>
        <w:trPr>
          <w:trHeight w:val="26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2018</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color w:val="auto"/>
              </w:rPr>
              <w:t>2018</w:t>
            </w:r>
          </w:p>
        </w:tc>
      </w:tr>
      <w:tr>
        <w:trPr>
          <w:trHeight w:val="250"/>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188,580</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184,303</w:t>
            </w:r>
          </w:p>
        </w:tc>
        <w:tc>
          <w:tcPr>
            <w:tcW w:w="3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374,336</w:t>
            </w:r>
          </w:p>
        </w:tc>
        <w:tc>
          <w:tcPr>
            <w:tcW w:w="500" w:type="dxa"/>
            <w:vAlign w:val="bottom"/>
          </w:tcPr>
          <w:p>
            <w:pPr>
              <w:jc w:val="center"/>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367,885</w:t>
            </w: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76,288</w:t>
            </w:r>
          </w:p>
        </w:tc>
        <w:tc>
          <w:tcPr>
            <w:tcW w:w="380" w:type="dxa"/>
            <w:vAlign w:val="bottom"/>
          </w:tcPr>
          <w:p>
            <w:pPr>
              <w:spacing w:after="0"/>
              <w:rPr>
                <w:sz w:val="23"/>
                <w:szCs w:val="23"/>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85,981</w:t>
            </w:r>
          </w:p>
        </w:tc>
        <w:tc>
          <w:tcPr>
            <w:tcW w:w="34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159,068</w:t>
            </w:r>
          </w:p>
        </w:tc>
        <w:tc>
          <w:tcPr>
            <w:tcW w:w="5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185,811</w:t>
            </w: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8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65,673</w:t>
            </w:r>
          </w:p>
        </w:tc>
        <w:tc>
          <w:tcPr>
            <w:tcW w:w="380" w:type="dxa"/>
            <w:vAlign w:val="bottom"/>
          </w:tcPr>
          <w:p>
            <w:pPr>
              <w:spacing w:after="0"/>
              <w:rPr>
                <w:sz w:val="23"/>
                <w:szCs w:val="23"/>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68,604</w:t>
            </w:r>
          </w:p>
        </w:tc>
        <w:tc>
          <w:tcPr>
            <w:tcW w:w="34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126,823</w:t>
            </w:r>
          </w:p>
        </w:tc>
        <w:tc>
          <w:tcPr>
            <w:tcW w:w="5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127,755</w:t>
            </w: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8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35,147</w:t>
            </w:r>
          </w:p>
        </w:tc>
        <w:tc>
          <w:tcPr>
            <w:tcW w:w="380" w:type="dxa"/>
            <w:vAlign w:val="bottom"/>
          </w:tcPr>
          <w:p>
            <w:pPr>
              <w:spacing w:after="0"/>
              <w:rPr>
                <w:sz w:val="23"/>
                <w:szCs w:val="23"/>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31,057</w:t>
            </w:r>
          </w:p>
        </w:tc>
        <w:tc>
          <w:tcPr>
            <w:tcW w:w="34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76,361</w:t>
            </w:r>
          </w:p>
        </w:tc>
        <w:tc>
          <w:tcPr>
            <w:tcW w:w="5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64,413</w:t>
            </w: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8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2,369</w:t>
            </w:r>
          </w:p>
        </w:tc>
        <w:tc>
          <w:tcPr>
            <w:tcW w:w="380" w:type="dxa"/>
            <w:vAlign w:val="bottom"/>
          </w:tcPr>
          <w:p>
            <w:pPr>
              <w:spacing w:after="0"/>
              <w:rPr>
                <w:sz w:val="23"/>
                <w:szCs w:val="23"/>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442</w:t>
            </w:r>
          </w:p>
        </w:tc>
        <w:tc>
          <w:tcPr>
            <w:tcW w:w="34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4,671</w:t>
            </w:r>
          </w:p>
        </w:tc>
        <w:tc>
          <w:tcPr>
            <w:tcW w:w="5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727</w:t>
            </w:r>
          </w:p>
        </w:tc>
      </w:tr>
      <w:tr>
        <w:trPr>
          <w:trHeight w:val="283"/>
        </w:trPr>
        <w:tc>
          <w:tcPr>
            <w:tcW w:w="628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(294)</w:t>
            </w: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w:t>
            </w: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(1,042)</w:t>
            </w:r>
          </w:p>
        </w:tc>
        <w:tc>
          <w:tcPr>
            <w:tcW w:w="5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(1,087)</w:t>
            </w:r>
          </w:p>
        </w:tc>
      </w:tr>
      <w:tr>
        <w:trPr>
          <w:trHeight w:val="264"/>
        </w:trPr>
        <w:tc>
          <w:tcPr>
            <w:tcW w:w="628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367,763</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370,005</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740,217</w:t>
            </w:r>
          </w:p>
        </w:tc>
        <w:tc>
          <w:tcPr>
            <w:tcW w:w="5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745,504</w:t>
            </w:r>
          </w:p>
        </w:tc>
      </w:tr>
      <w:tr>
        <w:trPr>
          <w:trHeight w:val="251"/>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Income (Loss) from Operations</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25,537</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24,187</w:t>
            </w:r>
          </w:p>
        </w:tc>
        <w:tc>
          <w:tcPr>
            <w:tcW w:w="3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49,822</w:t>
            </w:r>
          </w:p>
        </w:tc>
        <w:tc>
          <w:tcPr>
            <w:tcW w:w="500" w:type="dxa"/>
            <w:vAlign w:val="bottom"/>
          </w:tcPr>
          <w:p>
            <w:pPr>
              <w:jc w:val="center"/>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44,591</w:t>
            </w: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2,721</w:t>
            </w:r>
          </w:p>
        </w:tc>
        <w:tc>
          <w:tcPr>
            <w:tcW w:w="380" w:type="dxa"/>
            <w:vAlign w:val="bottom"/>
          </w:tcPr>
          <w:p>
            <w:pPr>
              <w:spacing w:after="0"/>
              <w:rPr>
                <w:sz w:val="23"/>
                <w:szCs w:val="23"/>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11,219</w:t>
            </w:r>
          </w:p>
        </w:tc>
        <w:tc>
          <w:tcPr>
            <w:tcW w:w="34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4,636</w:t>
            </w:r>
          </w:p>
        </w:tc>
        <w:tc>
          <w:tcPr>
            <w:tcW w:w="5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12,574</w:t>
            </w: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8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4,289</w:t>
            </w:r>
          </w:p>
        </w:tc>
        <w:tc>
          <w:tcPr>
            <w:tcW w:w="380" w:type="dxa"/>
            <w:vAlign w:val="bottom"/>
          </w:tcPr>
          <w:p>
            <w:pPr>
              <w:spacing w:after="0"/>
              <w:rPr>
                <w:sz w:val="23"/>
                <w:szCs w:val="23"/>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6,120</w:t>
            </w:r>
          </w:p>
        </w:tc>
        <w:tc>
          <w:tcPr>
            <w:tcW w:w="34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3,835</w:t>
            </w:r>
          </w:p>
        </w:tc>
        <w:tc>
          <w:tcPr>
            <w:tcW w:w="5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6,641</w:t>
            </w: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8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4,745</w:t>
            </w:r>
          </w:p>
        </w:tc>
        <w:tc>
          <w:tcPr>
            <w:tcW w:w="380" w:type="dxa"/>
            <w:vAlign w:val="bottom"/>
          </w:tcPr>
          <w:p>
            <w:pPr>
              <w:spacing w:after="0"/>
              <w:rPr>
                <w:sz w:val="23"/>
                <w:szCs w:val="23"/>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4,780</w:t>
            </w:r>
          </w:p>
        </w:tc>
        <w:tc>
          <w:tcPr>
            <w:tcW w:w="34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16,004</w:t>
            </w:r>
          </w:p>
        </w:tc>
        <w:tc>
          <w:tcPr>
            <w:tcW w:w="5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14,095</w:t>
            </w: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8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(10,990)</w:t>
            </w: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(8,763)</w:t>
            </w: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(22,394)</w:t>
            </w:r>
          </w:p>
        </w:tc>
        <w:tc>
          <w:tcPr>
            <w:tcW w:w="5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(17,658)</w:t>
            </w:r>
          </w:p>
        </w:tc>
      </w:tr>
      <w:tr>
        <w:trPr>
          <w:trHeight w:val="283"/>
        </w:trPr>
        <w:tc>
          <w:tcPr>
            <w:tcW w:w="628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w:t>
            </w: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w:t>
            </w: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5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w:t>
            </w:r>
          </w:p>
        </w:tc>
      </w:tr>
      <w:tr>
        <w:trPr>
          <w:trHeight w:val="264"/>
        </w:trPr>
        <w:tc>
          <w:tcPr>
            <w:tcW w:w="628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26,305</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37,554</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51,900</w:t>
            </w:r>
          </w:p>
        </w:tc>
        <w:tc>
          <w:tcPr>
            <w:tcW w:w="5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60,254</w:t>
            </w:r>
          </w:p>
        </w:tc>
      </w:tr>
      <w:tr>
        <w:trPr>
          <w:trHeight w:val="251"/>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3,716</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3,764</w:t>
            </w:r>
          </w:p>
        </w:tc>
        <w:tc>
          <w:tcPr>
            <w:tcW w:w="3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7,598</w:t>
            </w:r>
          </w:p>
        </w:tc>
        <w:tc>
          <w:tcPr>
            <w:tcW w:w="500" w:type="dxa"/>
            <w:vAlign w:val="bottom"/>
          </w:tcPr>
          <w:p>
            <w:pPr>
              <w:jc w:val="center"/>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7,738</w:t>
            </w: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629</w:t>
            </w:r>
          </w:p>
        </w:tc>
        <w:tc>
          <w:tcPr>
            <w:tcW w:w="380" w:type="dxa"/>
            <w:vAlign w:val="bottom"/>
          </w:tcPr>
          <w:p>
            <w:pPr>
              <w:spacing w:after="0"/>
              <w:rPr>
                <w:sz w:val="23"/>
                <w:szCs w:val="23"/>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1,274</w:t>
            </w:r>
          </w:p>
        </w:tc>
        <w:tc>
          <w:tcPr>
            <w:tcW w:w="34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1,226</w:t>
            </w:r>
          </w:p>
        </w:tc>
        <w:tc>
          <w:tcPr>
            <w:tcW w:w="5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3,132</w:t>
            </w: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8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779</w:t>
            </w:r>
          </w:p>
        </w:tc>
        <w:tc>
          <w:tcPr>
            <w:tcW w:w="380" w:type="dxa"/>
            <w:vAlign w:val="bottom"/>
          </w:tcPr>
          <w:p>
            <w:pPr>
              <w:spacing w:after="0"/>
              <w:rPr>
                <w:sz w:val="23"/>
                <w:szCs w:val="23"/>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973</w:t>
            </w:r>
          </w:p>
        </w:tc>
        <w:tc>
          <w:tcPr>
            <w:tcW w:w="34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1,584</w:t>
            </w:r>
          </w:p>
        </w:tc>
        <w:tc>
          <w:tcPr>
            <w:tcW w:w="5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1,951</w:t>
            </w: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8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959</w:t>
            </w:r>
          </w:p>
        </w:tc>
        <w:tc>
          <w:tcPr>
            <w:tcW w:w="380" w:type="dxa"/>
            <w:vAlign w:val="bottom"/>
          </w:tcPr>
          <w:p>
            <w:pPr>
              <w:spacing w:after="0"/>
              <w:rPr>
                <w:sz w:val="23"/>
                <w:szCs w:val="23"/>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670</w:t>
            </w:r>
          </w:p>
        </w:tc>
        <w:tc>
          <w:tcPr>
            <w:tcW w:w="34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1,824</w:t>
            </w:r>
          </w:p>
        </w:tc>
        <w:tc>
          <w:tcPr>
            <w:tcW w:w="5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1,312</w:t>
            </w:r>
          </w:p>
        </w:tc>
      </w:tr>
      <w:tr>
        <w:trPr>
          <w:trHeight w:val="283"/>
        </w:trPr>
        <w:tc>
          <w:tcPr>
            <w:tcW w:w="628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54</w:t>
            </w: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158</w:t>
            </w: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106</w:t>
            </w:r>
          </w:p>
        </w:tc>
        <w:tc>
          <w:tcPr>
            <w:tcW w:w="5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312</w:t>
            </w:r>
          </w:p>
        </w:tc>
      </w:tr>
      <w:tr>
        <w:trPr>
          <w:trHeight w:val="264"/>
        </w:trPr>
        <w:tc>
          <w:tcPr>
            <w:tcW w:w="628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6,137</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6,839</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12,338</w:t>
            </w:r>
          </w:p>
        </w:tc>
        <w:tc>
          <w:tcPr>
            <w:tcW w:w="5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14,445</w:t>
            </w:r>
          </w:p>
        </w:tc>
      </w:tr>
      <w:tr>
        <w:trPr>
          <w:trHeight w:val="251"/>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3,377</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1,663</w:t>
            </w:r>
          </w:p>
        </w:tc>
        <w:tc>
          <w:tcPr>
            <w:tcW w:w="3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6,944</w:t>
            </w:r>
          </w:p>
        </w:tc>
        <w:tc>
          <w:tcPr>
            <w:tcW w:w="500" w:type="dxa"/>
            <w:vAlign w:val="bottom"/>
          </w:tcPr>
          <w:p>
            <w:pPr>
              <w:jc w:val="center"/>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2,812</w:t>
            </w: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Impairment of Long-lived Assets</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693</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693</w:t>
            </w:r>
          </w:p>
        </w:tc>
        <w:tc>
          <w:tcPr>
            <w:tcW w:w="500" w:type="dxa"/>
            <w:vAlign w:val="bottom"/>
          </w:tcPr>
          <w:p>
            <w:pPr>
              <w:jc w:val="center"/>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Pension Service Cost</w:t>
            </w: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110</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84</w:t>
            </w:r>
          </w:p>
        </w:tc>
        <w:tc>
          <w:tcPr>
            <w:tcW w:w="3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227</w:t>
            </w:r>
          </w:p>
        </w:tc>
        <w:tc>
          <w:tcPr>
            <w:tcW w:w="500" w:type="dxa"/>
            <w:vAlign w:val="bottom"/>
          </w:tcPr>
          <w:p>
            <w:pPr>
              <w:jc w:val="center"/>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167</w:t>
            </w: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1,102</w:t>
            </w:r>
          </w:p>
        </w:tc>
        <w:tc>
          <w:tcPr>
            <w:tcW w:w="380" w:type="dxa"/>
            <w:vAlign w:val="bottom"/>
          </w:tcPr>
          <w:p>
            <w:pPr>
              <w:spacing w:after="0"/>
              <w:rPr>
                <w:sz w:val="23"/>
                <w:szCs w:val="23"/>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804</w:t>
            </w:r>
          </w:p>
        </w:tc>
        <w:tc>
          <w:tcPr>
            <w:tcW w:w="34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2,265</w:t>
            </w:r>
          </w:p>
        </w:tc>
        <w:tc>
          <w:tcPr>
            <w:tcW w:w="5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2,210</w:t>
            </w: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8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821</w:t>
            </w:r>
          </w:p>
        </w:tc>
        <w:tc>
          <w:tcPr>
            <w:tcW w:w="380" w:type="dxa"/>
            <w:vAlign w:val="bottom"/>
          </w:tcPr>
          <w:p>
            <w:pPr>
              <w:spacing w:after="0"/>
              <w:rPr>
                <w:sz w:val="23"/>
                <w:szCs w:val="23"/>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729</w:t>
            </w:r>
          </w:p>
        </w:tc>
        <w:tc>
          <w:tcPr>
            <w:tcW w:w="34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1,687</w:t>
            </w:r>
          </w:p>
        </w:tc>
        <w:tc>
          <w:tcPr>
            <w:tcW w:w="5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1,458</w:t>
            </w: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8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329</w:t>
            </w:r>
          </w:p>
        </w:tc>
        <w:tc>
          <w:tcPr>
            <w:tcW w:w="380" w:type="dxa"/>
            <w:vAlign w:val="bottom"/>
          </w:tcPr>
          <w:p>
            <w:pPr>
              <w:spacing w:after="0"/>
              <w:rPr>
                <w:sz w:val="23"/>
                <w:szCs w:val="23"/>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290</w:t>
            </w:r>
          </w:p>
        </w:tc>
        <w:tc>
          <w:tcPr>
            <w:tcW w:w="34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677</w:t>
            </w:r>
          </w:p>
        </w:tc>
        <w:tc>
          <w:tcPr>
            <w:tcW w:w="5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580</w:t>
            </w:r>
          </w:p>
        </w:tc>
      </w:tr>
      <w:tr>
        <w:trPr>
          <w:trHeight w:val="283"/>
        </w:trPr>
        <w:tc>
          <w:tcPr>
            <w:tcW w:w="628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160</w:t>
            </w: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330</w:t>
            </w:r>
          </w:p>
        </w:tc>
        <w:tc>
          <w:tcPr>
            <w:tcW w:w="5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127</w:t>
            </w:r>
          </w:p>
        </w:tc>
      </w:tr>
      <w:tr>
        <w:trPr>
          <w:trHeight w:val="264"/>
        </w:trPr>
        <w:tc>
          <w:tcPr>
            <w:tcW w:w="628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2,522</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1,878</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5,186</w:t>
            </w:r>
          </w:p>
        </w:tc>
        <w:tc>
          <w:tcPr>
            <w:tcW w:w="5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4,542</w:t>
            </w:r>
          </w:p>
        </w:tc>
      </w:tr>
    </w:tbl>
    <w:p>
      <w:pPr>
        <w:spacing w:after="0" w:line="200" w:lineRule="exact"/>
        <w:rPr>
          <w:sz w:val="20"/>
          <w:szCs w:val="20"/>
          <w:color w:val="auto"/>
        </w:rPr>
      </w:pPr>
    </w:p>
    <w:p>
      <w:pPr>
        <w:sectPr>
          <w:pgSz w:w="11900" w:h="16838" w:orient="portrait"/>
          <w:cols w:equalWidth="0" w:num="1">
            <w:col w:w="11420"/>
          </w:cols>
          <w:pgMar w:left="240" w:top="719" w:right="239" w:bottom="530" w:gutter="0" w:footer="0" w:header="0"/>
        </w:sectPr>
      </w:pP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719" w:right="239" w:bottom="53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color w:val="auto"/>
        </w:rPr>
        <w:t>Asset information for the Company’s education division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8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June 30, 2019</w:t>
            </w:r>
          </w:p>
        </w:tc>
        <w:tc>
          <w:tcPr>
            <w:tcW w:w="260" w:type="dxa"/>
            <w:vAlign w:val="bottom"/>
          </w:tcPr>
          <w:p>
            <w:pPr>
              <w:spacing w:after="0"/>
              <w:rPr>
                <w:sz w:val="16"/>
                <w:szCs w:val="16"/>
                <w:color w:val="auto"/>
              </w:rPr>
            </w:pPr>
          </w:p>
        </w:tc>
        <w:tc>
          <w:tcPr>
            <w:tcW w:w="1100" w:type="dxa"/>
            <w:vAlign w:val="bottom"/>
          </w:tcPr>
          <w:p>
            <w:pPr>
              <w:jc w:val="right"/>
              <w:ind w:right="101"/>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8"/>
        </w:trPr>
        <w:tc>
          <w:tcPr>
            <w:tcW w:w="8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50"/>
        </w:trPr>
        <w:tc>
          <w:tcPr>
            <w:tcW w:w="8800" w:type="dxa"/>
            <w:vAlign w:val="bottom"/>
          </w:tcPr>
          <w:p>
            <w:pPr>
              <w:ind w:left="40"/>
              <w:spacing w:after="0"/>
              <w:rPr>
                <w:sz w:val="20"/>
                <w:szCs w:val="20"/>
                <w:color w:val="auto"/>
              </w:rPr>
            </w:pPr>
            <w:r>
              <w:rPr>
                <w:rFonts w:ascii="Arial" w:cs="Arial" w:eastAsia="Arial" w:hAnsi="Arial"/>
                <w:sz w:val="16"/>
                <w:szCs w:val="16"/>
                <w:color w:val="auto"/>
              </w:rPr>
              <w:t>Identifiable assets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800" w:type="dxa"/>
            <w:vAlign w:val="bottom"/>
          </w:tcPr>
          <w:p>
            <w:pPr>
              <w:ind w:left="380"/>
              <w:spacing w:after="0"/>
              <w:rPr>
                <w:sz w:val="20"/>
                <w:szCs w:val="20"/>
                <w:color w:val="auto"/>
              </w:rPr>
            </w:pPr>
            <w:r>
              <w:rPr>
                <w:rFonts w:ascii="Arial" w:cs="Arial" w:eastAsia="Arial" w:hAnsi="Arial"/>
                <w:sz w:val="16"/>
                <w:szCs w:val="16"/>
                <w:color w:val="auto"/>
              </w:rPr>
              <w:t>Kaplan international</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1,225,819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1,101,040</w:t>
            </w:r>
          </w:p>
        </w:tc>
        <w:tc>
          <w:tcPr>
            <w:tcW w:w="0" w:type="dxa"/>
            <w:vAlign w:val="bottom"/>
          </w:tcPr>
          <w:p>
            <w:pPr>
              <w:spacing w:after="0"/>
              <w:rPr>
                <w:sz w:val="1"/>
                <w:szCs w:val="1"/>
                <w:color w:val="auto"/>
              </w:rPr>
            </w:pPr>
          </w:p>
        </w:tc>
      </w:tr>
      <w:tr>
        <w:trPr>
          <w:trHeight w:val="270"/>
        </w:trPr>
        <w:tc>
          <w:tcPr>
            <w:tcW w:w="8800" w:type="dxa"/>
            <w:vAlign w:val="bottom"/>
          </w:tcPr>
          <w:p>
            <w:pPr>
              <w:ind w:left="380"/>
              <w:spacing w:after="0"/>
              <w:rPr>
                <w:sz w:val="20"/>
                <w:szCs w:val="20"/>
                <w:color w:val="auto"/>
              </w:rPr>
            </w:pPr>
            <w:r>
              <w:rPr>
                <w:rFonts w:ascii="Arial" w:cs="Arial" w:eastAsia="Arial" w:hAnsi="Arial"/>
                <w:sz w:val="16"/>
                <w:szCs w:val="16"/>
                <w:color w:val="auto"/>
              </w:rPr>
              <w:t>Higher education</w:t>
            </w:r>
          </w:p>
        </w:tc>
        <w:tc>
          <w:tcPr>
            <w:tcW w:w="14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186,623</w:t>
            </w:r>
          </w:p>
        </w:tc>
        <w:tc>
          <w:tcPr>
            <w:tcW w:w="260" w:type="dxa"/>
            <w:vAlign w:val="bottom"/>
          </w:tcPr>
          <w:p>
            <w:pPr>
              <w:spacing w:after="0"/>
              <w:rPr>
                <w:sz w:val="23"/>
                <w:szCs w:val="23"/>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126,752</w:t>
            </w:r>
          </w:p>
        </w:tc>
        <w:tc>
          <w:tcPr>
            <w:tcW w:w="0" w:type="dxa"/>
            <w:vAlign w:val="bottom"/>
          </w:tcPr>
          <w:p>
            <w:pPr>
              <w:spacing w:after="0"/>
              <w:rPr>
                <w:sz w:val="1"/>
                <w:szCs w:val="1"/>
                <w:color w:val="auto"/>
              </w:rPr>
            </w:pPr>
          </w:p>
        </w:tc>
      </w:tr>
      <w:tr>
        <w:trPr>
          <w:trHeight w:val="270"/>
        </w:trPr>
        <w:tc>
          <w:tcPr>
            <w:tcW w:w="8800" w:type="dxa"/>
            <w:vAlign w:val="bottom"/>
          </w:tcPr>
          <w:p>
            <w:pPr>
              <w:ind w:left="380"/>
              <w:spacing w:after="0"/>
              <w:rPr>
                <w:sz w:val="20"/>
                <w:szCs w:val="20"/>
                <w:color w:val="auto"/>
              </w:rPr>
            </w:pPr>
            <w:r>
              <w:rPr>
                <w:rFonts w:ascii="Arial" w:cs="Arial" w:eastAsia="Arial" w:hAnsi="Arial"/>
                <w:sz w:val="16"/>
                <w:szCs w:val="16"/>
                <w:color w:val="auto"/>
              </w:rPr>
              <w:t>Test preparation</w:t>
            </w:r>
          </w:p>
        </w:tc>
        <w:tc>
          <w:tcPr>
            <w:tcW w:w="14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158,612</w:t>
            </w:r>
          </w:p>
        </w:tc>
        <w:tc>
          <w:tcPr>
            <w:tcW w:w="260" w:type="dxa"/>
            <w:vAlign w:val="bottom"/>
          </w:tcPr>
          <w:p>
            <w:pPr>
              <w:spacing w:after="0"/>
              <w:rPr>
                <w:sz w:val="23"/>
                <w:szCs w:val="23"/>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145,308</w:t>
            </w:r>
          </w:p>
        </w:tc>
        <w:tc>
          <w:tcPr>
            <w:tcW w:w="0" w:type="dxa"/>
            <w:vAlign w:val="bottom"/>
          </w:tcPr>
          <w:p>
            <w:pPr>
              <w:spacing w:after="0"/>
              <w:rPr>
                <w:sz w:val="1"/>
                <w:szCs w:val="1"/>
                <w:color w:val="auto"/>
              </w:rPr>
            </w:pPr>
          </w:p>
        </w:tc>
      </w:tr>
      <w:tr>
        <w:trPr>
          <w:trHeight w:val="270"/>
        </w:trPr>
        <w:tc>
          <w:tcPr>
            <w:tcW w:w="8800" w:type="dxa"/>
            <w:vAlign w:val="bottom"/>
          </w:tcPr>
          <w:p>
            <w:pPr>
              <w:ind w:left="380"/>
              <w:spacing w:after="0"/>
              <w:rPr>
                <w:sz w:val="20"/>
                <w:szCs w:val="20"/>
                <w:color w:val="auto"/>
              </w:rPr>
            </w:pPr>
            <w:r>
              <w:rPr>
                <w:rFonts w:ascii="Arial" w:cs="Arial" w:eastAsia="Arial" w:hAnsi="Arial"/>
                <w:sz w:val="16"/>
                <w:szCs w:val="16"/>
                <w:color w:val="auto"/>
              </w:rPr>
              <w:t>Professional (U.S.)</w:t>
            </w:r>
          </w:p>
        </w:tc>
        <w:tc>
          <w:tcPr>
            <w:tcW w:w="14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156,632</w:t>
            </w:r>
          </w:p>
        </w:tc>
        <w:tc>
          <w:tcPr>
            <w:tcW w:w="260" w:type="dxa"/>
            <w:vAlign w:val="bottom"/>
          </w:tcPr>
          <w:p>
            <w:pPr>
              <w:spacing w:after="0"/>
              <w:rPr>
                <w:sz w:val="23"/>
                <w:szCs w:val="23"/>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166,916</w:t>
            </w:r>
          </w:p>
        </w:tc>
        <w:tc>
          <w:tcPr>
            <w:tcW w:w="0" w:type="dxa"/>
            <w:vAlign w:val="bottom"/>
          </w:tcPr>
          <w:p>
            <w:pPr>
              <w:spacing w:after="0"/>
              <w:rPr>
                <w:sz w:val="1"/>
                <w:szCs w:val="1"/>
                <w:color w:val="auto"/>
              </w:rPr>
            </w:pPr>
          </w:p>
        </w:tc>
      </w:tr>
      <w:tr>
        <w:trPr>
          <w:trHeight w:val="283"/>
        </w:trPr>
        <w:tc>
          <w:tcPr>
            <w:tcW w:w="8800" w:type="dxa"/>
            <w:vAlign w:val="bottom"/>
          </w:tcPr>
          <w:p>
            <w:pPr>
              <w:ind w:left="380"/>
              <w:spacing w:after="0"/>
              <w:rPr>
                <w:sz w:val="20"/>
                <w:szCs w:val="20"/>
                <w:color w:val="auto"/>
              </w:rPr>
            </w:pPr>
            <w:r>
              <w:rPr>
                <w:rFonts w:ascii="Arial" w:cs="Arial" w:eastAsia="Arial" w:hAnsi="Arial"/>
                <w:sz w:val="16"/>
                <w:szCs w:val="16"/>
                <w:color w:val="auto"/>
              </w:rPr>
              <w:t>Kaplan corporate and other</w:t>
            </w: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61,373</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28,731</w:t>
            </w:r>
          </w:p>
        </w:tc>
        <w:tc>
          <w:tcPr>
            <w:tcW w:w="0" w:type="dxa"/>
            <w:vAlign w:val="bottom"/>
          </w:tcPr>
          <w:p>
            <w:pPr>
              <w:spacing w:after="0"/>
              <w:rPr>
                <w:sz w:val="1"/>
                <w:szCs w:val="1"/>
                <w:color w:val="auto"/>
              </w:rPr>
            </w:pPr>
          </w:p>
        </w:tc>
      </w:tr>
      <w:tr>
        <w:trPr>
          <w:trHeight w:val="264"/>
        </w:trPr>
        <w:tc>
          <w:tcPr>
            <w:tcW w:w="88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1,789,059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1,568,747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19"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Management’s Discussion and Analysis of Results of Operations and Financial Condition.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This analysis should be read in conjunction with the condensed consolidated financial statements and the notes thereto.</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3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 reported net income attributable to common shares of $57.1 million ($10.65 per share) for the second quarter of 2019, compared to $46.6 million ($8.63 per share) for the second quarter of 2018.</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second quarter of 2019:</w:t>
      </w:r>
    </w:p>
    <w:p>
      <w:pPr>
        <w:spacing w:after="0" w:line="144" w:lineRule="exact"/>
        <w:rPr>
          <w:sz w:val="20"/>
          <w:szCs w:val="20"/>
          <w:color w:val="auto"/>
        </w:rPr>
      </w:pPr>
    </w:p>
    <w:p>
      <w:pPr>
        <w:ind w:left="180" w:right="100" w:hanging="172"/>
        <w:spacing w:after="0" w:line="235"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$7.8 million reduction to operating expenses from property, plant and equipment gains in connection with the spectrum repacking mandate of the FCC (after-tax impact of $6.0 million, or $1.13 per share);</w:t>
      </w:r>
    </w:p>
    <w:p>
      <w:pPr>
        <w:spacing w:after="0" w:line="134" w:lineRule="exact"/>
        <w:rPr>
          <w:rFonts w:ascii="Arial" w:cs="Arial" w:eastAsia="Arial" w:hAnsi="Arial"/>
          <w:sz w:val="18"/>
          <w:szCs w:val="18"/>
          <w:color w:val="auto"/>
        </w:rPr>
      </w:pPr>
    </w:p>
    <w:p>
      <w:pPr>
        <w:ind w:left="180" w:right="40" w:hanging="172"/>
        <w:spacing w:after="0" w:line="235"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$6.6 million in expenses related to a non-operating Separation Incentive Program at the education division (after-tax impact of $5.1 million, or $0.95 per share);</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$7.8 million in net gains on marketable equity securities (after-tax impact of $5.8 million, or $1.09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$0.1 million in non-operating foreign currency gains (after-tax impact of $0.1 million, or $0.02 per share).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second quarter of 2018:</w:t>
      </w:r>
    </w:p>
    <w:p>
      <w:pPr>
        <w:spacing w:after="0" w:line="144" w:lineRule="exact"/>
        <w:rPr>
          <w:sz w:val="20"/>
          <w:szCs w:val="20"/>
          <w:color w:val="auto"/>
        </w:rPr>
      </w:pPr>
    </w:p>
    <w:p>
      <w:pPr>
        <w:ind w:left="180" w:hanging="172"/>
        <w:spacing w:after="0" w:line="235"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$0.8 million reduction to operating expenses from property, plant and equipment gains in connection with the spectrum repacking mandate of the FCC (after-tax impact of $0.6 million, or $0.11 per share);</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$6.2 million in interest expense related to the settlement of a mandatorily redeemable noncontroling interest ($1.14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$11.4 million in debt extinguishment costs (after-tax impact of $8.6 million, or $1.60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$2.6 million in net losses on marketable equity securities (after-tax impact of $1.9 million or $0.36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$2.3 million in non-operating foreign currency losses (after-tax impact of $1.7 million, or $0.32 per share).</w:t>
      </w:r>
    </w:p>
    <w:p>
      <w:pPr>
        <w:spacing w:after="0" w:line="144"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Revenue for the second quarter of 2019 was $737.6 million, up 10% from $672.7 million in the second quarter of 2018, largely due to the acquisition of two automotive dealerships that closed in January 2019. Revenues grew at television broadcasting, healthcare, and SocialCode, partially offset by declines at the education and manufacturing divisions. The Company reported operating income of $58.0 million for the second quarter of 2019, compared to $65.6 million for the second quarter of 2018. The operating income decline is driven by lower earnings in the education and manufacturing divisions, partially offset by improvements in television broadcasting, healthcare and other businesses results.</w:t>
      </w:r>
    </w:p>
    <w:p>
      <w:pPr>
        <w:spacing w:after="0" w:line="137" w:lineRule="exact"/>
        <w:rPr>
          <w:sz w:val="20"/>
          <w:szCs w:val="20"/>
          <w:color w:val="auto"/>
        </w:rPr>
      </w:pPr>
    </w:p>
    <w:p>
      <w:pPr>
        <w:ind w:right="700"/>
        <w:spacing w:after="0" w:line="235" w:lineRule="auto"/>
        <w:rPr>
          <w:sz w:val="20"/>
          <w:szCs w:val="20"/>
          <w:color w:val="auto"/>
        </w:rPr>
      </w:pPr>
      <w:r>
        <w:rPr>
          <w:rFonts w:ascii="Arial" w:cs="Arial" w:eastAsia="Arial" w:hAnsi="Arial"/>
          <w:sz w:val="18"/>
          <w:szCs w:val="18"/>
          <w:color w:val="auto"/>
        </w:rPr>
        <w:t>For the first six months of 2019, the Company reported net income attributable to common shares of $138.8 million ($25.91 per share), compared to $89.5 million ($16.40 per share) for the first six months of 2018.</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six months of 2019:</w:t>
      </w:r>
    </w:p>
    <w:p>
      <w:pPr>
        <w:spacing w:after="0" w:line="144" w:lineRule="exact"/>
        <w:rPr>
          <w:sz w:val="20"/>
          <w:szCs w:val="20"/>
          <w:color w:val="auto"/>
        </w:rPr>
      </w:pPr>
    </w:p>
    <w:p>
      <w:pPr>
        <w:ind w:left="180" w:right="100" w:hanging="172"/>
        <w:spacing w:after="0" w:line="235"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$9.6 million reduction to operating expenses from property, plant and equipment gains in connection with the spectrum repacking mandate of the FCC (after-tax impact of $7.4 million, or $1.38 per share);</w:t>
      </w:r>
    </w:p>
    <w:p>
      <w:pPr>
        <w:spacing w:after="0" w:line="134" w:lineRule="exact"/>
        <w:rPr>
          <w:rFonts w:ascii="Arial" w:cs="Arial" w:eastAsia="Arial" w:hAnsi="Arial"/>
          <w:sz w:val="18"/>
          <w:szCs w:val="18"/>
          <w:color w:val="auto"/>
        </w:rPr>
      </w:pPr>
    </w:p>
    <w:p>
      <w:pPr>
        <w:ind w:left="180" w:right="40" w:hanging="172"/>
        <w:spacing w:after="0" w:line="235"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$6.6 million in expenses related to a non-operating Separation Incentive Program at the education division (after-tax impact of $5.1 million, or $0.95 per share);</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$31.9 million in net gains on marketable equity securities (after-tax impact of $23.9 million, or $4.46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$29.0 million gain from the sale of Gimlet Media (after-tax impact of $21.7 million, or $4.06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$0.6 million in non-operating foreign currency gains (after-tax impact of $0.5 million, or $0.09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$1.7 million in income tax benefits related to stock compensation ($0.32 per share).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97"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Items included in the Company’s net income for the six months of 2018:</w:t>
      </w:r>
    </w:p>
    <w:p>
      <w:pPr>
        <w:spacing w:after="0" w:line="144" w:lineRule="exact"/>
        <w:rPr>
          <w:sz w:val="20"/>
          <w:szCs w:val="20"/>
          <w:color w:val="auto"/>
        </w:rPr>
      </w:pPr>
    </w:p>
    <w:p>
      <w:pPr>
        <w:ind w:left="180" w:right="100" w:hanging="172"/>
        <w:spacing w:after="0" w:line="235"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$1.1 million reduction to operating expenses from property, plant and equipment gains in connection with the spectrum repacking mandate of the FCC (after-tax impact of $0.8 million, or $0.15 per share);</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$6.2 million in interest expense related to the settlement of a mandatorily redeemable noncontrolling interest ($1.14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$11.4 million in debt extinguishment costs (after-tax impact of $8.6 million, or $1.60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$16.7 million in net losses on marketable equity securities (after-tax impact of $12.7 million, or $2.30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$4.3 million gain on the Kaplan University Transaction (after-tax impact of $1.8 million, or $0.33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$2.1 million in non-operating foreign currency losses (after-tax impact of $1.6 million, or $0.30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$1.8 million in income tax benefits related to stock compensation ($0.33 per share).</w:t>
      </w:r>
    </w:p>
    <w:p>
      <w:pPr>
        <w:spacing w:after="0" w:line="144"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Revenue for the first six months of 2019 was $1,429.8 million, up 7% from $1,332.1 million in the first six months of 2018, largely due to the acquisition of two automotive dealerships that closed in January 2019. Revenues grew at television broadcasting, healthcare and SocialCode, partially offset by declines at the education and manufacturing divisions. The Company reported operating income of $98.0 million for the first six months of 2019, compared to $109.8 million for the first six months of 2018. Operating results declined at the education, television broadcasting and manufacturing businesses, partially offset by improvements at healthcare and other businesses.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Education division revenue totaled $367.8 million for the second quarter of 2019, down 1% from $370.0 million for the same period of 2018.</w:t>
      </w:r>
    </w:p>
    <w:p>
      <w:pPr>
        <w:spacing w:after="0"/>
        <w:rPr>
          <w:sz w:val="20"/>
          <w:szCs w:val="20"/>
          <w:color w:val="auto"/>
        </w:rPr>
      </w:pPr>
      <w:r>
        <w:rPr>
          <w:rFonts w:ascii="Arial" w:cs="Arial" w:eastAsia="Arial" w:hAnsi="Arial"/>
          <w:sz w:val="18"/>
          <w:szCs w:val="18"/>
          <w:color w:val="auto"/>
        </w:rPr>
        <w:t>Kaplan reported operating income of $26.3 million for the second quarter of 2019, down 30% from $37.6 million for the second quarter of 2018.</w:t>
      </w:r>
    </w:p>
    <w:p>
      <w:pPr>
        <w:spacing w:after="0" w:line="144"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For the first six months of 2019, education division revenue totaled $740.2 million, down 1% from revenue of $745.5 million for the same period of 2018. Kaplan reported operating income of $51.9 million for the first six months of 2019, a 14% decline from $60.3 million for the first six months of 2018.</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Six Months Ended</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2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2018</w:t>
            </w:r>
          </w:p>
        </w:tc>
        <w:tc>
          <w:tcPr>
            <w:tcW w:w="14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 Change</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2018</w:t>
            </w:r>
          </w:p>
        </w:tc>
        <w:tc>
          <w:tcPr>
            <w:tcW w:w="14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50"/>
        </w:trPr>
        <w:tc>
          <w:tcPr>
            <w:tcW w:w="328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60"/>
              <w:spacing w:after="0"/>
              <w:rPr>
                <w:sz w:val="20"/>
                <w:szCs w:val="20"/>
                <w:color w:val="auto"/>
              </w:rPr>
            </w:pPr>
            <w:r>
              <w:rPr>
                <w:rFonts w:ascii="Arial" w:cs="Arial" w:eastAsia="Arial" w:hAnsi="Arial"/>
                <w:sz w:val="16"/>
                <w:szCs w:val="16"/>
                <w:b w:val="1"/>
                <w:bCs w:val="1"/>
                <w:color w:val="auto"/>
              </w:rPr>
              <w:t>188,580</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184,303</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2</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374,336</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367,885</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70"/>
        </w:trPr>
        <w:tc>
          <w:tcPr>
            <w:tcW w:w="328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300" w:type="dxa"/>
            <w:vAlign w:val="bottom"/>
          </w:tcPr>
          <w:p>
            <w:pPr>
              <w:spacing w:after="0"/>
              <w:rPr>
                <w:sz w:val="23"/>
                <w:szCs w:val="23"/>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b w:val="1"/>
                <w:bCs w:val="1"/>
                <w:color w:val="auto"/>
              </w:rPr>
              <w:t>76,288</w:t>
            </w:r>
          </w:p>
        </w:tc>
        <w:tc>
          <w:tcPr>
            <w:tcW w:w="44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85,981</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(11)</w:t>
            </w:r>
          </w:p>
        </w:tc>
        <w:tc>
          <w:tcPr>
            <w:tcW w:w="3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159,068</w:t>
            </w:r>
          </w:p>
        </w:tc>
        <w:tc>
          <w:tcPr>
            <w:tcW w:w="42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185,811</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70"/>
        </w:trPr>
        <w:tc>
          <w:tcPr>
            <w:tcW w:w="328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300" w:type="dxa"/>
            <w:vAlign w:val="bottom"/>
          </w:tcPr>
          <w:p>
            <w:pPr>
              <w:spacing w:after="0"/>
              <w:rPr>
                <w:sz w:val="23"/>
                <w:szCs w:val="23"/>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b w:val="1"/>
                <w:bCs w:val="1"/>
                <w:color w:val="auto"/>
              </w:rPr>
              <w:t>65,673</w:t>
            </w:r>
          </w:p>
        </w:tc>
        <w:tc>
          <w:tcPr>
            <w:tcW w:w="44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68,604</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(4)</w:t>
            </w:r>
          </w:p>
        </w:tc>
        <w:tc>
          <w:tcPr>
            <w:tcW w:w="3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126,823</w:t>
            </w:r>
          </w:p>
        </w:tc>
        <w:tc>
          <w:tcPr>
            <w:tcW w:w="42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127,755</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328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300" w:type="dxa"/>
            <w:vAlign w:val="bottom"/>
          </w:tcPr>
          <w:p>
            <w:pPr>
              <w:spacing w:after="0"/>
              <w:rPr>
                <w:sz w:val="23"/>
                <w:szCs w:val="23"/>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b w:val="1"/>
                <w:bCs w:val="1"/>
                <w:color w:val="auto"/>
              </w:rPr>
              <w:t>35,147</w:t>
            </w:r>
          </w:p>
        </w:tc>
        <w:tc>
          <w:tcPr>
            <w:tcW w:w="44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31,057</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13</w:t>
            </w:r>
          </w:p>
        </w:tc>
        <w:tc>
          <w:tcPr>
            <w:tcW w:w="3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76,361</w:t>
            </w:r>
          </w:p>
        </w:tc>
        <w:tc>
          <w:tcPr>
            <w:tcW w:w="42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64,413</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70"/>
        </w:trPr>
        <w:tc>
          <w:tcPr>
            <w:tcW w:w="328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300" w:type="dxa"/>
            <w:vAlign w:val="bottom"/>
          </w:tcPr>
          <w:p>
            <w:pPr>
              <w:spacing w:after="0"/>
              <w:rPr>
                <w:sz w:val="23"/>
                <w:szCs w:val="23"/>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b w:val="1"/>
                <w:bCs w:val="1"/>
                <w:color w:val="auto"/>
              </w:rPr>
              <w:t>2,369</w:t>
            </w:r>
          </w:p>
        </w:tc>
        <w:tc>
          <w:tcPr>
            <w:tcW w:w="44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442</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4,671</w:t>
            </w:r>
          </w:p>
        </w:tc>
        <w:tc>
          <w:tcPr>
            <w:tcW w:w="42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727</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328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(294)</w:t>
            </w: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(1,042)</w:t>
            </w: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(1,087)</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3280" w:type="dxa"/>
            <w:vAlign w:val="bottom"/>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367,763</w:t>
            </w:r>
          </w:p>
        </w:tc>
        <w:tc>
          <w:tcPr>
            <w:tcW w:w="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370,005</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740,217</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745,504</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32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60"/>
              <w:spacing w:after="0"/>
              <w:rPr>
                <w:sz w:val="20"/>
                <w:szCs w:val="20"/>
                <w:color w:val="auto"/>
              </w:rPr>
            </w:pPr>
            <w:r>
              <w:rPr>
                <w:rFonts w:ascii="Arial" w:cs="Arial" w:eastAsia="Arial" w:hAnsi="Arial"/>
                <w:sz w:val="16"/>
                <w:szCs w:val="16"/>
                <w:b w:val="1"/>
                <w:bCs w:val="1"/>
                <w:color w:val="auto"/>
              </w:rPr>
              <w:t>25,537</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24,187</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6</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49,822</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44,591</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70"/>
        </w:trPr>
        <w:tc>
          <w:tcPr>
            <w:tcW w:w="328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300" w:type="dxa"/>
            <w:vAlign w:val="bottom"/>
          </w:tcPr>
          <w:p>
            <w:pPr>
              <w:spacing w:after="0"/>
              <w:rPr>
                <w:sz w:val="23"/>
                <w:szCs w:val="23"/>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b w:val="1"/>
                <w:bCs w:val="1"/>
                <w:color w:val="auto"/>
              </w:rPr>
              <w:t>2,721</w:t>
            </w:r>
          </w:p>
        </w:tc>
        <w:tc>
          <w:tcPr>
            <w:tcW w:w="44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11,219</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(76)</w:t>
            </w:r>
          </w:p>
        </w:tc>
        <w:tc>
          <w:tcPr>
            <w:tcW w:w="3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4,636</w:t>
            </w:r>
          </w:p>
        </w:tc>
        <w:tc>
          <w:tcPr>
            <w:tcW w:w="42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12,574</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70"/>
        </w:trPr>
        <w:tc>
          <w:tcPr>
            <w:tcW w:w="328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300" w:type="dxa"/>
            <w:vAlign w:val="bottom"/>
          </w:tcPr>
          <w:p>
            <w:pPr>
              <w:spacing w:after="0"/>
              <w:rPr>
                <w:sz w:val="23"/>
                <w:szCs w:val="23"/>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b w:val="1"/>
                <w:bCs w:val="1"/>
                <w:color w:val="auto"/>
              </w:rPr>
              <w:t>4,289</w:t>
            </w:r>
          </w:p>
        </w:tc>
        <w:tc>
          <w:tcPr>
            <w:tcW w:w="44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6,120</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(30)</w:t>
            </w:r>
          </w:p>
        </w:tc>
        <w:tc>
          <w:tcPr>
            <w:tcW w:w="3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3,835</w:t>
            </w:r>
          </w:p>
        </w:tc>
        <w:tc>
          <w:tcPr>
            <w:tcW w:w="42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6,641</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70"/>
        </w:trPr>
        <w:tc>
          <w:tcPr>
            <w:tcW w:w="328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300" w:type="dxa"/>
            <w:vAlign w:val="bottom"/>
          </w:tcPr>
          <w:p>
            <w:pPr>
              <w:spacing w:after="0"/>
              <w:rPr>
                <w:sz w:val="23"/>
                <w:szCs w:val="23"/>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b w:val="1"/>
                <w:bCs w:val="1"/>
                <w:color w:val="auto"/>
              </w:rPr>
              <w:t>4,745</w:t>
            </w:r>
          </w:p>
        </w:tc>
        <w:tc>
          <w:tcPr>
            <w:tcW w:w="44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4,780</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16,004</w:t>
            </w:r>
          </w:p>
        </w:tc>
        <w:tc>
          <w:tcPr>
            <w:tcW w:w="42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14,095</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70"/>
        </w:trPr>
        <w:tc>
          <w:tcPr>
            <w:tcW w:w="328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(6,920)</w:t>
            </w: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(7,100)</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(14,757)</w:t>
            </w:r>
          </w:p>
        </w:tc>
        <w:tc>
          <w:tcPr>
            <w:tcW w:w="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(14,846)</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328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(3,377)</w:t>
            </w: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(1,663)</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(6,944)</w:t>
            </w:r>
          </w:p>
        </w:tc>
        <w:tc>
          <w:tcPr>
            <w:tcW w:w="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(2,812)</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280" w:type="dxa"/>
            <w:vAlign w:val="bottom"/>
          </w:tcPr>
          <w:p>
            <w:pPr>
              <w:ind w:left="280"/>
              <w:spacing w:after="0"/>
              <w:rPr>
                <w:sz w:val="20"/>
                <w:szCs w:val="20"/>
                <w:color w:val="auto"/>
              </w:rPr>
            </w:pPr>
            <w:r>
              <w:rPr>
                <w:rFonts w:ascii="Arial" w:cs="Arial" w:eastAsia="Arial" w:hAnsi="Arial"/>
                <w:sz w:val="16"/>
                <w:szCs w:val="16"/>
                <w:color w:val="auto"/>
              </w:rPr>
              <w:t>Impairment of long-lived assets</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(693)</w:t>
            </w:r>
          </w:p>
        </w:tc>
        <w:tc>
          <w:tcPr>
            <w:tcW w:w="44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(693)</w:t>
            </w:r>
          </w:p>
        </w:tc>
        <w:tc>
          <w:tcPr>
            <w:tcW w:w="42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328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w:t>
            </w: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3280" w:type="dxa"/>
            <w:vAlign w:val="bottom"/>
          </w:tcPr>
          <w:p>
            <w:pPr>
              <w:spacing w:after="0"/>
              <w:rPr>
                <w:sz w:val="23"/>
                <w:szCs w:val="23"/>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26,305</w:t>
            </w:r>
          </w:p>
        </w:tc>
        <w:tc>
          <w:tcPr>
            <w:tcW w:w="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37,554</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(30)</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51,900</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60,254</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United States. Kaplan International revenue increased 2% for both the second quarter and first six months of 2019. On a constant currency basis, revenue increased 5% and 6% for the second quarter and first six months of 2019, respectively. Operating income increased to $25.5 million in the second quarter of 2019, compared to $24.2 million in the second quarter of 2018. Operating income increased to $49.8 million in</w:t>
      </w:r>
    </w:p>
    <w:p>
      <w:pPr>
        <w:sectPr>
          <w:pgSz w:w="11900" w:h="16838" w:orient="portrait"/>
          <w:cols w:equalWidth="0" w:num="1">
            <w:col w:w="11420"/>
          </w:cols>
          <w:pgMar w:left="240" w:top="719" w:right="2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719" w:right="239" w:bottom="1440" w:gutter="0" w:footer="0" w:header="0"/>
          <w:type w:val="continuous"/>
        </w:sectPr>
      </w:pPr>
    </w:p>
    <w:bookmarkStart w:id="30" w:name="page31"/>
    <w:bookmarkEnd w:id="30"/>
    <w:p>
      <w:pPr>
        <w:ind w:right="700"/>
        <w:spacing w:after="0" w:line="235" w:lineRule="auto"/>
        <w:rPr>
          <w:sz w:val="20"/>
          <w:szCs w:val="20"/>
          <w:color w:val="auto"/>
        </w:rPr>
      </w:pPr>
      <w:r>
        <w:rPr>
          <w:rFonts w:ascii="Arial" w:cs="Arial" w:eastAsia="Arial" w:hAnsi="Arial"/>
          <w:sz w:val="18"/>
          <w:szCs w:val="18"/>
          <w:color w:val="auto"/>
        </w:rPr>
        <w:t>the first six months of 2019, compared to $44.6 million in the first six months of 2018. Revenue and operating income increased due to improved results at Pathways and UK Professional, offset by declines in Singapore and English Language training.</w:t>
      </w:r>
    </w:p>
    <w:p>
      <w:pPr>
        <w:spacing w:after="0" w:line="135" w:lineRule="exact"/>
        <w:rPr>
          <w:sz w:val="20"/>
          <w:szCs w:val="20"/>
          <w:color w:val="auto"/>
        </w:rPr>
      </w:pPr>
    </w:p>
    <w:p>
      <w:pPr>
        <w:ind w:right="160"/>
        <w:spacing w:after="0" w:line="223" w:lineRule="auto"/>
        <w:rPr>
          <w:sz w:val="20"/>
          <w:szCs w:val="20"/>
          <w:color w:val="auto"/>
        </w:rPr>
      </w:pPr>
      <w:r>
        <w:rPr>
          <w:rFonts w:ascii="Arial" w:cs="Arial" w:eastAsia="Arial" w:hAnsi="Arial"/>
          <w:sz w:val="18"/>
          <w:szCs w:val="18"/>
          <w:color w:val="auto"/>
        </w:rPr>
        <w:t>In November 2018, Kaplan Learning Institute in Singapore (KLI) was notified by SkillsFuture Singapore (SSG), a statutory board under the Singapore Ministry of Education, that its right to deliver workforce skills qualifications (WSQ) courses under the Leadership &amp; People Management framework would be suspended for six months from December 1, 2018. In June 2019, SSG notified KLI that from July 1, 2019, SSG was suspending KLI’s WSQ Approved Training Organization status for twelve months and terminating its WSQ course accreditation and funding due to findings of non-compliance with WSQ assessment principles. Kaplan Singapore subsequently began voluntarily de-registering KLI as a Private Education institution. These actions have and will continue to adversely impact Kaplan Singapore’s revenues and operating results for 2019, as compared to 2018.</w:t>
      </w:r>
    </w:p>
    <w:p>
      <w:pPr>
        <w:spacing w:after="0" w:line="139" w:lineRule="exact"/>
        <w:rPr>
          <w:sz w:val="20"/>
          <w:szCs w:val="20"/>
          <w:color w:val="auto"/>
        </w:rPr>
      </w:pPr>
    </w:p>
    <w:p>
      <w:pPr>
        <w:ind w:right="60"/>
        <w:spacing w:after="0" w:line="222" w:lineRule="auto"/>
        <w:rPr>
          <w:sz w:val="20"/>
          <w:szCs w:val="20"/>
          <w:color w:val="auto"/>
        </w:rPr>
      </w:pPr>
      <w:r>
        <w:rPr>
          <w:rFonts w:ascii="Arial" w:cs="Arial" w:eastAsia="Arial" w:hAnsi="Arial"/>
          <w:sz w:val="18"/>
          <w:szCs w:val="18"/>
          <w:color w:val="auto"/>
        </w:rPr>
        <w:t>Prior to the KU Transaction closing on March 22, 2018, Higher Education included Kaplan’s domestic postsecondary education businesses, made up of fixed-facility colleges and online postsecondary and career programs. Following the KU Transaction closing, the Higher Education division includes the results as a service provider to higher education institutions. In the second quarter and first six months of 2019, Higher Education revenue was down 11% and 14%, respectively, due to the KU Transaction. In the first six months of 2019, the Company recorded a portion of the service fee with Purdue Global based on an assessment of its collectability under the TOSA. This resulted in a decline in Higher Education results for the first six months of 2019, as the Company recorded the full service fee for Purdue Global for the first six months of 2018. Following the transition from KU, Purdue Global launched a planned marketing campaign to fully establish its new brand. This significant marketing spend, which the Company supports, impacts the cash generated by Purdue Global and its current ability to fully pay the KHE service fee under the TOSA. The Company will continue to assess the collectability of the service fee with Purdue Global on a quarterly basis to make a determination as to whether to record all or part of the service fee in the future and whether to make adjustments to service fee amounts recognized in earlier periods.</w:t>
      </w:r>
    </w:p>
    <w:p>
      <w:pPr>
        <w:spacing w:after="0" w:line="136"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Kaplan Test Preparation (KTP) includes Kaplan’s standardized test preparation programs. In September 2018, KTP acquired the test preparation and study guide assets of Barron’s Educational Series, a New York-based education publishing company. KTP revenue decreased 4% and 1% for the second quarter and first six months of 2019, respectively. Excluding revenue from the Barron’s acquisition, revenues were down 11% and 8%, respectively, due to declines in demand for classroom-based offerings, offset in part by growth in online-based programs. KTP operating results declined 30% and 42% in the second quarter and first six months of 2019, respectively, due primarily to revenue declines for classroom-based offerings. Operating losses for the new economy skills training programs were $2.0 million and $1.8 million for the first six months of 2019 and 2018, respectively.</w:t>
      </w:r>
    </w:p>
    <w:p>
      <w:pPr>
        <w:spacing w:after="0" w:line="139" w:lineRule="exact"/>
        <w:rPr>
          <w:sz w:val="20"/>
          <w:szCs w:val="20"/>
          <w:color w:val="auto"/>
        </w:rPr>
      </w:pPr>
    </w:p>
    <w:p>
      <w:pPr>
        <w:jc w:val="both"/>
        <w:ind w:right="100"/>
        <w:spacing w:after="0" w:line="229" w:lineRule="auto"/>
        <w:rPr>
          <w:sz w:val="20"/>
          <w:szCs w:val="20"/>
          <w:color w:val="auto"/>
        </w:rPr>
      </w:pPr>
      <w:r>
        <w:rPr>
          <w:rFonts w:ascii="Arial" w:cs="Arial" w:eastAsia="Arial" w:hAnsi="Arial"/>
          <w:sz w:val="18"/>
          <w:szCs w:val="18"/>
          <w:color w:val="auto"/>
        </w:rPr>
        <w:t>In the second quarter of 2019, the Company approved a Separation Incentive Program (SIP) that will reduce the number of employees at KTP and Higher Education. In connection with the SIP, the Company recorded $6.6 million in non-operating pension expense in the second quarter of 2019.</w:t>
      </w:r>
    </w:p>
    <w:p>
      <w:pPr>
        <w:spacing w:after="0" w:line="137"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Kaplan Professional (U.S.) includes the domestic professional and other continuing education businesses. In the second quarter and first six months of 2019, Kaplan Professional (U.S.) revenue was up 13% and 19%, due to the May 2018 acquisition of Professional Publications, Inc. (PPI), an independent publisher of professional licensing exam review materials that provides engineering, surveying, architecture, and interior design licensure exam review products, and the July 2018 acquisition of College for Financial Planning (CFFP), a provider of financial education and training to individuals through programs of study for professionals pursuing a career in Financial Planning. Kaplan Professional (U.S.) operating results declined in the second quarter of 2019, due to lower demand for real estate and accountancy programs and increased spending for sales and marketing. Kaplan Professional (U.S) operating results increased 14% for the first six months of 2019, due mostly to earnings from PPI and CFFP.</w:t>
      </w:r>
    </w:p>
    <w:p>
      <w:pPr>
        <w:spacing w:after="0" w:line="136"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66"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Revenue at the television broadcasting division increased 2% to $116.6 million in the second quarter of 2019, from $114.1 million in the same period of 2018. The revenue increase is due to $4.8 million in higher retransmission revenues, offset by a $ 3.4 million decrease in political advertising revenue. In the second quarter of 2019 and 2018, the television broadcasting division recorded $7.8 million and $0.8 million, respectively, in reductions to operating expenses related to property, plant and equipment gains due to new equipment received at no cost in connection with the spectrum repacking mandate of the FCC. Operating income for the second quarter of 2019 increased 8% to $44.5 million, from $41.1 million in the same period of 2018, due to increased property, plant and equipment gains, partially offset by higher network fees.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719" w:right="259" w:bottom="1440" w:gutter="0" w:footer="0" w:header="0"/>
        </w:sectPr>
      </w:pPr>
    </w:p>
    <w:bookmarkStart w:id="31" w:name="page32"/>
    <w:bookmarkEnd w:id="31"/>
    <w:p>
      <w:pPr>
        <w:ind w:right="40"/>
        <w:spacing w:after="0" w:line="223" w:lineRule="auto"/>
        <w:rPr>
          <w:sz w:val="20"/>
          <w:szCs w:val="20"/>
          <w:color w:val="auto"/>
        </w:rPr>
      </w:pPr>
      <w:r>
        <w:rPr>
          <w:rFonts w:ascii="Arial" w:cs="Arial" w:eastAsia="Arial" w:hAnsi="Arial"/>
          <w:sz w:val="18"/>
          <w:szCs w:val="18"/>
          <w:color w:val="auto"/>
        </w:rPr>
        <w:t>Revenue at the television broadcasting division increased 1% to $224.9 million in the first six months of 2019, from $222.9 million in the same period of 2018. The revenue increase is due primarily to $14.4 million in higher retransmission revenues, offset by an $8.6 million decrease in 2018 incremental winter Olympics-related advertising revenue at the Company’s NBC stations and a $5.1 million decrease in political advertising revenue. In the first six months of 2019 and 2018, the television broadcasting division recorded $9.6 million and $1.1 million, respectively, in reductions to operating expenses related to non-cash property, plant and equipment gains due to new equipment received at no cost in connection with the spectrum repacking mandate of the FCC. Operating income for the first six months of 2019 decreased 2% to $80.0 million from $81.7 million in the same period of 2018, due to the decline in political advertising revenue, the absence of winter Olympics-related advertising and increased network fees, partially offset by increased property, plant and equipment gains.</w:t>
      </w:r>
    </w:p>
    <w:p>
      <w:pPr>
        <w:spacing w:after="0" w:line="136"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In March 2019, the Company’s television station in Orlando (WKMG) entered into a new network affiliation agreement with CBS that covers the period April 7, 2019 through June 30, 2022.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w:t>
      </w:r>
    </w:p>
    <w:p>
      <w:pPr>
        <w:spacing w:after="0" w:line="166" w:lineRule="exact"/>
        <w:rPr>
          <w:sz w:val="20"/>
          <w:szCs w:val="20"/>
          <w:color w:val="auto"/>
        </w:rPr>
      </w:pPr>
    </w:p>
    <w:p>
      <w:pPr>
        <w:jc w:val="both"/>
        <w:ind w:right="240"/>
        <w:spacing w:after="0" w:line="229" w:lineRule="auto"/>
        <w:rPr>
          <w:sz w:val="20"/>
          <w:szCs w:val="20"/>
          <w:color w:val="auto"/>
        </w:rPr>
      </w:pPr>
      <w:r>
        <w:rPr>
          <w:rFonts w:ascii="Arial" w:cs="Arial" w:eastAsia="Arial" w:hAnsi="Arial"/>
          <w:sz w:val="18"/>
          <w:szCs w:val="18"/>
          <w:color w:val="auto"/>
        </w:rPr>
        <w:t>The Graham Healthcare Group (GHG) provides home health and hospice services in three states. Healthcare revenues increased in the first six months of 2019, largely due to growth in home health and hospice services. The improvement in GHG operating results in 2019 is due to increased revenues and the absence of integration costs and other overall cost reduction in the first six months of 2019.</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Other Businesses’ operating results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gridSpan w:val="3"/>
          </w:tcPr>
          <w:p>
            <w:pPr>
              <w:jc w:val="right"/>
              <w:ind w:right="299"/>
              <w:spacing w:after="0"/>
              <w:rPr>
                <w:sz w:val="20"/>
                <w:szCs w:val="20"/>
                <w:color w:val="auto"/>
              </w:rPr>
            </w:pPr>
            <w:r>
              <w:rPr>
                <w:rFonts w:ascii="Arial" w:cs="Arial" w:eastAsia="Arial" w:hAnsi="Arial"/>
                <w:sz w:val="14"/>
                <w:szCs w:val="14"/>
                <w:b w:val="1"/>
                <w:bCs w:val="1"/>
                <w:color w:val="auto"/>
              </w:rPr>
              <w:t>Three Months Ended</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3"/>
          </w:tcPr>
          <w:p>
            <w:pPr>
              <w:jc w:val="right"/>
              <w:ind w:right="459"/>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6"/>
                <w:szCs w:val="16"/>
                <w:color w:val="auto"/>
              </w:rPr>
            </w:pPr>
          </w:p>
        </w:tc>
      </w:tr>
      <w:tr>
        <w:trPr>
          <w:trHeight w:val="276"/>
        </w:trPr>
        <w:tc>
          <w:tcPr>
            <w:tcW w:w="4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24"/>
                <w:szCs w:val="24"/>
                <w:color w:val="auto"/>
              </w:rPr>
            </w:pPr>
          </w:p>
        </w:tc>
        <w:tc>
          <w:tcPr>
            <w:tcW w:w="1120" w:type="dxa"/>
            <w:vAlign w:val="bottom"/>
          </w:tcPr>
          <w:p>
            <w:pPr>
              <w:jc w:val="right"/>
              <w:ind w:right="4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24"/>
                <w:szCs w:val="24"/>
                <w:color w:val="auto"/>
              </w:rPr>
            </w:pPr>
          </w:p>
        </w:tc>
        <w:tc>
          <w:tcPr>
            <w:tcW w:w="900" w:type="dxa"/>
            <w:vAlign w:val="bottom"/>
          </w:tcPr>
          <w:p>
            <w:pPr>
              <w:jc w:val="right"/>
              <w:ind w:right="240"/>
              <w:spacing w:after="0"/>
              <w:rPr>
                <w:sz w:val="20"/>
                <w:szCs w:val="20"/>
                <w:color w:val="auto"/>
              </w:rPr>
            </w:pPr>
            <w:r>
              <w:rPr>
                <w:rFonts w:ascii="Arial" w:cs="Arial" w:eastAsia="Arial" w:hAnsi="Arial"/>
                <w:sz w:val="14"/>
                <w:szCs w:val="14"/>
                <w:color w:val="auto"/>
              </w:rPr>
              <w:t>%</w:t>
            </w:r>
          </w:p>
        </w:tc>
      </w:tr>
      <w:tr>
        <w:trPr>
          <w:trHeight w:val="264"/>
        </w:trPr>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2018</w:t>
            </w:r>
          </w:p>
        </w:tc>
        <w:tc>
          <w:tcPr>
            <w:tcW w:w="11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Change</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2018</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r>
      <w:tr>
        <w:trPr>
          <w:trHeight w:val="250"/>
        </w:trPr>
        <w:tc>
          <w:tcPr>
            <w:tcW w:w="48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114,873</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126,462</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(9)</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230,030</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243,868</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16,382</w:t>
            </w:r>
          </w:p>
        </w:tc>
        <w:tc>
          <w:tcPr>
            <w:tcW w:w="3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14,770</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11</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29,829</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28,069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w:t>
            </w:r>
          </w:p>
        </w:tc>
      </w:tr>
      <w:tr>
        <w:trPr>
          <w:trHeight w:val="283"/>
        </w:trPr>
        <w:tc>
          <w:tcPr>
            <w:tcW w:w="48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81,359</w:t>
            </w: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9,167</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126,589</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16,000</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48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212,614</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150,399</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41</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386,448</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287,937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34</w:t>
            </w:r>
          </w:p>
        </w:tc>
      </w:tr>
      <w:tr>
        <w:trPr>
          <w:trHeight w:val="251"/>
        </w:trPr>
        <w:tc>
          <w:tcPr>
            <w:tcW w:w="48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110,181</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117,797</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(6)</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222,064</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226,575</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17,357</w:t>
            </w:r>
          </w:p>
        </w:tc>
        <w:tc>
          <w:tcPr>
            <w:tcW w:w="3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16,512</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5</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34,822</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33,592</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w:t>
            </w:r>
          </w:p>
        </w:tc>
      </w:tr>
      <w:tr>
        <w:trPr>
          <w:trHeight w:val="283"/>
        </w:trPr>
        <w:tc>
          <w:tcPr>
            <w:tcW w:w="48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87,272</w:t>
            </w: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17,144</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140,995</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32,519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48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214,810</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151,453</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42</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397,881</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292,686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36</w:t>
            </w:r>
          </w:p>
        </w:tc>
      </w:tr>
      <w:tr>
        <w:trPr>
          <w:trHeight w:val="251"/>
        </w:trPr>
        <w:tc>
          <w:tcPr>
            <w:tcW w:w="48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4,692</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8,665</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(46)</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7,966</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17,293</w:t>
            </w:r>
          </w:p>
        </w:tc>
        <w:tc>
          <w:tcPr>
            <w:tcW w:w="90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b w:val="1"/>
                <w:bCs w:val="1"/>
                <w:color w:val="auto"/>
              </w:rPr>
              <w:t>(975)</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(1,742)</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44</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(4,993)</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(5,523)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10</w:t>
            </w:r>
          </w:p>
        </w:tc>
      </w:tr>
      <w:tr>
        <w:trPr>
          <w:trHeight w:val="283"/>
        </w:trPr>
        <w:tc>
          <w:tcPr>
            <w:tcW w:w="48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(5,913)</w:t>
            </w: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(7,977)</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26</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(14,406)</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(16,519)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13</w:t>
            </w:r>
          </w:p>
        </w:tc>
      </w:tr>
      <w:tr>
        <w:trPr>
          <w:trHeight w:val="264"/>
        </w:trPr>
        <w:tc>
          <w:tcPr>
            <w:tcW w:w="48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(2,196)</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(1,054)</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(11,433)</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51"/>
        </w:trPr>
        <w:tc>
          <w:tcPr>
            <w:tcW w:w="48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2,384</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2,331</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2</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4,817</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4,782</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384</w:t>
            </w:r>
          </w:p>
        </w:tc>
        <w:tc>
          <w:tcPr>
            <w:tcW w:w="3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200</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92</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536</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433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24</w:t>
            </w:r>
          </w:p>
        </w:tc>
      </w:tr>
      <w:tr>
        <w:trPr>
          <w:trHeight w:val="283"/>
        </w:trPr>
        <w:tc>
          <w:tcPr>
            <w:tcW w:w="48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837</w:t>
            </w: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375</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1,485</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750</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98</w:t>
            </w:r>
          </w:p>
        </w:tc>
      </w:tr>
      <w:tr>
        <w:trPr>
          <w:trHeight w:val="264"/>
        </w:trPr>
        <w:tc>
          <w:tcPr>
            <w:tcW w:w="48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3,605</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2,906</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24</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6,838</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5,965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15</w:t>
            </w:r>
          </w:p>
        </w:tc>
      </w:tr>
      <w:tr>
        <w:trPr>
          <w:trHeight w:val="251"/>
        </w:trPr>
        <w:tc>
          <w:tcPr>
            <w:tcW w:w="482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6,528</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5,935</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10</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13,058</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11,871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10</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157</w:t>
            </w:r>
          </w:p>
        </w:tc>
        <w:tc>
          <w:tcPr>
            <w:tcW w:w="3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584</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(73)</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314</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667</w:t>
            </w:r>
          </w:p>
        </w:tc>
        <w:tc>
          <w:tcPr>
            <w:tcW w:w="90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83"/>
        </w:trPr>
        <w:tc>
          <w:tcPr>
            <w:tcW w:w="48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48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6,685</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6,519</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3</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13,372</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12,538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w:t>
            </w:r>
          </w:p>
        </w:tc>
      </w:tr>
      <w:tr>
        <w:trPr>
          <w:trHeight w:val="251"/>
        </w:trPr>
        <w:tc>
          <w:tcPr>
            <w:tcW w:w="482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15</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(21)</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40</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11</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191</w:t>
            </w:r>
          </w:p>
        </w:tc>
        <w:tc>
          <w:tcPr>
            <w:tcW w:w="3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205</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439</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361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22</w:t>
            </w:r>
          </w:p>
        </w:tc>
      </w:tr>
      <w:tr>
        <w:trPr>
          <w:trHeight w:val="283"/>
        </w:trPr>
        <w:tc>
          <w:tcPr>
            <w:tcW w:w="48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161</w:t>
            </w: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154</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5</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362</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270</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34</w:t>
            </w:r>
          </w:p>
        </w:tc>
      </w:tr>
      <w:tr>
        <w:trPr>
          <w:trHeight w:val="264"/>
        </w:trPr>
        <w:tc>
          <w:tcPr>
            <w:tcW w:w="48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367</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378</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(3)</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841</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26</w:t>
            </w:r>
          </w:p>
        </w:tc>
      </w:tr>
    </w:tbl>
    <w:p>
      <w:pPr>
        <w:spacing w:after="0" w:line="148"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Manufacturing includes four businesses: Hoover, a supplier of pressure impregnated kiln-dried lumber and plywood products for fire retardant and preservative applications; Dekko, a manufacturer of electrical workspace solutions, architectural lighting and electrical components and assemblies; Joyce/Dayton, a manufacturer of screw jacks and other linear motion systems; and Forney, a global supplier of products and systems that control and monitor combustion processes in electric utility and industrial applications. In July 2018, Dekko acquired Furnlite, Inc., a Fallston, NC-based manufacturer of power and data solutions for the hospitality and residential furniture industry.</w:t>
      </w:r>
    </w:p>
    <w:p>
      <w:pPr>
        <w:sectPr>
          <w:pgSz w:w="11900" w:h="16838" w:orient="portrait"/>
          <w:cols w:equalWidth="0" w:num="1">
            <w:col w:w="11420"/>
          </w:cols>
          <w:pgMar w:left="240" w:top="719" w:right="239" w:bottom="773"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719" w:right="239" w:bottom="773" w:gutter="0" w:footer="0" w:header="0"/>
          <w:type w:val="continuous"/>
        </w:sectPr>
      </w:pPr>
    </w:p>
    <w:bookmarkStart w:id="32" w:name="page33"/>
    <w:bookmarkEnd w:id="32"/>
    <w:p>
      <w:pPr>
        <w:jc w:val="both"/>
        <w:ind w:right="40"/>
        <w:spacing w:after="0" w:line="227" w:lineRule="auto"/>
        <w:rPr>
          <w:sz w:val="20"/>
          <w:szCs w:val="20"/>
          <w:color w:val="auto"/>
        </w:rPr>
      </w:pPr>
      <w:r>
        <w:rPr>
          <w:rFonts w:ascii="Arial" w:cs="Arial" w:eastAsia="Arial" w:hAnsi="Arial"/>
          <w:sz w:val="18"/>
          <w:szCs w:val="18"/>
          <w:color w:val="auto"/>
        </w:rPr>
        <w:t>Manufacturing revenues declined 9% and 6% in the second quarter and first six months of 2019, respectively, due to a decline at Hoover from lower wood prices, partially offset by increases due to the Furnlite acquisition. Manufacturing operating income declined in the second quarter and first six months of 2019 due largely to increased labor and other operating costs at Hoover and Dekko, along with gains on inventory sales at Hoover in 2018.</w:t>
      </w:r>
    </w:p>
    <w:p>
      <w:pPr>
        <w:spacing w:after="0" w:line="135" w:lineRule="exact"/>
        <w:rPr>
          <w:sz w:val="20"/>
          <w:szCs w:val="20"/>
          <w:color w:val="auto"/>
        </w:rPr>
      </w:pPr>
    </w:p>
    <w:p>
      <w:pPr>
        <w:ind w:right="200"/>
        <w:spacing w:after="0" w:line="225" w:lineRule="auto"/>
        <w:rPr>
          <w:sz w:val="20"/>
          <w:szCs w:val="20"/>
          <w:color w:val="auto"/>
        </w:rPr>
      </w:pPr>
      <w:r>
        <w:rPr>
          <w:rFonts w:ascii="Arial" w:cs="Arial" w:eastAsia="Arial" w:hAnsi="Arial"/>
          <w:sz w:val="18"/>
          <w:szCs w:val="18"/>
          <w:color w:val="auto"/>
        </w:rPr>
        <w:t>SocialCode is a provider of marketing solutions on social, mobile and video platforms. In the third quarter of 2018, SocialCode acquired Marketplace Strategy, a Cleveland-based Amazon sales acceleration agency. SocialCode’s revenue increased 11% and 6% in the second quarter and first six months of 2019, respectively. SocialCode reported operating losses of $1.0 million and $5.0 million in the second quarter and first six months of 2019, respectively, compared to $1.7 million and $5.5 million in the second quarter and first six months of 2018, respectively.</w:t>
      </w:r>
    </w:p>
    <w:p>
      <w:pPr>
        <w:spacing w:after="0" w:line="137" w:lineRule="exact"/>
        <w:rPr>
          <w:sz w:val="20"/>
          <w:szCs w:val="20"/>
          <w:color w:val="auto"/>
        </w:rPr>
      </w:pPr>
    </w:p>
    <w:p>
      <w:pPr>
        <w:ind w:right="240"/>
        <w:spacing w:after="0" w:line="225" w:lineRule="auto"/>
        <w:rPr>
          <w:sz w:val="20"/>
          <w:szCs w:val="20"/>
          <w:color w:val="auto"/>
        </w:rPr>
      </w:pPr>
      <w:r>
        <w:rPr>
          <w:rFonts w:ascii="Arial" w:cs="Arial" w:eastAsia="Arial" w:hAnsi="Arial"/>
          <w:sz w:val="18"/>
          <w:szCs w:val="18"/>
          <w:color w:val="auto"/>
        </w:rPr>
        <w:t>On January 31, 2019, the Company acquired two automotive dealerships, Lexus of Rockville and Honda of Tysons Corner, from Sonic Automotive. The Company also announced it had entered into an agreement with Christopher J. Ourisman, a member of the Ourisman Automotive Group family of dealerships. Mr. Ourisman and his team of industry professionals operate and manage the dealerships. Graham Holdings Company holds a 90% stake. Revenues from other businesses increased due mostly to the automotive dealership acquisition. Operating results from other businesses also improved in the first six months of 2019, due partly to the acquisition.</w:t>
      </w:r>
    </w:p>
    <w:p>
      <w:pPr>
        <w:spacing w:after="0" w:line="137" w:lineRule="exact"/>
        <w:rPr>
          <w:sz w:val="20"/>
          <w:szCs w:val="20"/>
          <w:color w:val="auto"/>
        </w:rPr>
      </w:pPr>
    </w:p>
    <w:p>
      <w:pPr>
        <w:jc w:val="both"/>
        <w:ind w:right="60"/>
        <w:spacing w:after="0" w:line="229" w:lineRule="auto"/>
        <w:rPr>
          <w:sz w:val="20"/>
          <w:szCs w:val="20"/>
          <w:color w:val="auto"/>
        </w:rPr>
      </w:pPr>
      <w:r>
        <w:rPr>
          <w:rFonts w:ascii="Arial" w:cs="Arial" w:eastAsia="Arial" w:hAnsi="Arial"/>
          <w:sz w:val="18"/>
          <w:szCs w:val="18"/>
          <w:color w:val="auto"/>
        </w:rPr>
        <w:t>Other businesses also includes Slate and Foreign Policy, which publish online and print magazines and websites; and three investment stage businesses, Megaphone, Pinna and CyberVista. Megaphone, Slate and CyberVista reported revenue increases in the first six months of 2019. Losses from each of these five businesses in the first six months of 2019 adversely affected operating results.</w:t>
      </w:r>
    </w:p>
    <w:p>
      <w:pPr>
        <w:spacing w:after="0" w:line="137"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On July 31, 2019, the Company announced the closing on its acquisition of Clyde’s Restaurant Group (CRG). CRG owns and operates thirteen restaurants and entertainment venues in the Washington, DC metropolitan area, including Old Ebbitt Grill and The Hamilton, two of the top twenty highest grossing independent restaurants in the United States. CRG will be managed by its existing management team as a wholly-owned subsidiary of the Company.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66" w:lineRule="exact"/>
        <w:rPr>
          <w:sz w:val="20"/>
          <w:szCs w:val="20"/>
          <w:color w:val="auto"/>
        </w:rPr>
      </w:pPr>
    </w:p>
    <w:p>
      <w:pPr>
        <w:ind w:right="840"/>
        <w:spacing w:after="0" w:line="235" w:lineRule="auto"/>
        <w:rPr>
          <w:sz w:val="20"/>
          <w:szCs w:val="20"/>
          <w:color w:val="auto"/>
        </w:rPr>
      </w:pPr>
      <w:r>
        <w:rPr>
          <w:rFonts w:ascii="Arial" w:cs="Arial" w:eastAsia="Arial" w:hAnsi="Arial"/>
          <w:sz w:val="18"/>
          <w:szCs w:val="18"/>
          <w:color w:val="auto"/>
        </w:rPr>
        <w:t>Corporate office includes the expenses of the Company’s corporate office and certain continuing obligations related to prior business dispositions.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Earnings of Affiliates</w:t>
      </w:r>
    </w:p>
    <w:p>
      <w:pPr>
        <w:spacing w:after="0" w:line="166"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At June 30, 2019, the Company held an 11% interest in Intersection Holdings, LLC, a company that provides digital marketing and advertising services and products for cities, transit systems, airports, and other public and private spaces. The Company also holds interests in a number of home health and hospice joint ventures, and several other affiliates. The Company recorded equity in earnings of affiliates of $1.5 million for the second quarter of 2019, compared to $0.9 million for the second quarter of 2018. The Company recorded $3.1 million for the first six months of 2019, compared to $3.5 million for the first six months of 2018.</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Debt Extinguishment Costs and Related Balances</w:t>
      </w:r>
    </w:p>
    <w:p>
      <w:pPr>
        <w:spacing w:after="0" w:line="166"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In connection with the auto dealership acquisition that closed on January 31, 2019, a subsidiary of the Company borrowed $30 million to finance a portion of the acquisition and entered into an interest rate swap to fix the interest rate on the debt at 4.7% per annum. The subsidiary is required to repay the loan over a 10-year period by making monthly installment payments.</w:t>
      </w:r>
    </w:p>
    <w:p>
      <w:pPr>
        <w:spacing w:after="0" w:line="137" w:lineRule="exact"/>
        <w:rPr>
          <w:sz w:val="20"/>
          <w:szCs w:val="20"/>
          <w:color w:val="auto"/>
        </w:rPr>
      </w:pPr>
    </w:p>
    <w:p>
      <w:pPr>
        <w:ind w:right="200"/>
        <w:spacing w:after="0" w:line="227" w:lineRule="auto"/>
        <w:rPr>
          <w:sz w:val="20"/>
          <w:szCs w:val="20"/>
          <w:color w:val="auto"/>
        </w:rPr>
      </w:pPr>
      <w:r>
        <w:rPr>
          <w:rFonts w:ascii="Arial" w:cs="Arial" w:eastAsia="Arial" w:hAnsi="Arial"/>
          <w:sz w:val="18"/>
          <w:szCs w:val="18"/>
          <w:color w:val="auto"/>
        </w:rPr>
        <w:t>On May 30, 2018, the Company issued 5.75% unsecured eight-year fixed-rate notes due June 1, 2026. Interest is payable semi-annually on June 1 and December 1. On June 29, 2018, the Company used the net proceeds from the sale of the notes and other cash to repay $400 million of 7.25% notes that were due February 1, 2019. The Company incurred $11.4 million in debt extinguishment costs related to the early termination of the 7.25% notes.</w:t>
      </w:r>
    </w:p>
    <w:p>
      <w:pPr>
        <w:spacing w:after="0" w:line="135"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The Company incurred net interest expense of $6.8 million and $12.5 million for the second quarter and first six months of 2019, respectively, compared to $15.3 million and $22.0 million for the second quarter and first six months of 2018, respectively. The Company incurred $6.2 million in interest expense related to the mandatorily redeemable noncontrolling interest at the Graham Healthcare Group settled in the second quarter of 2018. The higher interest expense in 2018 is also due to both the $400 million eight-year and ten-year notes outstanding for the month of June 2018.</w:t>
      </w:r>
    </w:p>
    <w:p>
      <w:pPr>
        <w:spacing w:after="0" w:line="137"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At June 30, 2019, the Company had $506.4 million in borrowings outstanding at an average interest rate of 5.1% and cash, marketable equity securities and other investments of $724.5 million.</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719" w:right="2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auto"/>
        </w:rPr>
        <w:t>Non-operating Pension and Postretirement Benefit Income, net</w:t>
      </w:r>
    </w:p>
    <w:p>
      <w:pPr>
        <w:spacing w:after="0" w:line="166"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The Company recorded net non-operating pension and postretirement benefit income of $12.3 million and $32.2 million for the second quarter and first six months of 2019, respectively, compared to $23.0 million and $44.4 million for the second quarter and first six months of 2018, respectively.</w:t>
      </w:r>
    </w:p>
    <w:p>
      <w:pPr>
        <w:spacing w:after="0" w:line="137"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In the second quarter of 2019, the Company recorded $6.6 million in expenses related to a non-operating Separation Incentive Program at the education division.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Gain (Loss) on Marketable Equity Securities, net</w:t>
      </w:r>
    </w:p>
    <w:p>
      <w:pPr>
        <w:spacing w:after="0" w:line="166"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Overall, the Company recognized $7.8 million and $31.9 million in net gains on marketable equity securities in the second quarter and first six months of 2019, respectively, compared to $2.6 million and $16.7 million in net losses on marketable equity securities in the second quarter and first six months of 2018,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w:t>
      </w:r>
    </w:p>
    <w:p>
      <w:pPr>
        <w:spacing w:after="0" w:line="166"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Company recorded total other non-operating income, net, of $1.2 million for the second quarter of 2019, compared to $2.3 million for the second quarter of 2018. The 2019 amounts included $0.1 million in foreign currency gains and other items. The 2018 amounts included a $1.4 million contingent consideration gain related to the sale of a business; a $2.5 million gain on sale of land and other items; partially offset by $2.3 million in foreign currency losses.</w:t>
      </w:r>
    </w:p>
    <w:p>
      <w:pPr>
        <w:spacing w:after="0" w:line="135"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The Company recorded total other non-operating income, net, of $30.6 million for the first six months of 2019, compared to $11.5 million for the first six months of 2018. The 2019 amounts included a $29.0 million gain on the sale of the Company’s interest in Gimlet Media; $0.6 million in foreign currency gains and other items. The 2018 amounts included a $7.2 million gain on sales of businesses and related contingent consideration; a $2.8 million gain on sale of a cost method investment; a $2.5 million gain on sale of land and other items; offset by $2.1 million in foreign currency losses.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tax rate for the first six months of 2019 and 2018 was 24.2% and 24.9%, respectively.</w:t>
      </w:r>
    </w:p>
    <w:p>
      <w:pPr>
        <w:spacing w:after="0" w:line="144"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In the first quarter of 2019 and 2018, the Company recorded income tax benefits related to stock compensation of $1.7 million and $1.8 million,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166" w:lineRule="exact"/>
        <w:rPr>
          <w:sz w:val="20"/>
          <w:szCs w:val="20"/>
          <w:color w:val="auto"/>
        </w:rPr>
      </w:pPr>
    </w:p>
    <w:p>
      <w:pPr>
        <w:ind w:right="200"/>
        <w:spacing w:after="0" w:line="227" w:lineRule="auto"/>
        <w:rPr>
          <w:sz w:val="20"/>
          <w:szCs w:val="20"/>
          <w:color w:val="auto"/>
        </w:rPr>
      </w:pPr>
      <w:r>
        <w:rPr>
          <w:rFonts w:ascii="Arial" w:cs="Arial" w:eastAsia="Arial" w:hAnsi="Arial"/>
          <w:sz w:val="18"/>
          <w:szCs w:val="18"/>
          <w:color w:val="auto"/>
        </w:rPr>
        <w:t>The calculation of diluted earnings per share for the second quarter and first six months of 2019 was based on 5,328,252 and 5,327,369 weighted average shares outstanding, compared to 5,362,277 and 5,417,162 for the second quarter and first six months of 2018. At June 30, 2019, there were 5,314,930 shares outstanding. On November 9, 2017, the Board of Directors authorized the Company to acquire up to 500,000 shares of its Class B common stock; the Company has remaining authorization for 273,655 shares as of June 30, 2019.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 Capital Resources and Liquidity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Dispositions of Businesses and Other Transactions</w:t>
      </w:r>
    </w:p>
    <w:p>
      <w:pPr>
        <w:spacing w:after="0" w:line="144"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b w:val="1"/>
          <w:bCs w:val="1"/>
          <w:color w:val="auto"/>
        </w:rPr>
        <w:t>Acquisitions</w:t>
      </w:r>
      <w:r>
        <w:rPr>
          <w:rFonts w:ascii="Arial" w:cs="Arial" w:eastAsia="Arial" w:hAnsi="Arial"/>
          <w:sz w:val="18"/>
          <w:szCs w:val="18"/>
          <w:color w:val="auto"/>
        </w:rPr>
        <w:t>. In July 2019, Graham Healthcare Group (GHG) acquired an interest in a small business which will be included in the healthcare</w:t>
      </w:r>
      <w:r>
        <w:rPr>
          <w:rFonts w:ascii="Arial" w:cs="Arial" w:eastAsia="Arial" w:hAnsi="Arial"/>
          <w:sz w:val="18"/>
          <w:szCs w:val="18"/>
          <w:b w:val="1"/>
          <w:bCs w:val="1"/>
          <w:color w:val="auto"/>
        </w:rPr>
        <w:t xml:space="preserve"> </w:t>
      </w:r>
      <w:r>
        <w:rPr>
          <w:rFonts w:ascii="Arial" w:cs="Arial" w:eastAsia="Arial" w:hAnsi="Arial"/>
          <w:sz w:val="18"/>
          <w:szCs w:val="18"/>
          <w:color w:val="auto"/>
        </w:rPr>
        <w:t>division. On July 11, 2019, Kaplan acquired Heverald, the owner of ESL Education, Europe’s largest language-travel agency and Alpadia, a chain of German and French language schools and junior summer camps. The acquisition is expected to provide synergies within Kaplan’s International English business and will be included in its international division.</w:t>
      </w:r>
    </w:p>
    <w:p>
      <w:pPr>
        <w:spacing w:after="0" w:line="137"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On July 31, 2019, the Company announced the closing on its acquisition of Clyde’s Restaurant Group (CRG). CRG owns and operates 13 restaurants and entertainment venues in the Washington, DC metropolitan area, including Old Ebbitt Grill and The Hamilton, two of the top 20 highest grossing independent restaurants in the United States. CRG will be managed by its existing management team as a wholly-owned subsidiary of the Company and will be included in other businesses.</w:t>
      </w:r>
    </w:p>
    <w:p>
      <w:pPr>
        <w:spacing w:after="0" w:line="135" w:lineRule="exact"/>
        <w:rPr>
          <w:sz w:val="20"/>
          <w:szCs w:val="20"/>
          <w:color w:val="auto"/>
        </w:rPr>
      </w:pPr>
    </w:p>
    <w:p>
      <w:pPr>
        <w:ind w:right="160"/>
        <w:spacing w:after="0" w:line="225" w:lineRule="auto"/>
        <w:rPr>
          <w:sz w:val="20"/>
          <w:szCs w:val="20"/>
          <w:color w:val="auto"/>
        </w:rPr>
      </w:pPr>
      <w:r>
        <w:rPr>
          <w:rFonts w:ascii="Arial" w:cs="Arial" w:eastAsia="Arial" w:hAnsi="Arial"/>
          <w:sz w:val="18"/>
          <w:szCs w:val="18"/>
          <w:color w:val="auto"/>
        </w:rPr>
        <w:t>On January 31, 2019, the Company acquired an interest in two automotive dealerships for cash and the assumption of floor plan payables. In connection with the acquisition, the automotive subsidiary of the Company borrowed $30 million to finance the acquisition and entered into an interest rate swap to fix the interest rate on the debt at 4.7% per annum. The Company has a 90% interest in the automotive subsidiary. The Company also entered into a management services agreement with an entity affiliated with Christopher J. Ourisman, a member of the Ourisman Automotive Group family of dealerships. Mr. Ourisman and his team will operate and manage the dealerships. In</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97" w:right="239" w:bottom="1440" w:gutter="0" w:footer="0" w:header="0"/>
        </w:sectPr>
      </w:pPr>
    </w:p>
    <w:bookmarkStart w:id="34" w:name="page35"/>
    <w:bookmarkEnd w:id="34"/>
    <w:p>
      <w:pPr>
        <w:ind w:right="60"/>
        <w:spacing w:after="0" w:line="229" w:lineRule="auto"/>
        <w:rPr>
          <w:sz w:val="20"/>
          <w:szCs w:val="20"/>
          <w:color w:val="auto"/>
        </w:rPr>
      </w:pPr>
      <w:r>
        <w:rPr>
          <w:rFonts w:ascii="Arial" w:cs="Arial" w:eastAsia="Arial" w:hAnsi="Arial"/>
          <w:sz w:val="18"/>
          <w:szCs w:val="18"/>
          <w:color w:val="auto"/>
        </w:rPr>
        <w:t>addition, the Company advanced $3.5 million to the minority shareholder, an entity controlled by Mr. Ourisman, at an interest rate of 6% per annum. The acquisition is expected to provide benefits in the future by diversifying the Company’s business operations and is included in other businesses.</w:t>
      </w:r>
    </w:p>
    <w:p>
      <w:pPr>
        <w:spacing w:after="0" w:line="137" w:lineRule="exact"/>
        <w:rPr>
          <w:sz w:val="20"/>
          <w:szCs w:val="20"/>
          <w:color w:val="auto"/>
        </w:rPr>
      </w:pPr>
    </w:p>
    <w:p>
      <w:pPr>
        <w:jc w:val="both"/>
        <w:ind w:right="180"/>
        <w:spacing w:after="0" w:line="229" w:lineRule="auto"/>
        <w:rPr>
          <w:sz w:val="20"/>
          <w:szCs w:val="20"/>
          <w:color w:val="auto"/>
        </w:rPr>
      </w:pPr>
      <w:r>
        <w:rPr>
          <w:rFonts w:ascii="Arial" w:cs="Arial" w:eastAsia="Arial" w:hAnsi="Arial"/>
          <w:sz w:val="18"/>
          <w:szCs w:val="18"/>
          <w:color w:val="auto"/>
        </w:rPr>
        <w:t>During 2018, the Company acquired eight businesses, five in its education division, one in its healthcare division and two in other businesses for $121.1 million in cash and contingent consideration. The assets and liabilities of the companies acquired were recorded at their estimated fair values at the date of acquisition.</w:t>
      </w:r>
    </w:p>
    <w:p>
      <w:pPr>
        <w:spacing w:after="0" w:line="137"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In January and February 2018, Kaplan acquired the assets of i-Human Patients, Inc., a provider of cloud-based, interactive patient encounter simulations for medical and nursing professionals and educators, and another small business in test preparation and international, respectively. These acquisitions are expected to provide strategic benefits in the future.</w:t>
      </w:r>
    </w:p>
    <w:p>
      <w:pPr>
        <w:spacing w:after="0" w:line="137"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In May 2018, Kaplan acquired a 100% interest in Professional Publications, Inc. (PPI), an independent publisher of professional licensing exam review materials and engineering, surveying, architecture, and interior design licensure exam review, by purchasing all of its issued and outstanding shares. This acquisition is expected to provide certain strategic benefits in the future. This acquisition is included in Professional (U.S.).</w:t>
      </w:r>
    </w:p>
    <w:p>
      <w:pPr>
        <w:spacing w:after="0" w:line="135" w:lineRule="exact"/>
        <w:rPr>
          <w:sz w:val="20"/>
          <w:szCs w:val="20"/>
          <w:color w:val="auto"/>
        </w:rPr>
      </w:pPr>
    </w:p>
    <w:p>
      <w:pPr>
        <w:ind w:right="240"/>
        <w:spacing w:after="0" w:line="227" w:lineRule="auto"/>
        <w:rPr>
          <w:sz w:val="20"/>
          <w:szCs w:val="20"/>
          <w:color w:val="auto"/>
        </w:rPr>
      </w:pPr>
      <w:r>
        <w:rPr>
          <w:rFonts w:ascii="Arial" w:cs="Arial" w:eastAsia="Arial" w:hAnsi="Arial"/>
          <w:sz w:val="18"/>
          <w:szCs w:val="18"/>
          <w:color w:val="auto"/>
        </w:rPr>
        <w:t>On July 12, 2018, Kaplan acquired 100% of the issued and outstanding shares of the College for Financial Planning (CFFP), a provider of financial education and training to individuals pursuing the Certified Financial Planner certification, a Master of Science in Personal Financial Planning, or a Master of Science in Finance. The acquisition is expected to expand Kaplan’s financial education product offerings and is included in Professional (U.S.).</w:t>
      </w:r>
    </w:p>
    <w:p>
      <w:pPr>
        <w:spacing w:after="0" w:line="135"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On July 31, 2018, Dekko acquired 100% of the issued and outstanding shares of Furnlite, Inc., a Fallston, NC-based manufacturer of power and data solutions for the hospitality and residential furniture industries. Dekko’s primary reasons for the acquisition are to complement existing product offerings and to provide potential synergies across the businesses. The acquisition is included in other businesses.</w:t>
      </w:r>
    </w:p>
    <w:p>
      <w:pPr>
        <w:spacing w:after="0" w:line="137"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In August 2018, SocialCode acquired 100% of the membership interests of Marketplace Strategy (MPS), a Cleveland-based digital marketing agency that provides strategy consulting, optimization services, advertising management and creative solutions on online marketplaces including Amazon. SocialCode’s primary reason for the acquisition is to expand its platform offerings. The acquisition is included in other businesses.</w:t>
      </w:r>
    </w:p>
    <w:p>
      <w:pPr>
        <w:spacing w:after="0" w:line="135"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In September 2018, GHG acquired the assets of a small business and Kaplan acquired the test preparation and study guide assets of Barron’s Educational Series, a New York-based education publishing company. The acquisitions are expected to complement the healthcare and test preparation services currently offered by GHG and Kaplan, respectively. GHG is included in the healthcare division. The Barron’s Educational Series acquisition is included in test preparation.</w:t>
      </w:r>
    </w:p>
    <w:p>
      <w:pPr>
        <w:spacing w:after="0" w:line="113" w:lineRule="exact"/>
        <w:rPr>
          <w:sz w:val="20"/>
          <w:szCs w:val="20"/>
          <w:color w:val="auto"/>
        </w:rPr>
      </w:pPr>
    </w:p>
    <w:p>
      <w:pPr>
        <w:spacing w:after="0" w:line="227" w:lineRule="auto"/>
        <w:rPr>
          <w:sz w:val="20"/>
          <w:szCs w:val="20"/>
          <w:color w:val="auto"/>
        </w:rPr>
      </w:pPr>
      <w:r>
        <w:rPr>
          <w:rFonts w:ascii="Arial" w:cs="Arial" w:eastAsia="Arial" w:hAnsi="Arial"/>
          <w:sz w:val="18"/>
          <w:szCs w:val="18"/>
          <w:b w:val="1"/>
          <w:bCs w:val="1"/>
          <w:color w:val="auto"/>
        </w:rPr>
        <w:t xml:space="preserve">Kaplan University Transaction. </w:t>
      </w:r>
      <w:r>
        <w:rPr>
          <w:rFonts w:ascii="Arial" w:cs="Arial" w:eastAsia="Arial" w:hAnsi="Arial"/>
          <w:sz w:val="18"/>
          <w:szCs w:val="18"/>
          <w:color w:val="auto"/>
        </w:rPr>
        <w:t>On March 22, 2018, the Company closed on the Kaplan University (KU) transaction and recorded a pre-tax</w:t>
      </w:r>
      <w:r>
        <w:rPr>
          <w:rFonts w:ascii="Arial" w:cs="Arial" w:eastAsia="Arial" w:hAnsi="Arial"/>
          <w:sz w:val="18"/>
          <w:szCs w:val="18"/>
          <w:b w:val="1"/>
          <w:bCs w:val="1"/>
          <w:color w:val="auto"/>
        </w:rPr>
        <w:t xml:space="preserve"> </w:t>
      </w:r>
      <w:r>
        <w:rPr>
          <w:rFonts w:ascii="Arial" w:cs="Arial" w:eastAsia="Arial" w:hAnsi="Arial"/>
          <w:sz w:val="18"/>
          <w:szCs w:val="18"/>
          <w:color w:val="auto"/>
        </w:rPr>
        <w:t>gain of $4.3 million in the first quarter of 2018. For financial reporting purposes, Kaplan may receive payment of additional consideration related to the sale of the institutional assets as part of its fee to the extent there are sufficient revenues available after paying all amounts required by the Transition and Operations Support Agreement (TOSA). The Company did not recognize any contingent consideration as part of the initial disposition. In the three and six months ended June 30, 2019, the Company recorded a $0.2 million and $0.4 million contingent consideration gain, respectively. In the three and six months ended June 30, 2018, the Company recorded a $1.4 million contingent consideration gain related to the disposition.</w:t>
      </w:r>
    </w:p>
    <w:p>
      <w:pPr>
        <w:spacing w:after="0" w:line="115"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b w:val="1"/>
          <w:bCs w:val="1"/>
          <w:color w:val="auto"/>
        </w:rPr>
        <w:t xml:space="preserve">Sale of Businesses. </w:t>
      </w:r>
      <w:r>
        <w:rPr>
          <w:rFonts w:ascii="Arial" w:cs="Arial" w:eastAsia="Arial" w:hAnsi="Arial"/>
          <w:sz w:val="18"/>
          <w:szCs w:val="18"/>
          <w:color w:val="auto"/>
        </w:rPr>
        <w:t>In February 2018, Kaplan completed the sale of a small business which was included in Test Preparation. In September</w:t>
      </w:r>
      <w:r>
        <w:rPr>
          <w:rFonts w:ascii="Arial" w:cs="Arial" w:eastAsia="Arial" w:hAnsi="Arial"/>
          <w:sz w:val="18"/>
          <w:szCs w:val="18"/>
          <w:b w:val="1"/>
          <w:bCs w:val="1"/>
          <w:color w:val="auto"/>
        </w:rPr>
        <w:t xml:space="preserve"> </w:t>
      </w:r>
      <w:r>
        <w:rPr>
          <w:rFonts w:ascii="Arial" w:cs="Arial" w:eastAsia="Arial" w:hAnsi="Arial"/>
          <w:sz w:val="18"/>
          <w:szCs w:val="18"/>
          <w:color w:val="auto"/>
        </w:rPr>
        <w:t>2018, Kaplan Australia completed the sale of a small business which was included in Kaplan International. As a result of these sales, the Company reported gains in other non-operating income.</w:t>
      </w:r>
    </w:p>
    <w:p>
      <w:pPr>
        <w:spacing w:after="0" w:line="114" w:lineRule="exact"/>
        <w:rPr>
          <w:sz w:val="20"/>
          <w:szCs w:val="20"/>
          <w:color w:val="auto"/>
        </w:rPr>
      </w:pPr>
    </w:p>
    <w:p>
      <w:pPr>
        <w:ind w:right="120"/>
        <w:spacing w:after="0" w:line="233" w:lineRule="auto"/>
        <w:rPr>
          <w:sz w:val="20"/>
          <w:szCs w:val="20"/>
          <w:color w:val="auto"/>
        </w:rPr>
      </w:pPr>
      <w:r>
        <w:rPr>
          <w:rFonts w:ascii="Arial" w:cs="Arial" w:eastAsia="Arial" w:hAnsi="Arial"/>
          <w:sz w:val="18"/>
          <w:szCs w:val="18"/>
          <w:b w:val="1"/>
          <w:bCs w:val="1"/>
          <w:color w:val="auto"/>
        </w:rPr>
        <w:t xml:space="preserve">Other Transactions. </w:t>
      </w:r>
      <w:r>
        <w:rPr>
          <w:rFonts w:ascii="Arial" w:cs="Arial" w:eastAsia="Arial" w:hAnsi="Arial"/>
          <w:sz w:val="18"/>
          <w:szCs w:val="18"/>
          <w:color w:val="auto"/>
        </w:rPr>
        <w:t>In March 2019, a Hoover minority shareholder put some of his shares to the Company, which had a redemption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$0.6 million. Following the redemption, the Company owns 98.01% of Hoover. In June 2018, the Company incurred $6.2 million of interest expense related to the mandatorily redeemable noncontrolling interest redemption settlement at GHG. The mandatorily redeemable noncontrolling interest was redeemed and paid in July 2018.</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719"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66" w:lineRule="exact"/>
        <w:rPr>
          <w:sz w:val="20"/>
          <w:szCs w:val="20"/>
          <w:color w:val="auto"/>
        </w:rPr>
      </w:pPr>
    </w:p>
    <w:p>
      <w:pPr>
        <w:ind w:right="120"/>
        <w:spacing w:after="0" w:line="223" w:lineRule="auto"/>
        <w:rPr>
          <w:sz w:val="20"/>
          <w:szCs w:val="20"/>
          <w:color w:val="auto"/>
        </w:rPr>
      </w:pPr>
      <w:r>
        <w:rPr>
          <w:rFonts w:ascii="Arial" w:cs="Arial" w:eastAsia="Arial" w:hAnsi="Arial"/>
          <w:sz w:val="18"/>
          <w:szCs w:val="18"/>
          <w:color w:val="auto"/>
        </w:rPr>
        <w:t>During the first six months of 2019, the Company’s capital expenditures totaled $ 51.1 million. This amount includes assets acquired during the year, whereas the amounts reflected in the Company’s Condensed Consolidated Statements of Cash Flows are based on cash payments made during the relevant periods. The Company estimates that its capital expenditures will be in the range of $90 million to $100 million in 2019. This includes amounts for constructing an academic and student residential facility in connection with Kaplan’s Pathways program in Liverpool, U.K. This also includes capital expenditures in connection with spectrum repacking at the Company’s television stations in Detroit, MI, Jacksonville, FL, and Roanoke, VA, as mandated by the FCC; these expenditures are expected to be largely reimbursed to the Company by the FCC.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were $506.4 million and $477.1 million, at June 30, 2019 and December 31, 2018, respectively.</w:t>
      </w:r>
    </w:p>
    <w:p>
      <w:pPr>
        <w:spacing w:after="0" w:line="144" w:lineRule="exact"/>
        <w:rPr>
          <w:sz w:val="20"/>
          <w:szCs w:val="20"/>
          <w:color w:val="auto"/>
        </w:rPr>
      </w:pPr>
    </w:p>
    <w:p>
      <w:pPr>
        <w:ind w:right="200"/>
        <w:spacing w:after="0" w:line="224" w:lineRule="auto"/>
        <w:rPr>
          <w:sz w:val="20"/>
          <w:szCs w:val="20"/>
          <w:color w:val="auto"/>
        </w:rPr>
      </w:pPr>
      <w:r>
        <w:rPr>
          <w:rFonts w:ascii="Arial" w:cs="Arial" w:eastAsia="Arial" w:hAnsi="Arial"/>
          <w:sz w:val="18"/>
          <w:szCs w:val="18"/>
          <w:color w:val="auto"/>
        </w:rPr>
        <w:t>At June 30, 2019, the Company had cash and cash equivalents, restricted cash and investments in marketable securities and other investments totaling $724.5 million, compared with $778.7 million at December 31, 2018. At June 30, 2019, the Company held approximately $86 million in cash and cash equivalents in businesses domiciled outside the U.S., of which approximately $8 million is not available for immediate use in operations or for distribution. Additionally, Kaplan’s business operations outside the U.S. retain cash balances to support ongoing working capital requirements, capital expenditures, and regulatory requirements. As a result, the Company considers a significant portion of the cash and cash equivalents balance held outside the U.S. as not readily available for use in U.S. operations.</w:t>
      </w:r>
    </w:p>
    <w:p>
      <w:pPr>
        <w:spacing w:after="0" w:line="137"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The Company’s net cash used by operating activities, as reported in the Company’s Condensed Consolidated Statements of Cash Flows, was $16.7 million for the first six months of 2019, compared to net cash provided by operating activities of $70.5 million for the first six months of 2018. The decrease is due to changes in working capital and an increase in incentive compensation payments.</w:t>
      </w:r>
    </w:p>
    <w:p>
      <w:pPr>
        <w:spacing w:after="0" w:line="137" w:lineRule="exact"/>
        <w:rPr>
          <w:sz w:val="20"/>
          <w:szCs w:val="20"/>
          <w:color w:val="auto"/>
        </w:rPr>
      </w:pPr>
    </w:p>
    <w:p>
      <w:pPr>
        <w:ind w:right="40"/>
        <w:spacing w:after="0" w:line="221" w:lineRule="auto"/>
        <w:rPr>
          <w:sz w:val="20"/>
          <w:szCs w:val="20"/>
          <w:color w:val="auto"/>
        </w:rPr>
      </w:pPr>
      <w:r>
        <w:rPr>
          <w:rFonts w:ascii="Arial" w:cs="Arial" w:eastAsia="Arial" w:hAnsi="Arial"/>
          <w:sz w:val="18"/>
          <w:szCs w:val="18"/>
          <w:color w:val="auto"/>
        </w:rPr>
        <w:t>On January 31, 2019, the Company’s automotive subsidiary entered into a Commercial Note with SunTrust Bank in an aggregate principal amount of $30 million. The Commercial Note is payable over a 10 year period in monthly installments of $0.25 million, plus accrued and unpaid interest, due on the first of each month, with a final payment on January 31, 2029. The Commercial Note bears interest at LIBOR plus an applicable interest rate of 1.75% or 2.00% per annum, in each case determined on a quarterly basis based upon the automotive subsidiary’s Adjusted Leverage Ratio. The Commercial Note contains terms and conditions, including remedies in the event of a default by the automotive subsidiary. On the same date, the Company’s automotive subsidiary entered into an interest rate swap agreement with a total notional value of $30 million and a maturity date of January 31, 2029. The interest rate swap agreement will pay the automotive subsidiary variable interest on the $30 million notional amount at the one-month LIBOR, and the automotive subsidiary will pay counterparties a fixed rate of 2.7%, effectively resulting in a total fixed interest rate of 4.7% on the outstanding borrowings at the current applicable margin of 2.0%. The interest rate swap agreement was entered into to convert the variable rate borrowing under the Commercial Note into a fixed rate borrowing. Based on the terms of the interest rate swap agreement and the underlying borrowing, the interest rate swap was determined to be effective and thus qualifies as a cash flow hedge. As such, changes in the fair value of the interest rate swap are recorded in other comprehensive income on the accompanying Condensed Consolidated Balance Sheets until earnings are affected by the variability of cash flows.</w:t>
      </w:r>
    </w:p>
    <w:p>
      <w:pPr>
        <w:spacing w:after="0" w:line="142"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The Company finances all new vehicle inventory through a standardized floor plan facility (the “floor plan facility”) with SunTrust Bank. The new vehicle floor plan facility bears interest at variable rates that are based on LIBOR plus 1.15% per annum. The weighted average interest rate for the floor plan facility was 3.4% and 3.5%, respectively, for the three and six months ended June 30, 2019. As of June 30, 2019, the aggregate capacity under the floor plan facility was $60 million, of which $50.4 million had been utilized, and is included in accounts payable and accrued liabilities in the Condensed Consolidated Balance Sheet.</w:t>
      </w:r>
    </w:p>
    <w:p>
      <w:pPr>
        <w:spacing w:after="0" w:line="137" w:lineRule="exact"/>
        <w:rPr>
          <w:sz w:val="20"/>
          <w:szCs w:val="20"/>
          <w:color w:val="auto"/>
        </w:rPr>
      </w:pPr>
    </w:p>
    <w:p>
      <w:pPr>
        <w:ind w:right="420"/>
        <w:spacing w:after="0" w:line="229" w:lineRule="auto"/>
        <w:rPr>
          <w:sz w:val="20"/>
          <w:szCs w:val="20"/>
          <w:color w:val="auto"/>
        </w:rPr>
      </w:pPr>
      <w:r>
        <w:rPr>
          <w:rFonts w:ascii="Arial" w:cs="Arial" w:eastAsia="Arial" w:hAnsi="Arial"/>
          <w:sz w:val="18"/>
          <w:szCs w:val="18"/>
          <w:color w:val="auto"/>
        </w:rPr>
        <w:t>The floor plan facility is collateralized by vehicle inventory and other assets of the relevant dealership subsidiary, and contains a number of covenants, including, among others, covenants restricting the dealership subsidiary with respect to the creation of liens and changes in ownership, officers and key management personnel.</w:t>
      </w:r>
    </w:p>
    <w:p>
      <w:pPr>
        <w:spacing w:after="0" w:line="137"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On May 30, 2018, the Company issued $400 million senior unsecured fixed-rate notes due June 1, 2026 (the Notes). The Notes are guaranteed, jointly and severally, on a senior unsecured basis, by certain of the Company’s existing and future domestic subsidiaries, as described in the terms of the indenture, dated as of May 30, 2018 (the Indenture). The Notes have a coupon rate of 5.75% per annum, payable semi-annually on June 1 and December 1. The Company may redeem the Notes in whole or in part at any time at the respective redemption prices described in the Indenture.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697"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On June 29, 2018, the Company used the net proceeds from the sale of the Notes, together with cash on hand, to redeem the $400 million of</w:t>
      </w:r>
    </w:p>
    <w:p>
      <w:pPr>
        <w:spacing w:after="0" w:line="219" w:lineRule="auto"/>
        <w:rPr>
          <w:sz w:val="20"/>
          <w:szCs w:val="20"/>
          <w:color w:val="auto"/>
        </w:rPr>
      </w:pPr>
      <w:r>
        <w:rPr>
          <w:rFonts w:ascii="Arial" w:cs="Arial" w:eastAsia="Arial" w:hAnsi="Arial"/>
          <w:sz w:val="18"/>
          <w:szCs w:val="18"/>
          <w:color w:val="auto"/>
        </w:rPr>
        <w:t>7.25% notes due February 1, 2019. The Company incurred $11.4 million in debt extinguishment costs in relation to the early termination of the</w:t>
      </w:r>
    </w:p>
    <w:p>
      <w:pPr>
        <w:spacing w:after="0"/>
        <w:rPr>
          <w:sz w:val="20"/>
          <w:szCs w:val="20"/>
          <w:color w:val="auto"/>
        </w:rPr>
      </w:pPr>
      <w:r>
        <w:rPr>
          <w:rFonts w:ascii="Arial" w:cs="Arial" w:eastAsia="Arial" w:hAnsi="Arial"/>
          <w:sz w:val="18"/>
          <w:szCs w:val="18"/>
          <w:color w:val="auto"/>
        </w:rPr>
        <w:t>7.25% notes.</w:t>
      </w:r>
    </w:p>
    <w:p>
      <w:pPr>
        <w:spacing w:after="0" w:line="144" w:lineRule="exact"/>
        <w:rPr>
          <w:sz w:val="20"/>
          <w:szCs w:val="20"/>
          <w:color w:val="auto"/>
        </w:rPr>
      </w:pPr>
    </w:p>
    <w:p>
      <w:pPr>
        <w:ind w:right="60"/>
        <w:spacing w:after="0" w:line="221" w:lineRule="auto"/>
        <w:rPr>
          <w:sz w:val="20"/>
          <w:szCs w:val="20"/>
          <w:color w:val="auto"/>
        </w:rPr>
      </w:pPr>
      <w:r>
        <w:rPr>
          <w:rFonts w:ascii="Arial" w:cs="Arial" w:eastAsia="Arial" w:hAnsi="Arial"/>
          <w:sz w:val="18"/>
          <w:szCs w:val="18"/>
          <w:color w:val="auto"/>
        </w:rPr>
        <w:t>In combination with the issuance of the Notes, the Company and certain of the Company’s domestic subsidiaries named therein as guarantors entered into an amended and restated credit agreement providing for a U.S. $300 million five-year revolving credit facility (the Revolving Credit Facility) with each of the lenders party thereto, certain of the Company’s foreign subsidiaries from time to time party thereto as foreign borrowers, Wells Fargo Bank, N.A., as Administrative Agent (Wells Fargo), JPMorgan Chase Bank, N.A., as Syndication Agent, and HSBC Bank USA, N.A. and Bank of America, N.A. as Documentation Agents (the Amended and Restated Credit Agreement), which amends and restates the Company’s existing Five Year Credit Agreement, dated as of June 29, 2015, among the Company, certain of its domestic subsidiaries as guarantors, the several lenders from time to time party thereto, Wells Fargo Bank, N.A., as Administrative Agent and JPMorgan Chase Bank, N.A., as Syndication Agent (the Existing Credit Agreement). The Amended and Restated Credit Agreement amends the Existing Credit Agreement to (i) extend the maturity of the Revolving Credit Facility to May 30, 2023, unless the Company and the lenders agree to further extend the term, (ii) increase the aggregate principal amount of the Revolving Credit Facility to U.S. $300 million, consisting of a U.S. Dollar tranche of U.S. $200 million for borrowings in U.S. Dollars and a multicurrency tranche equivalent to U.S. $100 million for borrowings in U.S. Dollars and certain foreign currencies, (iii) provide for borrowings under the Revolving Credit Facility in U.S. Dollars and certain other foreign currencies specified in the Amended and Restated Credit Agreement, (iv) permit certain foreign subsidiaries of the Company to be added to the Amended and Restated Credit Agreement as foreign borrowers thereunder and (v) effect certain other modifications to the Existing Credit Agreement.</w:t>
      </w:r>
    </w:p>
    <w:p>
      <w:pPr>
        <w:spacing w:after="0" w:line="139" w:lineRule="exact"/>
        <w:rPr>
          <w:sz w:val="20"/>
          <w:szCs w:val="20"/>
          <w:color w:val="auto"/>
        </w:rPr>
      </w:pPr>
    </w:p>
    <w:p>
      <w:pPr>
        <w:ind w:right="40"/>
        <w:spacing w:after="0" w:line="221" w:lineRule="auto"/>
        <w:rPr>
          <w:sz w:val="20"/>
          <w:szCs w:val="20"/>
          <w:color w:val="auto"/>
        </w:rPr>
      </w:pPr>
      <w:r>
        <w:rPr>
          <w:rFonts w:ascii="Arial" w:cs="Arial" w:eastAsia="Arial" w:hAnsi="Arial"/>
          <w:sz w:val="18"/>
          <w:szCs w:val="18"/>
          <w:color w:val="auto"/>
        </w:rPr>
        <w:t>Under the Amended and Restated Credit Agreement, the Company is required to pay a commitment fee on a quarterly basis, based on the Company’s leverage ratio, of between 0.15% and 0.25% of the amount of the average daily unused portion of the Revolving Credit Facility. Any borrowings under the Amended and Restated Credit Agreement are made on an unsecured basis and bear interest at the Company’s option, either at (a) a fluctuating interest rate equal to the highest of Wells Fargo’s prime rate, 0.5 percent above the Federal funds rate or the one-month Eurodollar rate plus 1%, or (b) the Eurodollar rate for the applicable currency and interest period as defined in the Amended and Restated Credit Agreement, which is generally a periodic rate equal to LIBOR, CDOR, BBSY or SOR, as applicable, in the case of each of clauses (a) and (b) plus an applicable margin that depends on the Company’s consolidated debt to consolidated adjusted EBITDA (as determined pursuant to the Amended and Restated Credit Agreement, Total Net Leverage Ratio). The Company and its foreign subsidiaries may draw on the Revolving Credit Facility for general corporate purposes. Any outstanding borrowings must be repaid on or prior to the final termination date. The Amended and Restated Credit Agreement contains terms and conditions, including remedies in the event of a default by the Company, typical of facilities of this type and requires the Company to maintain a Total Net Leverage Ratio of not greater than 3.5 to 1.0 and a consolidated interest coverage ratio of at least 3.5 to 1.0 based upon the ratio of consolidated adjusted EBITDA to consolidated interest expense as determined pursuant to the Amended and Restated Credit Agreement.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On May 21, 2018, Moody’s affirmed the Company’s credit ratings, but revised the outlook from Negative to Stable.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Company’s current credit ratings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540" w:type="dxa"/>
            <w:vAlign w:val="bottom"/>
          </w:tcPr>
          <w:p>
            <w:pPr>
              <w:jc w:val="center"/>
              <w:ind w:left="5"/>
              <w:spacing w:after="0"/>
              <w:rPr>
                <w:sz w:val="20"/>
                <w:szCs w:val="20"/>
                <w:color w:val="auto"/>
              </w:rPr>
            </w:pPr>
            <w:r>
              <w:rPr>
                <w:rFonts w:ascii="Arial" w:cs="Arial" w:eastAsia="Arial" w:hAnsi="Arial"/>
                <w:sz w:val="14"/>
                <w:szCs w:val="14"/>
                <w:b w:val="1"/>
                <w:bCs w:val="1"/>
                <w:color w:val="auto"/>
              </w:rPr>
              <w:t>Standard</w:t>
            </w:r>
          </w:p>
        </w:tc>
      </w:tr>
      <w:tr>
        <w:trPr>
          <w:trHeight w:val="196"/>
        </w:trPr>
        <w:tc>
          <w:tcPr>
            <w:tcW w:w="4780" w:type="dxa"/>
            <w:vAlign w:val="bottom"/>
            <w:tcBorders>
              <w:bottom w:val="single" w:sz="8" w:color="auto"/>
            </w:tcBorders>
          </w:tcPr>
          <w:p>
            <w:pPr>
              <w:spacing w:after="0"/>
              <w:rPr>
                <w:sz w:val="17"/>
                <w:szCs w:val="17"/>
                <w:color w:val="auto"/>
              </w:rPr>
            </w:pPr>
          </w:p>
        </w:tc>
        <w:tc>
          <w:tcPr>
            <w:tcW w:w="5100" w:type="dxa"/>
            <w:vAlign w:val="bottom"/>
            <w:tcBorders>
              <w:bottom w:val="single" w:sz="8" w:color="auto"/>
            </w:tcBorders>
          </w:tcPr>
          <w:p>
            <w:pPr>
              <w:jc w:val="center"/>
              <w:ind w:left="3443"/>
              <w:spacing w:after="0"/>
              <w:rPr>
                <w:sz w:val="20"/>
                <w:szCs w:val="20"/>
                <w:color w:val="auto"/>
              </w:rPr>
            </w:pPr>
            <w:r>
              <w:rPr>
                <w:rFonts w:ascii="Arial" w:cs="Arial" w:eastAsia="Arial" w:hAnsi="Arial"/>
                <w:sz w:val="14"/>
                <w:szCs w:val="14"/>
                <w:b w:val="1"/>
                <w:bCs w:val="1"/>
                <w:color w:val="auto"/>
              </w:rPr>
              <w:t>Moody’s</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&amp; Poor’s</w:t>
            </w:r>
          </w:p>
        </w:tc>
      </w:tr>
      <w:tr>
        <w:trPr>
          <w:trHeight w:val="250"/>
        </w:trPr>
        <w:tc>
          <w:tcPr>
            <w:tcW w:w="4780" w:type="dxa"/>
            <w:vAlign w:val="bottom"/>
          </w:tcPr>
          <w:p>
            <w:pPr>
              <w:ind w:left="40"/>
              <w:spacing w:after="0"/>
              <w:rPr>
                <w:sz w:val="20"/>
                <w:szCs w:val="20"/>
                <w:color w:val="auto"/>
              </w:rPr>
            </w:pPr>
            <w:r>
              <w:rPr>
                <w:rFonts w:ascii="Arial" w:cs="Arial" w:eastAsia="Arial" w:hAnsi="Arial"/>
                <w:sz w:val="16"/>
                <w:szCs w:val="16"/>
                <w:color w:val="auto"/>
              </w:rPr>
              <w:t>Long-term</w:t>
            </w:r>
          </w:p>
        </w:tc>
        <w:tc>
          <w:tcPr>
            <w:tcW w:w="5100" w:type="dxa"/>
            <w:vAlign w:val="bottom"/>
          </w:tcPr>
          <w:p>
            <w:pPr>
              <w:jc w:val="center"/>
              <w:ind w:left="3423"/>
              <w:spacing w:after="0"/>
              <w:rPr>
                <w:sz w:val="20"/>
                <w:szCs w:val="20"/>
                <w:color w:val="auto"/>
              </w:rPr>
            </w:pPr>
            <w:r>
              <w:rPr>
                <w:rFonts w:ascii="Arial" w:cs="Arial" w:eastAsia="Arial" w:hAnsi="Arial"/>
                <w:sz w:val="16"/>
                <w:szCs w:val="16"/>
                <w:color w:val="auto"/>
                <w:w w:val="98"/>
              </w:rPr>
              <w:t>Ba1</w:t>
            </w:r>
          </w:p>
        </w:tc>
        <w:tc>
          <w:tcPr>
            <w:tcW w:w="1540" w:type="dxa"/>
            <w:vAlign w:val="bottom"/>
          </w:tcPr>
          <w:p>
            <w:pPr>
              <w:jc w:val="center"/>
              <w:spacing w:after="0"/>
              <w:rPr>
                <w:sz w:val="20"/>
                <w:szCs w:val="20"/>
                <w:color w:val="auto"/>
              </w:rPr>
            </w:pPr>
            <w:r>
              <w:rPr>
                <w:rFonts w:ascii="Arial" w:cs="Arial" w:eastAsia="Arial" w:hAnsi="Arial"/>
                <w:sz w:val="16"/>
                <w:szCs w:val="16"/>
                <w:color w:val="auto"/>
              </w:rPr>
              <w:t>BB+</w:t>
            </w:r>
          </w:p>
        </w:tc>
      </w:tr>
    </w:tbl>
    <w:p>
      <w:pPr>
        <w:spacing w:after="0" w:line="167" w:lineRule="exact"/>
        <w:rPr>
          <w:sz w:val="20"/>
          <w:szCs w:val="20"/>
          <w:color w:val="auto"/>
        </w:rPr>
      </w:pPr>
    </w:p>
    <w:p>
      <w:pPr>
        <w:ind w:right="160"/>
        <w:spacing w:after="0" w:line="225" w:lineRule="auto"/>
        <w:rPr>
          <w:sz w:val="20"/>
          <w:szCs w:val="20"/>
          <w:color w:val="auto"/>
        </w:rPr>
      </w:pPr>
      <w:r>
        <w:rPr>
          <w:rFonts w:ascii="Arial" w:cs="Arial" w:eastAsia="Arial" w:hAnsi="Arial"/>
          <w:sz w:val="18"/>
          <w:szCs w:val="18"/>
          <w:color w:val="auto"/>
        </w:rPr>
        <w:t>At June 30, 2019 and December 31, 2018, the Company had working capital of $670.7 million and $720.2 million, respectively. The Company maintains working capital levels consistent with its underlying business requirements and consistently generates cash from operations in excess of required interest or principal payments. The Company expects to fund its estimated capital needs primarily through existing cash balances and internally generated funds. In management’s opinion, the Company will have sufficient liquidity to meet its various cash needs within the next 12 months.</w:t>
      </w:r>
    </w:p>
    <w:p>
      <w:pPr>
        <w:spacing w:after="0" w:line="137" w:lineRule="exact"/>
        <w:rPr>
          <w:sz w:val="20"/>
          <w:szCs w:val="20"/>
          <w:color w:val="auto"/>
        </w:rPr>
      </w:pPr>
    </w:p>
    <w:p>
      <w:pPr>
        <w:jc w:val="both"/>
        <w:ind w:right="120"/>
        <w:spacing w:after="0" w:line="229" w:lineRule="auto"/>
        <w:rPr>
          <w:sz w:val="20"/>
          <w:szCs w:val="20"/>
          <w:color w:val="auto"/>
        </w:rPr>
      </w:pPr>
      <w:r>
        <w:rPr>
          <w:rFonts w:ascii="Arial" w:cs="Arial" w:eastAsia="Arial" w:hAnsi="Arial"/>
          <w:sz w:val="18"/>
          <w:szCs w:val="18"/>
          <w:color w:val="auto"/>
        </w:rPr>
        <w:t>The Company adopted the new lease accounting guidance on January 1, 2019 and recognized right-of-use assets of $369.3 million and lease liabilities of $418.3 million. Please refer to Note 1 - Organization, Basis of Presentation and Recent Accounting Pronouncements and Note 6 - Leases for further discussion of the new lease accounting guidance.</w:t>
      </w:r>
    </w:p>
    <w:p>
      <w:pPr>
        <w:spacing w:after="0" w:line="137"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At June 30, 2019, the Company had additional contractual obligations and commitments for acquisitions, network agreements and leases that were entered into since December 31, 2018 totaling $178 million.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01" w:right="239" w:bottom="1440" w:gutter="0" w:footer="0" w:header="0"/>
        </w:sectPr>
      </w:pPr>
    </w:p>
    <w:bookmarkStart w:id="37" w:name="page38"/>
    <w:bookmarkEnd w:id="37"/>
    <w:p>
      <w:pPr>
        <w:ind w:right="180"/>
        <w:spacing w:after="0" w:line="235" w:lineRule="auto"/>
        <w:rPr>
          <w:sz w:val="20"/>
          <w:szCs w:val="20"/>
          <w:color w:val="auto"/>
        </w:rPr>
      </w:pPr>
      <w:r>
        <w:rPr>
          <w:rFonts w:ascii="Arial" w:cs="Arial" w:eastAsia="Arial" w:hAnsi="Arial"/>
          <w:sz w:val="18"/>
          <w:szCs w:val="18"/>
          <w:color w:val="auto"/>
        </w:rPr>
        <w:t>There were no other significant changes to the Company’s contractual obligations or other commercial commitments from those disclosed in the Company’s Annual Report on Form 10-K for the year ended December 31, 2018.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66" w:lineRule="exact"/>
        <w:rPr>
          <w:sz w:val="20"/>
          <w:szCs w:val="20"/>
          <w:color w:val="auto"/>
        </w:rPr>
      </w:pPr>
    </w:p>
    <w:p>
      <w:pPr>
        <w:ind w:right="200"/>
        <w:spacing w:after="0" w:line="227"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6"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foreign business operations, which are subject to foreign exchange rate risk. The Company’s market risk disclosures set forth in its 2018 Annual Report filed on Form 10-K have not otherwise changed significantly.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80"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An evaluation was performed by the Company’s management, with the participation of the Company’s Chief Executive Officer (the Company’s principal executive officer) and the Company’s Chief Financial Officer (the Company’s principal financial officer), of the effectiveness of the Company’s disclosure controls and procedures (as defined in Exchange Act Rules 13a-15(e) and 15d-15(e)), as of June 30, 2019. Based on that evaluation, the Company’s Chief Executive Officer and Chief Financial Officer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 and is accumulated and communicated to management, including the Chief Executive Officer and Chief Financial Officer, in a manner that allows timely decisions regarding required disclosure.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80" w:lineRule="exact"/>
        <w:rPr>
          <w:sz w:val="20"/>
          <w:szCs w:val="20"/>
          <w:color w:val="auto"/>
        </w:rPr>
      </w:pPr>
    </w:p>
    <w:p>
      <w:pPr>
        <w:ind w:right="740"/>
        <w:spacing w:after="0" w:line="235" w:lineRule="auto"/>
        <w:rPr>
          <w:sz w:val="20"/>
          <w:szCs w:val="20"/>
          <w:color w:val="auto"/>
        </w:rPr>
      </w:pPr>
      <w:r>
        <w:rPr>
          <w:rFonts w:ascii="Arial" w:cs="Arial" w:eastAsia="Arial" w:hAnsi="Arial"/>
          <w:sz w:val="18"/>
          <w:szCs w:val="18"/>
          <w:color w:val="222222"/>
        </w:rPr>
        <w:t xml:space="preserve">There has been no change in the Company’s internal control over financial reporting during the quarter ended </w:t>
      </w:r>
      <w:r>
        <w:rPr>
          <w:rFonts w:ascii="Arial" w:cs="Arial" w:eastAsia="Arial" w:hAnsi="Arial"/>
          <w:sz w:val="18"/>
          <w:szCs w:val="18"/>
          <w:color w:val="000000"/>
        </w:rPr>
        <w:t>June 30, 2019</w:t>
      </w:r>
      <w:r>
        <w:rPr>
          <w:rFonts w:ascii="Arial" w:cs="Arial" w:eastAsia="Arial" w:hAnsi="Arial"/>
          <w:sz w:val="18"/>
          <w:szCs w:val="18"/>
          <w:color w:val="222222"/>
        </w:rPr>
        <w:t xml:space="preserve"> that has materially affected, or is reasonably likely to materially affect, the Company’s internal control over financial reporting.</w:t>
      </w: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40"/>
          </w:cols>
          <w:pgMar w:left="240" w:top="719" w:right="31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9"/>
        </w:trPr>
        <w:tc>
          <w:tcPr>
            <w:tcW w:w="1180" w:type="dxa"/>
            <w:vAlign w:val="bottom"/>
          </w:tcPr>
          <w:p>
            <w:pPr>
              <w:spacing w:after="0"/>
              <w:rPr>
                <w:sz w:val="20"/>
                <w:szCs w:val="20"/>
                <w:color w:val="auto"/>
              </w:rPr>
            </w:pPr>
          </w:p>
        </w:tc>
        <w:tc>
          <w:tcPr>
            <w:tcW w:w="10240" w:type="dxa"/>
            <w:vAlign w:val="bottom"/>
            <w:gridSpan w:val="14"/>
          </w:tcPr>
          <w:p>
            <w:pPr>
              <w:ind w:left="3200"/>
              <w:spacing w:after="0"/>
              <w:rPr>
                <w:sz w:val="20"/>
                <w:szCs w:val="20"/>
                <w:color w:val="auto"/>
              </w:rPr>
            </w:pPr>
            <w:r>
              <w:rPr>
                <w:rFonts w:ascii="Arial" w:cs="Arial" w:eastAsia="Arial" w:hAnsi="Arial"/>
                <w:sz w:val="18"/>
                <w:szCs w:val="18"/>
                <w:b w:val="1"/>
                <w:bCs w:val="1"/>
                <w:color w:val="auto"/>
              </w:rPr>
              <w:t>PART II. OTHER INFORMATION</w:t>
            </w:r>
          </w:p>
        </w:tc>
        <w:tc>
          <w:tcPr>
            <w:tcW w:w="0" w:type="dxa"/>
            <w:vAlign w:val="bottom"/>
          </w:tcPr>
          <w:p>
            <w:pPr>
              <w:spacing w:after="0"/>
              <w:rPr>
                <w:sz w:val="1"/>
                <w:szCs w:val="1"/>
                <w:color w:val="auto"/>
              </w:rPr>
            </w:pPr>
          </w:p>
        </w:tc>
      </w:tr>
      <w:tr>
        <w:trPr>
          <w:trHeight w:val="351"/>
        </w:trPr>
        <w:tc>
          <w:tcPr>
            <w:tcW w:w="11420" w:type="dxa"/>
            <w:vAlign w:val="bottom"/>
            <w:gridSpan w:val="15"/>
          </w:tcPr>
          <w:p>
            <w:pPr>
              <w:spacing w:after="0"/>
              <w:rPr>
                <w:sz w:val="20"/>
                <w:szCs w:val="20"/>
                <w:color w:val="auto"/>
              </w:rPr>
            </w:pPr>
            <w:r>
              <w:rPr>
                <w:rFonts w:ascii="Arial" w:cs="Arial" w:eastAsia="Arial" w:hAnsi="Arial"/>
                <w:sz w:val="18"/>
                <w:szCs w:val="18"/>
                <w:b w:val="1"/>
                <w:bCs w:val="1"/>
                <w:color w:val="auto"/>
              </w:rPr>
              <w:t>Item 6. Exhibits</w:t>
            </w: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97"/>
        </w:trPr>
        <w:tc>
          <w:tcPr>
            <w:tcW w:w="1180" w:type="dxa"/>
            <w:vAlign w:val="bottom"/>
          </w:tcPr>
          <w:p>
            <w:pPr>
              <w:ind w:left="400"/>
              <w:spacing w:after="0"/>
              <w:rPr>
                <w:sz w:val="20"/>
                <w:szCs w:val="20"/>
                <w:color w:val="auto"/>
              </w:rPr>
            </w:pPr>
            <w:r>
              <w:rPr>
                <w:rFonts w:ascii="Arial" w:cs="Arial" w:eastAsia="Arial" w:hAnsi="Arial"/>
                <w:sz w:val="14"/>
                <w:szCs w:val="14"/>
                <w:b w:val="1"/>
                <w:bCs w:val="1"/>
                <w:color w:val="auto"/>
              </w:rPr>
              <w:t>Exhibit</w:t>
            </w:r>
          </w:p>
        </w:tc>
        <w:tc>
          <w:tcPr>
            <w:tcW w:w="4040" w:type="dxa"/>
            <w:vAlign w:val="bottom"/>
          </w:tcPr>
          <w:p>
            <w:pPr>
              <w:spacing w:after="0"/>
              <w:rPr>
                <w:sz w:val="24"/>
                <w:szCs w:val="24"/>
                <w:color w:val="auto"/>
              </w:rPr>
            </w:pPr>
          </w:p>
        </w:tc>
        <w:tc>
          <w:tcPr>
            <w:tcW w:w="6200" w:type="dxa"/>
            <w:vAlign w:val="bottom"/>
            <w:gridSpan w:val="13"/>
            <w:vMerge w:val="restart"/>
          </w:tcPr>
          <w:p>
            <w:pPr>
              <w:ind w:left="60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Number</w:t>
            </w:r>
          </w:p>
        </w:tc>
        <w:tc>
          <w:tcPr>
            <w:tcW w:w="4040" w:type="dxa"/>
            <w:vAlign w:val="bottom"/>
            <w:tcBorders>
              <w:bottom w:val="single" w:sz="8" w:color="auto"/>
            </w:tcBorders>
          </w:tcPr>
          <w:p>
            <w:pPr>
              <w:spacing w:after="0"/>
              <w:rPr>
                <w:sz w:val="17"/>
                <w:szCs w:val="17"/>
                <w:color w:val="auto"/>
              </w:rPr>
            </w:pPr>
          </w:p>
        </w:tc>
        <w:tc>
          <w:tcPr>
            <w:tcW w:w="6200" w:type="dxa"/>
            <w:vAlign w:val="bottom"/>
            <w:tcBorders>
              <w:bottom w:val="single" w:sz="8" w:color="auto"/>
            </w:tcBorders>
            <w:gridSpan w:val="1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72"/>
        </w:trPr>
        <w:tc>
          <w:tcPr>
            <w:tcW w:w="1180" w:type="dxa"/>
            <w:vAlign w:val="bottom"/>
          </w:tcPr>
          <w:p>
            <w:pPr>
              <w:ind w:left="180"/>
              <w:spacing w:after="0"/>
              <w:rPr>
                <w:sz w:val="20"/>
                <w:szCs w:val="20"/>
                <w:color w:val="auto"/>
              </w:rPr>
            </w:pPr>
            <w:r>
              <w:rPr>
                <w:rFonts w:ascii="Arial" w:cs="Arial" w:eastAsia="Arial" w:hAnsi="Arial"/>
                <w:sz w:val="16"/>
                <w:szCs w:val="16"/>
                <w:color w:val="auto"/>
              </w:rPr>
              <w:t>3.1</w:t>
            </w:r>
          </w:p>
        </w:tc>
        <w:tc>
          <w:tcPr>
            <w:tcW w:w="9940" w:type="dxa"/>
            <w:vAlign w:val="bottom"/>
            <w:tcBorders>
              <w:bottom w:val="single" w:sz="8" w:color="0000FF"/>
            </w:tcBorders>
            <w:gridSpan w:val="10"/>
          </w:tcPr>
          <w:p>
            <w:pPr>
              <w:spacing w:after="0"/>
              <w:rPr>
                <w:rFonts w:ascii="Arial" w:cs="Arial" w:eastAsia="Arial" w:hAnsi="Arial"/>
                <w:sz w:val="16"/>
                <w:szCs w:val="16"/>
                <w:color w:val="0000FF"/>
              </w:rPr>
            </w:pPr>
            <w:hyperlink r:id="rId12">
              <w:r>
                <w:rPr>
                  <w:rFonts w:ascii="Arial" w:cs="Arial" w:eastAsia="Arial" w:hAnsi="Arial"/>
                  <w:sz w:val="16"/>
                  <w:szCs w:val="16"/>
                  <w:color w:val="0000FF"/>
                </w:rPr>
                <w:t>Restated Certificate of Incorporation of the Company dated November 13, 2003 (incorporated by reference to Exhibit 3.1 to the Company’s</w:t>
              </w:r>
            </w:hyperlink>
          </w:p>
        </w:tc>
        <w:tc>
          <w:tcPr>
            <w:tcW w:w="3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5420" w:type="dxa"/>
            <w:vAlign w:val="bottom"/>
            <w:tcBorders>
              <w:bottom w:val="single" w:sz="8" w:color="0000FF"/>
            </w:tcBorders>
            <w:gridSpan w:val="4"/>
          </w:tcPr>
          <w:p>
            <w:pPr>
              <w:spacing w:after="0" w:line="169" w:lineRule="exact"/>
              <w:rPr>
                <w:rFonts w:ascii="Arial" w:cs="Arial" w:eastAsia="Arial" w:hAnsi="Arial"/>
                <w:sz w:val="16"/>
                <w:szCs w:val="16"/>
                <w:color w:val="0000FF"/>
              </w:rPr>
            </w:pPr>
            <w:hyperlink r:id="rId12">
              <w:r>
                <w:rPr>
                  <w:rFonts w:ascii="Arial" w:cs="Arial" w:eastAsia="Arial" w:hAnsi="Arial"/>
                  <w:sz w:val="16"/>
                  <w:szCs w:val="16"/>
                  <w:color w:val="0000FF"/>
                </w:rPr>
                <w:t>Annual Report on Form 10-K for the fiscal year ended December 28, 2003).</w:t>
              </w:r>
            </w:hyperlink>
          </w:p>
        </w:tc>
        <w:tc>
          <w:tcPr>
            <w:tcW w:w="482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1180" w:type="dxa"/>
            <w:vAlign w:val="bottom"/>
          </w:tcPr>
          <w:p>
            <w:pPr>
              <w:ind w:left="180"/>
              <w:spacing w:after="0"/>
              <w:rPr>
                <w:sz w:val="20"/>
                <w:szCs w:val="20"/>
                <w:color w:val="auto"/>
              </w:rPr>
            </w:pPr>
            <w:r>
              <w:rPr>
                <w:rFonts w:ascii="Arial" w:cs="Arial" w:eastAsia="Arial" w:hAnsi="Arial"/>
                <w:sz w:val="16"/>
                <w:szCs w:val="16"/>
                <w:color w:val="auto"/>
              </w:rPr>
              <w:t>3.2</w:t>
            </w:r>
          </w:p>
        </w:tc>
        <w:tc>
          <w:tcPr>
            <w:tcW w:w="9540" w:type="dxa"/>
            <w:vAlign w:val="bottom"/>
            <w:tcBorders>
              <w:bottom w:val="single" w:sz="8" w:color="0000FF"/>
            </w:tcBorders>
            <w:gridSpan w:val="7"/>
          </w:tcPr>
          <w:p>
            <w:pPr>
              <w:spacing w:after="0"/>
              <w:rPr>
                <w:rFonts w:ascii="Arial" w:cs="Arial" w:eastAsia="Arial" w:hAnsi="Arial"/>
                <w:sz w:val="16"/>
                <w:szCs w:val="16"/>
                <w:color w:val="0000FF"/>
              </w:rPr>
            </w:pPr>
            <w:hyperlink r:id="rId13">
              <w:r>
                <w:rPr>
                  <w:rFonts w:ascii="Arial" w:cs="Arial" w:eastAsia="Arial" w:hAnsi="Arial"/>
                  <w:sz w:val="16"/>
                  <w:szCs w:val="16"/>
                  <w:color w:val="0000FF"/>
                </w:rPr>
                <w:t>Certificate of Amendment, effective November 29, 2013, to the Restated Certificate of Incorporation of the Company (incorporated by</w:t>
              </w:r>
            </w:hyperlink>
          </w:p>
        </w:tc>
        <w:tc>
          <w:tcPr>
            <w:tcW w:w="7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7020" w:type="dxa"/>
            <w:vAlign w:val="bottom"/>
            <w:tcBorders>
              <w:bottom w:val="single" w:sz="8" w:color="0000FF"/>
            </w:tcBorders>
            <w:gridSpan w:val="5"/>
          </w:tcPr>
          <w:p>
            <w:pPr>
              <w:spacing w:after="0" w:line="169" w:lineRule="exact"/>
              <w:rPr>
                <w:rFonts w:ascii="Arial" w:cs="Arial" w:eastAsia="Arial" w:hAnsi="Arial"/>
                <w:sz w:val="16"/>
                <w:szCs w:val="16"/>
                <w:color w:val="0000FF"/>
              </w:rPr>
            </w:pPr>
            <w:hyperlink r:id="rId13">
              <w:r>
                <w:rPr>
                  <w:rFonts w:ascii="Arial" w:cs="Arial" w:eastAsia="Arial" w:hAnsi="Arial"/>
                  <w:sz w:val="16"/>
                  <w:szCs w:val="16"/>
                  <w:color w:val="0000FF"/>
                </w:rPr>
                <w:t>reference to Exhibit 3.1 to the Company’s current Report on Form 8-K dated November 29, 2013).</w:t>
              </w:r>
            </w:hyperlink>
          </w:p>
        </w:tc>
        <w:tc>
          <w:tcPr>
            <w:tcW w:w="322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1180" w:type="dxa"/>
            <w:vAlign w:val="bottom"/>
          </w:tcPr>
          <w:p>
            <w:pPr>
              <w:ind w:left="180"/>
              <w:spacing w:after="0"/>
              <w:rPr>
                <w:sz w:val="20"/>
                <w:szCs w:val="20"/>
                <w:color w:val="auto"/>
              </w:rPr>
            </w:pPr>
            <w:r>
              <w:rPr>
                <w:rFonts w:ascii="Arial" w:cs="Arial" w:eastAsia="Arial" w:hAnsi="Arial"/>
                <w:sz w:val="16"/>
                <w:szCs w:val="16"/>
                <w:color w:val="auto"/>
              </w:rPr>
              <w:t>3.3</w:t>
            </w:r>
          </w:p>
        </w:tc>
        <w:tc>
          <w:tcPr>
            <w:tcW w:w="10000" w:type="dxa"/>
            <w:vAlign w:val="bottom"/>
            <w:tcBorders>
              <w:bottom w:val="single" w:sz="8" w:color="0000FF"/>
            </w:tcBorders>
            <w:gridSpan w:val="11"/>
          </w:tcPr>
          <w:p>
            <w:pPr>
              <w:spacing w:after="0"/>
              <w:rPr>
                <w:rFonts w:ascii="Arial" w:cs="Arial" w:eastAsia="Arial" w:hAnsi="Arial"/>
                <w:sz w:val="16"/>
                <w:szCs w:val="16"/>
                <w:color w:val="0000FF"/>
              </w:rPr>
            </w:pPr>
            <w:hyperlink r:id="rId14">
              <w:r>
                <w:rPr>
                  <w:rFonts w:ascii="Arial" w:cs="Arial" w:eastAsia="Arial" w:hAnsi="Arial"/>
                  <w:sz w:val="16"/>
                  <w:szCs w:val="16"/>
                  <w:color w:val="0000FF"/>
                </w:rPr>
                <w:t>By-Laws of the Company as amended and restated through November 29, 2013 (incorporated by reference to Exhibit 3.2 to the Company’s</w:t>
              </w:r>
            </w:hyperlink>
          </w:p>
        </w:tc>
        <w:tc>
          <w:tcPr>
            <w:tcW w:w="2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4040" w:type="dxa"/>
            <w:vAlign w:val="bottom"/>
            <w:tcBorders>
              <w:bottom w:val="single" w:sz="8" w:color="0000FF"/>
            </w:tcBorders>
          </w:tcPr>
          <w:p>
            <w:pPr>
              <w:spacing w:after="0" w:line="169" w:lineRule="exact"/>
              <w:rPr>
                <w:rFonts w:ascii="Arial" w:cs="Arial" w:eastAsia="Arial" w:hAnsi="Arial"/>
                <w:sz w:val="16"/>
                <w:szCs w:val="16"/>
                <w:color w:val="0000FF"/>
              </w:rPr>
            </w:pPr>
            <w:hyperlink r:id="rId14">
              <w:r>
                <w:rPr>
                  <w:rFonts w:ascii="Arial" w:cs="Arial" w:eastAsia="Arial" w:hAnsi="Arial"/>
                  <w:sz w:val="16"/>
                  <w:szCs w:val="16"/>
                  <w:color w:val="0000FF"/>
                </w:rPr>
                <w:t>Current Report on Form 8-K dated November 29, 2013).</w:t>
              </w:r>
            </w:hyperlink>
          </w:p>
        </w:tc>
        <w:tc>
          <w:tcPr>
            <w:tcW w:w="6200" w:type="dxa"/>
            <w:vAlign w:val="bottom"/>
            <w:gridSpan w:val="13"/>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1180" w:type="dxa"/>
            <w:vAlign w:val="bottom"/>
          </w:tcPr>
          <w:p>
            <w:pPr>
              <w:ind w:left="180"/>
              <w:spacing w:after="0"/>
              <w:rPr>
                <w:sz w:val="20"/>
                <w:szCs w:val="20"/>
                <w:color w:val="auto"/>
              </w:rPr>
            </w:pPr>
            <w:r>
              <w:rPr>
                <w:rFonts w:ascii="Arial" w:cs="Arial" w:eastAsia="Arial" w:hAnsi="Arial"/>
                <w:sz w:val="16"/>
                <w:szCs w:val="16"/>
                <w:color w:val="auto"/>
              </w:rPr>
              <w:t>4.1</w:t>
            </w:r>
          </w:p>
        </w:tc>
        <w:tc>
          <w:tcPr>
            <w:tcW w:w="10140" w:type="dxa"/>
            <w:vAlign w:val="bottom"/>
            <w:tcBorders>
              <w:bottom w:val="single" w:sz="8" w:color="0000FF"/>
            </w:tcBorders>
            <w:gridSpan w:val="13"/>
          </w:tcPr>
          <w:p>
            <w:pPr>
              <w:spacing w:after="0"/>
              <w:rPr>
                <w:rFonts w:ascii="Arial" w:cs="Arial" w:eastAsia="Arial" w:hAnsi="Arial"/>
                <w:sz w:val="16"/>
                <w:szCs w:val="16"/>
                <w:color w:val="0000FF"/>
              </w:rPr>
            </w:pPr>
            <w:hyperlink r:id="rId15">
              <w:r>
                <w:rPr>
                  <w:rFonts w:ascii="Arial" w:cs="Arial" w:eastAsia="Arial" w:hAnsi="Arial"/>
                  <w:sz w:val="16"/>
                  <w:szCs w:val="16"/>
                  <w:color w:val="0000FF"/>
                </w:rPr>
                <w:t>Senior Notes Indenture dated as of May 30, 2018, between the Company and The Bank of New York Mellon Trust Company, N.A., as Trustee</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10240" w:type="dxa"/>
            <w:vAlign w:val="bottom"/>
            <w:gridSpan w:val="14"/>
          </w:tcPr>
          <w:p>
            <w:pPr>
              <w:spacing w:after="0" w:line="169" w:lineRule="exact"/>
              <w:rPr>
                <w:rFonts w:ascii="Arial" w:cs="Arial" w:eastAsia="Arial" w:hAnsi="Arial"/>
                <w:sz w:val="16"/>
                <w:szCs w:val="16"/>
                <w:color w:val="0000FF"/>
              </w:rPr>
            </w:pPr>
            <w:hyperlink r:id="rId15">
              <w:r>
                <w:rPr>
                  <w:rFonts w:ascii="Arial" w:cs="Arial" w:eastAsia="Arial" w:hAnsi="Arial"/>
                  <w:sz w:val="16"/>
                  <w:szCs w:val="16"/>
                  <w:color w:val="0000FF"/>
                </w:rPr>
                <w:t>(incorporated by reference to Exhibit 4.1 to the Company’s Current Report on Form 8-K dated May 24, 2018).</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8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80" w:type="dxa"/>
            <w:vAlign w:val="bottom"/>
          </w:tcPr>
          <w:p>
            <w:pPr>
              <w:ind w:left="180"/>
              <w:spacing w:after="0"/>
              <w:rPr>
                <w:sz w:val="20"/>
                <w:szCs w:val="20"/>
                <w:color w:val="auto"/>
              </w:rPr>
            </w:pPr>
            <w:r>
              <w:rPr>
                <w:rFonts w:ascii="Arial" w:cs="Arial" w:eastAsia="Arial" w:hAnsi="Arial"/>
                <w:sz w:val="16"/>
                <w:szCs w:val="16"/>
                <w:color w:val="auto"/>
              </w:rPr>
              <w:t>4.2</w:t>
            </w:r>
          </w:p>
        </w:tc>
        <w:tc>
          <w:tcPr>
            <w:tcW w:w="10240" w:type="dxa"/>
            <w:vAlign w:val="bottom"/>
            <w:gridSpan w:val="14"/>
          </w:tcPr>
          <w:p>
            <w:pPr>
              <w:spacing w:after="0"/>
              <w:rPr>
                <w:rFonts w:ascii="Arial" w:cs="Arial" w:eastAsia="Arial" w:hAnsi="Arial"/>
                <w:sz w:val="16"/>
                <w:szCs w:val="16"/>
                <w:color w:val="0000FF"/>
              </w:rPr>
            </w:pPr>
            <w:hyperlink r:id="rId16">
              <w:r>
                <w:rPr>
                  <w:rFonts w:ascii="Arial" w:cs="Arial" w:eastAsia="Arial" w:hAnsi="Arial"/>
                  <w:sz w:val="16"/>
                  <w:szCs w:val="16"/>
                  <w:color w:val="0000FF"/>
                </w:rPr>
                <w:t>Amended and Restated Five Year Credit Agreement, dated as of May 30, 2018, among the Company, and the foreign borrowers from time to</w:t>
              </w:r>
            </w:hyperlink>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9800" w:type="dxa"/>
            <w:vAlign w:val="bottom"/>
            <w:tcBorders>
              <w:top w:val="single" w:sz="8" w:color="0000FF"/>
              <w:bottom w:val="single" w:sz="8" w:color="0000FF"/>
            </w:tcBorders>
            <w:gridSpan w:val="8"/>
          </w:tcPr>
          <w:p>
            <w:pPr>
              <w:spacing w:after="0" w:line="169" w:lineRule="exact"/>
              <w:rPr>
                <w:rFonts w:ascii="Arial" w:cs="Arial" w:eastAsia="Arial" w:hAnsi="Arial"/>
                <w:sz w:val="16"/>
                <w:szCs w:val="16"/>
                <w:color w:val="0000FF"/>
              </w:rPr>
            </w:pPr>
            <w:hyperlink r:id="rId16">
              <w:r>
                <w:rPr>
                  <w:rFonts w:ascii="Arial" w:cs="Arial" w:eastAsia="Arial" w:hAnsi="Arial"/>
                  <w:sz w:val="16"/>
                  <w:szCs w:val="16"/>
                  <w:color w:val="0000FF"/>
                </w:rPr>
                <w:t>time party thereto, and certain of its domestic subsidiaries as guarantors, the several lenders from time to time party thereto, Wells Fargo</w:t>
              </w:r>
            </w:hyperlink>
          </w:p>
        </w:tc>
        <w:tc>
          <w:tcPr>
            <w:tcW w:w="280" w:type="dxa"/>
            <w:vAlign w:val="bottom"/>
            <w:tcBorders>
              <w:top w:val="single" w:sz="8" w:color="0000FF"/>
            </w:tcBorders>
            <w:gridSpan w:val="4"/>
          </w:tcPr>
          <w:p>
            <w:pPr>
              <w:spacing w:after="0"/>
              <w:rPr>
                <w:sz w:val="14"/>
                <w:szCs w:val="14"/>
                <w:color w:val="auto"/>
              </w:rPr>
            </w:pPr>
          </w:p>
        </w:tc>
        <w:tc>
          <w:tcPr>
            <w:tcW w:w="1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9900" w:type="dxa"/>
            <w:vAlign w:val="bottom"/>
            <w:tcBorders>
              <w:bottom w:val="single" w:sz="8" w:color="0000FF"/>
            </w:tcBorders>
            <w:gridSpan w:val="9"/>
          </w:tcPr>
          <w:p>
            <w:pPr>
              <w:spacing w:after="0" w:line="169" w:lineRule="exact"/>
              <w:rPr>
                <w:rFonts w:ascii="Arial" w:cs="Arial" w:eastAsia="Arial" w:hAnsi="Arial"/>
                <w:sz w:val="16"/>
                <w:szCs w:val="16"/>
                <w:color w:val="0000FF"/>
              </w:rPr>
            </w:pPr>
            <w:hyperlink r:id="rId16">
              <w:r>
                <w:rPr>
                  <w:rFonts w:ascii="Arial" w:cs="Arial" w:eastAsia="Arial" w:hAnsi="Arial"/>
                  <w:sz w:val="16"/>
                  <w:szCs w:val="16"/>
                  <w:color w:val="0000FF"/>
                </w:rPr>
                <w:t>Bank, National Association, as Administrative Agent and JPMorgan Chase Bank, N.A., as Syndication Agent (incorporated by reference to</w:t>
              </w:r>
            </w:hyperlink>
          </w:p>
        </w:tc>
        <w:tc>
          <w:tcPr>
            <w:tcW w:w="34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10240" w:type="dxa"/>
            <w:vAlign w:val="bottom"/>
            <w:gridSpan w:val="14"/>
          </w:tcPr>
          <w:p>
            <w:pPr>
              <w:spacing w:after="0" w:line="169" w:lineRule="exact"/>
              <w:rPr>
                <w:rFonts w:ascii="Arial" w:cs="Arial" w:eastAsia="Arial" w:hAnsi="Arial"/>
                <w:sz w:val="16"/>
                <w:szCs w:val="16"/>
                <w:color w:val="0000FF"/>
              </w:rPr>
            </w:pPr>
            <w:hyperlink r:id="rId16">
              <w:r>
                <w:rPr>
                  <w:rFonts w:ascii="Arial" w:cs="Arial" w:eastAsia="Arial" w:hAnsi="Arial"/>
                  <w:sz w:val="16"/>
                  <w:szCs w:val="16"/>
                  <w:color w:val="0000FF"/>
                </w:rPr>
                <w:t>Exhibit 4.2 to the Company’s Quarterly Report on Form 10-Q for the period ended June 30, 2018).</w:t>
              </w:r>
            </w:hyperlink>
          </w:p>
        </w:tc>
        <w:tc>
          <w:tcPr>
            <w:tcW w:w="0" w:type="dxa"/>
            <w:vAlign w:val="bottom"/>
          </w:tcPr>
          <w:p>
            <w:pPr>
              <w:spacing w:after="0"/>
              <w:rPr>
                <w:sz w:val="1"/>
                <w:szCs w:val="1"/>
                <w:color w:val="auto"/>
              </w:rPr>
            </w:pPr>
          </w:p>
        </w:tc>
      </w:tr>
      <w:tr>
        <w:trPr>
          <w:trHeight w:val="507"/>
        </w:trPr>
        <w:tc>
          <w:tcPr>
            <w:tcW w:w="1180" w:type="dxa"/>
            <w:vAlign w:val="bottom"/>
          </w:tcPr>
          <w:p>
            <w:pPr>
              <w:ind w:left="180"/>
              <w:spacing w:after="0"/>
              <w:rPr>
                <w:sz w:val="20"/>
                <w:szCs w:val="20"/>
                <w:color w:val="auto"/>
              </w:rPr>
            </w:pPr>
            <w:r>
              <w:rPr>
                <w:rFonts w:ascii="Arial" w:cs="Arial" w:eastAsia="Arial" w:hAnsi="Arial"/>
                <w:sz w:val="16"/>
                <w:szCs w:val="16"/>
                <w:color w:val="auto"/>
              </w:rPr>
              <w:t>31.1</w:t>
            </w:r>
          </w:p>
        </w:tc>
        <w:tc>
          <w:tcPr>
            <w:tcW w:w="7020" w:type="dxa"/>
            <w:vAlign w:val="bottom"/>
            <w:tcBorders>
              <w:top w:val="single" w:sz="8" w:color="0000FF"/>
            </w:tcBorders>
            <w:gridSpan w:val="5"/>
          </w:tcPr>
          <w:p>
            <w:pPr>
              <w:spacing w:after="0"/>
              <w:rPr>
                <w:rFonts w:ascii="Arial" w:cs="Arial" w:eastAsia="Arial" w:hAnsi="Arial"/>
                <w:sz w:val="16"/>
                <w:szCs w:val="16"/>
                <w:color w:val="0000FF"/>
              </w:rPr>
            </w:pPr>
            <w:hyperlink w:anchor="page41">
              <w:r>
                <w:rPr>
                  <w:rFonts w:ascii="Arial" w:cs="Arial" w:eastAsia="Arial" w:hAnsi="Arial"/>
                  <w:sz w:val="16"/>
                  <w:szCs w:val="16"/>
                  <w:color w:val="0000FF"/>
                </w:rPr>
                <w:t>Rule 13a-14(a)/15d-14(a) Certification of the Chief Executive Officer.</w:t>
              </w:r>
            </w:hyperlink>
          </w:p>
        </w:tc>
        <w:tc>
          <w:tcPr>
            <w:tcW w:w="32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180" w:type="dxa"/>
            <w:vAlign w:val="bottom"/>
          </w:tcPr>
          <w:p>
            <w:pPr>
              <w:ind w:left="180"/>
              <w:spacing w:after="0"/>
              <w:rPr>
                <w:sz w:val="20"/>
                <w:szCs w:val="20"/>
                <w:color w:val="auto"/>
              </w:rPr>
            </w:pPr>
            <w:r>
              <w:rPr>
                <w:rFonts w:ascii="Arial" w:cs="Arial" w:eastAsia="Arial" w:hAnsi="Arial"/>
                <w:sz w:val="16"/>
                <w:szCs w:val="16"/>
                <w:color w:val="auto"/>
              </w:rPr>
              <w:t>31.2</w:t>
            </w:r>
          </w:p>
        </w:tc>
        <w:tc>
          <w:tcPr>
            <w:tcW w:w="4860" w:type="dxa"/>
            <w:vAlign w:val="bottom"/>
            <w:tcBorders>
              <w:top w:val="single" w:sz="8" w:color="0000FF"/>
              <w:bottom w:val="single" w:sz="8" w:color="0000FF"/>
            </w:tcBorders>
            <w:gridSpan w:val="2"/>
          </w:tcPr>
          <w:p>
            <w:pPr>
              <w:spacing w:after="0"/>
              <w:rPr>
                <w:rFonts w:ascii="Arial" w:cs="Arial" w:eastAsia="Arial" w:hAnsi="Arial"/>
                <w:sz w:val="16"/>
                <w:szCs w:val="16"/>
                <w:color w:val="0000FF"/>
              </w:rPr>
            </w:pPr>
            <w:hyperlink w:anchor="page42">
              <w:r>
                <w:rPr>
                  <w:rFonts w:ascii="Arial" w:cs="Arial" w:eastAsia="Arial" w:hAnsi="Arial"/>
                  <w:sz w:val="16"/>
                  <w:szCs w:val="16"/>
                  <w:color w:val="0000FF"/>
                </w:rPr>
                <w:t>Rule 13a-14(a)/15d-14(a) Certification of the Chief Financial Officer.</w:t>
              </w:r>
            </w:hyperlink>
          </w:p>
        </w:tc>
        <w:tc>
          <w:tcPr>
            <w:tcW w:w="40" w:type="dxa"/>
            <w:vAlign w:val="bottom"/>
            <w:tcBorders>
              <w:top w:val="single" w:sz="8" w:color="0000FF"/>
            </w:tcBorders>
          </w:tcPr>
          <w:p>
            <w:pPr>
              <w:spacing w:after="0"/>
              <w:rPr>
                <w:sz w:val="24"/>
                <w:szCs w:val="24"/>
                <w:color w:val="auto"/>
              </w:rPr>
            </w:pPr>
          </w:p>
        </w:tc>
        <w:tc>
          <w:tcPr>
            <w:tcW w:w="53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1180" w:hanging="1010"/>
        <w:spacing w:after="0"/>
        <w:tabs>
          <w:tab w:leader="none" w:pos="1180" w:val="left"/>
        </w:tabs>
        <w:numPr>
          <w:ilvl w:val="0"/>
          <w:numId w:val="12"/>
        </w:numPr>
        <w:rPr>
          <w:rFonts w:ascii="Arial" w:cs="Arial" w:eastAsia="Arial" w:hAnsi="Arial"/>
          <w:sz w:val="16"/>
          <w:szCs w:val="16"/>
          <w:color w:val="0000FF"/>
        </w:rPr>
      </w:pPr>
      <w:hyperlink w:anchor="page43">
        <w:r>
          <w:rPr>
            <w:rFonts w:ascii="Arial" w:cs="Arial" w:eastAsia="Arial" w:hAnsi="Arial"/>
            <w:sz w:val="16"/>
            <w:szCs w:val="16"/>
            <w:u w:val="single" w:color="auto"/>
            <w:color w:val="0000FF"/>
          </w:rPr>
          <w:t>Section 1350 Certification of the Chief Executive Officer and the Chief Financial Officer.</w:t>
        </w:r>
        <w:r>
          <w:rPr>
            <w:rFonts w:ascii="Arial" w:cs="Arial" w:eastAsia="Arial" w:hAnsi="Arial"/>
            <w:sz w:val="16"/>
            <w:szCs w:val="16"/>
            <w:color w:val="0000FF"/>
          </w:rPr>
          <w:t xml:space="preserve"> </w:t>
        </w:r>
      </w:hyperlink>
      <w:r>
        <w:rPr>
          <w:rFonts w:ascii="Arial" w:cs="Arial" w:eastAsia="Arial" w:hAnsi="Arial"/>
          <w:sz w:val="16"/>
          <w:szCs w:val="16"/>
          <w:color w:val="000000"/>
        </w:rPr>
        <w:t>*</w:t>
      </w:r>
    </w:p>
    <w:p>
      <w:pPr>
        <w:spacing w:after="0" w:line="329" w:lineRule="exact"/>
        <w:rPr>
          <w:sz w:val="20"/>
          <w:szCs w:val="20"/>
          <w:color w:val="auto"/>
        </w:rPr>
      </w:pPr>
    </w:p>
    <w:tbl>
      <w:tblPr>
        <w:tblLayout w:type="fixed"/>
        <w:tblInd w:w="180" w:type="dxa"/>
        <w:tblCellMar>
          <w:top w:w="0" w:type="dxa"/>
          <w:left w:w="0" w:type="dxa"/>
          <w:bottom w:w="0" w:type="dxa"/>
          <w:right w:w="0" w:type="dxa"/>
        </w:tblCellMar>
      </w:tblPr>
      <w:tr>
        <w:trPr>
          <w:trHeight w:val="189"/>
        </w:trPr>
        <w:tc>
          <w:tcPr>
            <w:tcW w:w="820" w:type="dxa"/>
            <w:vAlign w:val="bottom"/>
          </w:tcPr>
          <w:p>
            <w:pPr>
              <w:spacing w:after="0"/>
              <w:rPr>
                <w:sz w:val="20"/>
                <w:szCs w:val="20"/>
                <w:color w:val="auto"/>
              </w:rPr>
            </w:pPr>
            <w:r>
              <w:rPr>
                <w:rFonts w:ascii="Arial" w:cs="Arial" w:eastAsia="Arial" w:hAnsi="Arial"/>
                <w:sz w:val="16"/>
                <w:szCs w:val="16"/>
                <w:color w:val="auto"/>
              </w:rPr>
              <w:t>101.INS</w:t>
            </w:r>
          </w:p>
        </w:tc>
        <w:tc>
          <w:tcPr>
            <w:tcW w:w="10200" w:type="dxa"/>
            <w:vAlign w:val="bottom"/>
          </w:tcPr>
          <w:p>
            <w:pPr>
              <w:ind w:left="180"/>
              <w:spacing w:after="0"/>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 embedded within</w:t>
            </w:r>
          </w:p>
        </w:tc>
      </w:tr>
      <w:tr>
        <w:trPr>
          <w:trHeight w:val="195"/>
        </w:trPr>
        <w:tc>
          <w:tcPr>
            <w:tcW w:w="820" w:type="dxa"/>
            <w:vAlign w:val="bottom"/>
          </w:tcPr>
          <w:p>
            <w:pPr>
              <w:spacing w:after="0"/>
              <w:rPr>
                <w:sz w:val="16"/>
                <w:szCs w:val="16"/>
                <w:color w:val="auto"/>
              </w:rPr>
            </w:pPr>
          </w:p>
        </w:tc>
        <w:tc>
          <w:tcPr>
            <w:tcW w:w="10200" w:type="dxa"/>
            <w:vAlign w:val="bottom"/>
          </w:tcPr>
          <w:p>
            <w:pPr>
              <w:ind w:left="180"/>
              <w:spacing w:after="0"/>
              <w:rPr>
                <w:sz w:val="20"/>
                <w:szCs w:val="20"/>
                <w:color w:val="auto"/>
              </w:rPr>
            </w:pPr>
            <w:r>
              <w:rPr>
                <w:rFonts w:ascii="Arial" w:cs="Arial" w:eastAsia="Arial" w:hAnsi="Arial"/>
                <w:sz w:val="16"/>
                <w:szCs w:val="16"/>
                <w:color w:val="auto"/>
              </w:rPr>
              <w:t>the Inline XBRL document</w:t>
            </w:r>
          </w:p>
        </w:tc>
      </w:tr>
      <w:tr>
        <w:trPr>
          <w:trHeight w:val="527"/>
        </w:trPr>
        <w:tc>
          <w:tcPr>
            <w:tcW w:w="820" w:type="dxa"/>
            <w:vAlign w:val="bottom"/>
          </w:tcPr>
          <w:p>
            <w:pPr>
              <w:spacing w:after="0"/>
              <w:rPr>
                <w:sz w:val="20"/>
                <w:szCs w:val="20"/>
                <w:color w:val="auto"/>
              </w:rPr>
            </w:pPr>
            <w:r>
              <w:rPr>
                <w:rFonts w:ascii="Arial" w:cs="Arial" w:eastAsia="Arial" w:hAnsi="Arial"/>
                <w:sz w:val="16"/>
                <w:szCs w:val="16"/>
                <w:color w:val="auto"/>
              </w:rPr>
              <w:t>101.SCH</w:t>
            </w:r>
          </w:p>
        </w:tc>
        <w:tc>
          <w:tcPr>
            <w:tcW w:w="10200" w:type="dxa"/>
            <w:vAlign w:val="bottom"/>
          </w:tcPr>
          <w:p>
            <w:pPr>
              <w:ind w:left="180"/>
              <w:spacing w:after="0"/>
              <w:rPr>
                <w:sz w:val="20"/>
                <w:szCs w:val="20"/>
                <w:color w:val="auto"/>
              </w:rPr>
            </w:pPr>
            <w:r>
              <w:rPr>
                <w:rFonts w:ascii="Arial" w:cs="Arial" w:eastAsia="Arial" w:hAnsi="Arial"/>
                <w:sz w:val="16"/>
                <w:szCs w:val="16"/>
                <w:color w:val="auto"/>
              </w:rPr>
              <w:t>XBRL Taxonomy Extension Schema Document</w:t>
            </w:r>
          </w:p>
        </w:tc>
      </w:tr>
      <w:tr>
        <w:trPr>
          <w:trHeight w:val="527"/>
        </w:trPr>
        <w:tc>
          <w:tcPr>
            <w:tcW w:w="820" w:type="dxa"/>
            <w:vAlign w:val="bottom"/>
          </w:tcPr>
          <w:p>
            <w:pPr>
              <w:spacing w:after="0"/>
              <w:rPr>
                <w:sz w:val="20"/>
                <w:szCs w:val="20"/>
                <w:color w:val="auto"/>
              </w:rPr>
            </w:pPr>
            <w:r>
              <w:rPr>
                <w:rFonts w:ascii="Arial" w:cs="Arial" w:eastAsia="Arial" w:hAnsi="Arial"/>
                <w:sz w:val="16"/>
                <w:szCs w:val="16"/>
                <w:color w:val="auto"/>
              </w:rPr>
              <w:t>101.CAL</w:t>
            </w:r>
          </w:p>
        </w:tc>
        <w:tc>
          <w:tcPr>
            <w:tcW w:w="10200" w:type="dxa"/>
            <w:vAlign w:val="bottom"/>
          </w:tcPr>
          <w:p>
            <w:pPr>
              <w:ind w:left="180"/>
              <w:spacing w:after="0"/>
              <w:rPr>
                <w:sz w:val="20"/>
                <w:szCs w:val="20"/>
                <w:color w:val="auto"/>
              </w:rPr>
            </w:pPr>
            <w:r>
              <w:rPr>
                <w:rFonts w:ascii="Arial" w:cs="Arial" w:eastAsia="Arial" w:hAnsi="Arial"/>
                <w:sz w:val="16"/>
                <w:szCs w:val="16"/>
                <w:color w:val="auto"/>
              </w:rPr>
              <w:t>XBRL Taxonomy Extension Calculation Linkbase Document</w:t>
            </w:r>
          </w:p>
        </w:tc>
      </w:tr>
      <w:tr>
        <w:trPr>
          <w:trHeight w:val="527"/>
        </w:trPr>
        <w:tc>
          <w:tcPr>
            <w:tcW w:w="820" w:type="dxa"/>
            <w:vAlign w:val="bottom"/>
          </w:tcPr>
          <w:p>
            <w:pPr>
              <w:spacing w:after="0"/>
              <w:rPr>
                <w:sz w:val="20"/>
                <w:szCs w:val="20"/>
                <w:color w:val="auto"/>
              </w:rPr>
            </w:pPr>
            <w:r>
              <w:rPr>
                <w:rFonts w:ascii="Arial" w:cs="Arial" w:eastAsia="Arial" w:hAnsi="Arial"/>
                <w:sz w:val="16"/>
                <w:szCs w:val="16"/>
                <w:color w:val="auto"/>
              </w:rPr>
              <w:t>101.DEF</w:t>
            </w:r>
          </w:p>
        </w:tc>
        <w:tc>
          <w:tcPr>
            <w:tcW w:w="10200" w:type="dxa"/>
            <w:vAlign w:val="bottom"/>
          </w:tcPr>
          <w:p>
            <w:pPr>
              <w:ind w:left="180"/>
              <w:spacing w:after="0"/>
              <w:rPr>
                <w:sz w:val="20"/>
                <w:szCs w:val="20"/>
                <w:color w:val="auto"/>
              </w:rPr>
            </w:pPr>
            <w:r>
              <w:rPr>
                <w:rFonts w:ascii="Arial" w:cs="Arial" w:eastAsia="Arial" w:hAnsi="Arial"/>
                <w:sz w:val="16"/>
                <w:szCs w:val="16"/>
                <w:color w:val="auto"/>
              </w:rPr>
              <w:t>XBRL Taxonomy Extension Definition Linkbase Document</w:t>
            </w:r>
          </w:p>
        </w:tc>
      </w:tr>
      <w:tr>
        <w:trPr>
          <w:trHeight w:val="527"/>
        </w:trPr>
        <w:tc>
          <w:tcPr>
            <w:tcW w:w="820" w:type="dxa"/>
            <w:vAlign w:val="bottom"/>
          </w:tcPr>
          <w:p>
            <w:pPr>
              <w:spacing w:after="0"/>
              <w:rPr>
                <w:sz w:val="20"/>
                <w:szCs w:val="20"/>
                <w:color w:val="auto"/>
              </w:rPr>
            </w:pPr>
            <w:r>
              <w:rPr>
                <w:rFonts w:ascii="Arial" w:cs="Arial" w:eastAsia="Arial" w:hAnsi="Arial"/>
                <w:sz w:val="16"/>
                <w:szCs w:val="16"/>
                <w:color w:val="auto"/>
              </w:rPr>
              <w:t>101.LAB</w:t>
            </w:r>
          </w:p>
        </w:tc>
        <w:tc>
          <w:tcPr>
            <w:tcW w:w="10200" w:type="dxa"/>
            <w:vAlign w:val="bottom"/>
          </w:tcPr>
          <w:p>
            <w:pPr>
              <w:ind w:left="180"/>
              <w:spacing w:after="0"/>
              <w:rPr>
                <w:sz w:val="20"/>
                <w:szCs w:val="20"/>
                <w:color w:val="auto"/>
              </w:rPr>
            </w:pPr>
            <w:r>
              <w:rPr>
                <w:rFonts w:ascii="Arial" w:cs="Arial" w:eastAsia="Arial" w:hAnsi="Arial"/>
                <w:sz w:val="16"/>
                <w:szCs w:val="16"/>
                <w:color w:val="auto"/>
              </w:rPr>
              <w:t>XBRL Taxonomy Extension Label Linkbase Document</w:t>
            </w:r>
          </w:p>
        </w:tc>
      </w:tr>
      <w:tr>
        <w:trPr>
          <w:trHeight w:val="527"/>
        </w:trPr>
        <w:tc>
          <w:tcPr>
            <w:tcW w:w="820" w:type="dxa"/>
            <w:vAlign w:val="bottom"/>
          </w:tcPr>
          <w:p>
            <w:pPr>
              <w:spacing w:after="0"/>
              <w:rPr>
                <w:sz w:val="20"/>
                <w:szCs w:val="20"/>
                <w:color w:val="auto"/>
              </w:rPr>
            </w:pPr>
            <w:r>
              <w:rPr>
                <w:rFonts w:ascii="Arial" w:cs="Arial" w:eastAsia="Arial" w:hAnsi="Arial"/>
                <w:sz w:val="16"/>
                <w:szCs w:val="16"/>
                <w:color w:val="auto"/>
              </w:rPr>
              <w:t>101.PRE</w:t>
            </w:r>
          </w:p>
        </w:tc>
        <w:tc>
          <w:tcPr>
            <w:tcW w:w="10200" w:type="dxa"/>
            <w:vAlign w:val="bottom"/>
          </w:tcPr>
          <w:p>
            <w:pPr>
              <w:ind w:left="180"/>
              <w:spacing w:after="0"/>
              <w:rPr>
                <w:sz w:val="20"/>
                <w:szCs w:val="20"/>
                <w:color w:val="auto"/>
              </w:rPr>
            </w:pPr>
            <w:r>
              <w:rPr>
                <w:rFonts w:ascii="Arial" w:cs="Arial" w:eastAsia="Arial" w:hAnsi="Arial"/>
                <w:sz w:val="16"/>
                <w:szCs w:val="16"/>
                <w:color w:val="auto"/>
              </w:rPr>
              <w:t>XBRL Taxonomy Extension Presentation Linkbase Document</w:t>
            </w:r>
          </w:p>
        </w:tc>
      </w:tr>
    </w:tbl>
    <w:p>
      <w:pPr>
        <w:spacing w:after="0" w:line="181"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697"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22"/>
          <w:szCs w:val="22"/>
          <w:b w:val="1"/>
          <w:bCs w:val="1"/>
          <w:color w:val="auto"/>
        </w:rPr>
        <w:t>SIGNATURES</w:t>
      </w:r>
    </w:p>
    <w:p>
      <w:pPr>
        <w:spacing w:after="0" w:line="319"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5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9"/>
              </w:rPr>
              <w:t>GRAHAM HOLDINGS COMPANY</w:t>
            </w:r>
          </w:p>
        </w:tc>
      </w:tr>
      <w:tr>
        <w:trPr>
          <w:trHeight w:val="257"/>
        </w:trPr>
        <w:tc>
          <w:tcPr>
            <w:tcW w:w="356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9"/>
              </w:rPr>
              <w:t>(Registrant)</w:t>
            </w:r>
          </w:p>
        </w:tc>
      </w:tr>
      <w:tr>
        <w:trPr>
          <w:trHeight w:val="561"/>
        </w:trPr>
        <w:tc>
          <w:tcPr>
            <w:tcW w:w="3560" w:type="dxa"/>
            <w:vAlign w:val="bottom"/>
          </w:tcPr>
          <w:p>
            <w:pPr>
              <w:spacing w:after="0"/>
              <w:rPr>
                <w:sz w:val="20"/>
                <w:szCs w:val="20"/>
                <w:color w:val="auto"/>
              </w:rPr>
            </w:pPr>
            <w:r>
              <w:rPr>
                <w:rFonts w:ascii="Arial" w:cs="Arial" w:eastAsia="Arial" w:hAnsi="Arial"/>
                <w:sz w:val="18"/>
                <w:szCs w:val="18"/>
                <w:color w:val="auto"/>
              </w:rPr>
              <w:t>Date: July 31, 2019</w:t>
            </w:r>
          </w:p>
        </w:tc>
        <w:tc>
          <w:tcPr>
            <w:tcW w:w="372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Timothy J. O’Shaughnessy</w:t>
            </w:r>
          </w:p>
        </w:tc>
      </w:tr>
      <w:tr>
        <w:trPr>
          <w:trHeight w:val="176"/>
        </w:trPr>
        <w:tc>
          <w:tcPr>
            <w:tcW w:w="356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Timothy J. O’Shaughnessy,</w:t>
            </w:r>
          </w:p>
        </w:tc>
      </w:tr>
      <w:tr>
        <w:trPr>
          <w:trHeight w:val="162"/>
        </w:trPr>
        <w:tc>
          <w:tcPr>
            <w:tcW w:w="35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President &amp; Chief Executive Officer</w:t>
            </w:r>
          </w:p>
        </w:tc>
      </w:tr>
      <w:tr>
        <w:trPr>
          <w:trHeight w:val="190"/>
        </w:trPr>
        <w:tc>
          <w:tcPr>
            <w:tcW w:w="356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(Principal Executive Officer)</w:t>
            </w:r>
          </w:p>
        </w:tc>
      </w:tr>
      <w:tr>
        <w:trPr>
          <w:trHeight w:val="559"/>
        </w:trPr>
        <w:tc>
          <w:tcPr>
            <w:tcW w:w="3560" w:type="dxa"/>
            <w:vAlign w:val="bottom"/>
          </w:tcPr>
          <w:p>
            <w:pPr>
              <w:spacing w:after="0"/>
              <w:rPr>
                <w:sz w:val="20"/>
                <w:szCs w:val="20"/>
                <w:color w:val="auto"/>
              </w:rPr>
            </w:pPr>
            <w:r>
              <w:rPr>
                <w:rFonts w:ascii="Arial" w:cs="Arial" w:eastAsia="Arial" w:hAnsi="Arial"/>
                <w:sz w:val="18"/>
                <w:szCs w:val="18"/>
                <w:color w:val="auto"/>
              </w:rPr>
              <w:t>Date: July 31, 2019</w:t>
            </w:r>
          </w:p>
        </w:tc>
        <w:tc>
          <w:tcPr>
            <w:tcW w:w="372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Wallace R. Cooney</w:t>
            </w:r>
          </w:p>
        </w:tc>
      </w:tr>
      <w:tr>
        <w:trPr>
          <w:trHeight w:val="176"/>
        </w:trPr>
        <w:tc>
          <w:tcPr>
            <w:tcW w:w="356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Wallace R. Cooney,</w:t>
            </w:r>
          </w:p>
        </w:tc>
      </w:tr>
      <w:tr>
        <w:trPr>
          <w:trHeight w:val="162"/>
        </w:trPr>
        <w:tc>
          <w:tcPr>
            <w:tcW w:w="35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Chief Financial Officer</w:t>
            </w:r>
          </w:p>
        </w:tc>
      </w:tr>
      <w:tr>
        <w:trPr>
          <w:trHeight w:val="190"/>
        </w:trPr>
        <w:tc>
          <w:tcPr>
            <w:tcW w:w="356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(Principal Financial Officer)</w:t>
            </w:r>
          </w:p>
        </w:tc>
      </w:tr>
      <w:tr>
        <w:trPr>
          <w:trHeight w:val="620"/>
        </w:trPr>
        <w:tc>
          <w:tcPr>
            <w:tcW w:w="3560" w:type="dxa"/>
            <w:vAlign w:val="bottom"/>
          </w:tcPr>
          <w:p>
            <w:pPr>
              <w:spacing w:after="0"/>
              <w:rPr>
                <w:sz w:val="24"/>
                <w:szCs w:val="24"/>
                <w:color w:val="auto"/>
              </w:rPr>
            </w:pPr>
          </w:p>
        </w:tc>
        <w:tc>
          <w:tcPr>
            <w:tcW w:w="3720" w:type="dxa"/>
            <w:vAlign w:val="bottom"/>
          </w:tcPr>
          <w:p>
            <w:pPr>
              <w:jc w:val="right"/>
              <w:ind w:right="1410"/>
              <w:spacing w:after="0"/>
              <w:rPr>
                <w:sz w:val="20"/>
                <w:szCs w:val="20"/>
                <w:color w:val="auto"/>
              </w:rPr>
            </w:pPr>
            <w:r>
              <w:rPr>
                <w:rFonts w:ascii="Arial" w:cs="Arial" w:eastAsia="Arial" w:hAnsi="Arial"/>
                <w:sz w:val="18"/>
                <w:szCs w:val="18"/>
                <w:color w:val="auto"/>
              </w:rPr>
              <w:t>37</w:t>
            </w:r>
          </w:p>
        </w:tc>
        <w:tc>
          <w:tcPr>
            <w:tcW w:w="4100" w:type="dxa"/>
            <w:vAlign w:val="bottom"/>
          </w:tcPr>
          <w:p>
            <w:pPr>
              <w:spacing w:after="0"/>
              <w:rPr>
                <w:sz w:val="24"/>
                <w:szCs w:val="24"/>
                <w:color w:val="auto"/>
              </w:rPr>
            </w:pPr>
          </w:p>
        </w:tc>
      </w:tr>
    </w:tbl>
    <w:p>
      <w:pPr>
        <w:sectPr>
          <w:pgSz w:w="11900" w:h="16838" w:orient="portrait"/>
          <w:cols w:equalWidth="0" w:num="1">
            <w:col w:w="11420"/>
          </w:cols>
          <w:pgMar w:left="240" w:top="863"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Timothy J. O’Shaughnessy, Chief Executive Officer (principal executive officer) of Graham Holdings Company (the “Registrant”), certify that:</w:t>
      </w:r>
    </w:p>
    <w:p>
      <w:pPr>
        <w:spacing w:after="0" w:line="198" w:lineRule="exact"/>
        <w:rPr>
          <w:sz w:val="20"/>
          <w:szCs w:val="20"/>
          <w:color w:val="auto"/>
        </w:rPr>
      </w:pPr>
    </w:p>
    <w:p>
      <w:pPr>
        <w:ind w:left="800" w:hanging="468"/>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211" w:lineRule="exact"/>
        <w:rPr>
          <w:rFonts w:ascii="Arial" w:cs="Arial" w:eastAsia="Arial" w:hAnsi="Arial"/>
          <w:sz w:val="18"/>
          <w:szCs w:val="18"/>
          <w:color w:val="auto"/>
        </w:rPr>
      </w:pPr>
    </w:p>
    <w:p>
      <w:pPr>
        <w:ind w:left="340" w:right="580" w:hanging="8"/>
        <w:spacing w:after="0" w:line="303" w:lineRule="auto"/>
        <w:tabs>
          <w:tab w:leader="none" w:pos="814"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140" w:hanging="8"/>
        <w:spacing w:after="0" w:line="309" w:lineRule="auto"/>
        <w:tabs>
          <w:tab w:leader="none" w:pos="814"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ind w:left="340" w:right="80" w:hanging="8"/>
        <w:spacing w:after="0" w:line="315" w:lineRule="auto"/>
        <w:tabs>
          <w:tab w:leader="none" w:pos="814"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84" w:lineRule="exact"/>
        <w:rPr>
          <w:rFonts w:ascii="Arial" w:cs="Arial" w:eastAsia="Arial" w:hAnsi="Arial"/>
          <w:sz w:val="17"/>
          <w:szCs w:val="17"/>
          <w:color w:val="auto"/>
        </w:rPr>
      </w:pPr>
    </w:p>
    <w:p>
      <w:pPr>
        <w:jc w:val="both"/>
        <w:ind w:left="1300" w:right="180" w:hanging="320"/>
        <w:spacing w:after="0" w:line="256"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160" w:hanging="320"/>
        <w:spacing w:after="0" w:line="256"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1300" w:right="40" w:hanging="320"/>
        <w:spacing w:after="0" w:line="256"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left="340" w:right="300" w:hanging="8"/>
        <w:spacing w:after="0" w:line="303" w:lineRule="auto"/>
        <w:tabs>
          <w:tab w:leader="none" w:pos="81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20"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960" w:hanging="320"/>
        <w:spacing w:after="0" w:line="262"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55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31, 2019</w:t>
      </w:r>
    </w:p>
    <w:p>
      <w:pPr>
        <w:sectPr>
          <w:pgSz w:w="11900" w:h="16838" w:orient="portrait"/>
          <w:cols w:equalWidth="0" w:num="1">
            <w:col w:w="11420"/>
          </w:cols>
          <w:pgMar w:left="240" w:top="382"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Wallace R. Cooney, Chief Financial Officer (principal financial officer) of Graham Holdings Company (the “Registrant”), certify that:</w:t>
      </w:r>
    </w:p>
    <w:p>
      <w:pPr>
        <w:spacing w:after="0" w:line="198" w:lineRule="exact"/>
        <w:rPr>
          <w:sz w:val="20"/>
          <w:szCs w:val="20"/>
          <w:color w:val="auto"/>
        </w:rPr>
      </w:pPr>
    </w:p>
    <w:p>
      <w:pPr>
        <w:ind w:left="800" w:hanging="468"/>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211" w:lineRule="exact"/>
        <w:rPr>
          <w:rFonts w:ascii="Arial" w:cs="Arial" w:eastAsia="Arial" w:hAnsi="Arial"/>
          <w:sz w:val="18"/>
          <w:szCs w:val="18"/>
          <w:color w:val="auto"/>
        </w:rPr>
      </w:pPr>
    </w:p>
    <w:p>
      <w:pPr>
        <w:ind w:left="340" w:right="580" w:hanging="8"/>
        <w:spacing w:after="0" w:line="303"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140" w:hanging="8"/>
        <w:spacing w:after="0" w:line="309"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ind w:left="340" w:right="80" w:hanging="8"/>
        <w:spacing w:after="0" w:line="315" w:lineRule="auto"/>
        <w:tabs>
          <w:tab w:leader="none" w:pos="814"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84" w:lineRule="exact"/>
        <w:rPr>
          <w:rFonts w:ascii="Arial" w:cs="Arial" w:eastAsia="Arial" w:hAnsi="Arial"/>
          <w:sz w:val="17"/>
          <w:szCs w:val="17"/>
          <w:color w:val="auto"/>
        </w:rPr>
      </w:pPr>
    </w:p>
    <w:p>
      <w:pPr>
        <w:jc w:val="both"/>
        <w:ind w:left="1300" w:right="180" w:hanging="320"/>
        <w:spacing w:after="0" w:line="256"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160" w:hanging="320"/>
        <w:spacing w:after="0" w:line="256"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1300" w:right="40" w:hanging="320"/>
        <w:spacing w:after="0" w:line="256"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left="340" w:right="300" w:hanging="8"/>
        <w:spacing w:after="0" w:line="303"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20"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960" w:hanging="320"/>
        <w:spacing w:after="0" w:line="262"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554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31, 2019</w:t>
      </w:r>
    </w:p>
    <w:p>
      <w:pPr>
        <w:sectPr>
          <w:pgSz w:w="11900" w:h="16838" w:orient="portrait"/>
          <w:cols w:equalWidth="0" w:num="1">
            <w:col w:w="11420"/>
          </w:cols>
          <w:pgMar w:left="240" w:top="382"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171" w:lineRule="exact"/>
        <w:rPr>
          <w:sz w:val="20"/>
          <w:szCs w:val="20"/>
          <w:color w:val="auto"/>
        </w:rPr>
      </w:pPr>
    </w:p>
    <w:p>
      <w:pPr>
        <w:jc w:val="both"/>
        <w:ind w:right="60"/>
        <w:spacing w:after="0" w:line="278" w:lineRule="auto"/>
        <w:rPr>
          <w:sz w:val="20"/>
          <w:szCs w:val="20"/>
          <w:color w:val="auto"/>
        </w:rPr>
      </w:pPr>
      <w:r>
        <w:rPr>
          <w:rFonts w:ascii="Arial" w:cs="Arial" w:eastAsia="Arial" w:hAnsi="Arial"/>
          <w:sz w:val="17"/>
          <w:szCs w:val="17"/>
          <w:color w:val="auto"/>
        </w:rPr>
        <w:t>In connection with the Quarterly Report of Graham Holdings Company (the “Company”) on Form 10-Q for the period ended June 30, 2019 (the “Report”), Timothy J. O’Shaughnessy, Chief Executive Officer of the Company and Wallace R. Cooney, Chief Financial Officer of the Company, each hereby certifies, pursuant to 18 U.S.C. Section 1350, as adopted pursuant to Section 906 of the Sarbanes-Oxley Act of 2002, that:</w:t>
      </w:r>
    </w:p>
    <w:p>
      <w:pPr>
        <w:spacing w:after="0" w:line="131"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340" w:right="520" w:hanging="332"/>
        <w:spacing w:after="0" w:line="262"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55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31, 2019</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554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31, 2019</w:t>
      </w:r>
    </w:p>
    <w:sectPr>
      <w:pgSz w:w="11900" w:h="16838" w:orient="portrait"/>
      <w:cols w:equalWidth="0" w:num="1">
        <w:col w:w="11420"/>
      </w:cols>
      <w:pgMar w:left="240" w:top="38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lowerRoman"/>
      <w:start w:val="1"/>
    </w:lvl>
  </w:abstractNum>
  <w:abstractNum w:abstractNumId="3">
    <w:nsid w:val="4DB127F8"/>
    <w:multiLevelType w:val="hybridMultilevel"/>
    <w:lvl w:ilvl="0">
      <w:lvlJc w:val="left"/>
      <w:lvlText w:val="%1."/>
      <w:numFmt w:val="decimal"/>
      <w:start w:val="5"/>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32"/>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12" Type="http://schemas.openxmlformats.org/officeDocument/2006/relationships/hyperlink" Target="http://www.sec.gov/Archives/edgar/data/104889/000095013304000785/w94191exv3w1.htm" TargetMode="External"/><Relationship Id="rId13" Type="http://schemas.openxmlformats.org/officeDocument/2006/relationships/hyperlink" Target="http://www.sec.gov/Archives/edgar/data/104889/000095015713000428/ex3-1.htm" TargetMode="External"/><Relationship Id="rId14" Type="http://schemas.openxmlformats.org/officeDocument/2006/relationships/hyperlink" Target="http://www.sec.gov/Archives/edgar/data/104889/000095015713000428/ex3-2.htm" TargetMode="External"/><Relationship Id="rId15" Type="http://schemas.openxmlformats.org/officeDocument/2006/relationships/hyperlink" Target="http://www.sec.gov/Archives/edgar/data/104889/000095015718000572/ex4-1.htm" TargetMode="External"/><Relationship Id="rId16" Type="http://schemas.openxmlformats.org/officeDocument/2006/relationships/hyperlink" Target="http://www.sec.gov/Archives/edgar/data/104889/000010488918000036/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2019-12-28T09:32:54Z</dcterms:created>
  <dcterms:modified xsi:type="dcterms:W3CDTF">2019-12-28T09:32:54Z</dcterms:modified>
</cp:coreProperties>
</file>