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Shares outstanding at May 2, 2005:</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jc w:val="right"/>
              <w:ind w:right="732"/>
              <w:spacing w:after="0"/>
              <w:rPr>
                <w:sz w:val="20"/>
                <w:szCs w:val="20"/>
                <w:color w:val="auto"/>
              </w:rPr>
            </w:pPr>
            <w:r>
              <w:rPr>
                <w:rFonts w:ascii="Arial" w:cs="Arial" w:eastAsia="Arial" w:hAnsi="Arial"/>
                <w:sz w:val="18"/>
                <w:szCs w:val="18"/>
                <w:color w:val="auto"/>
              </w:rPr>
              <w:t>Class A Common Stock</w:t>
            </w:r>
          </w:p>
        </w:tc>
        <w:tc>
          <w:tcPr>
            <w:tcW w:w="5580" w:type="dxa"/>
            <w:vAlign w:val="bottom"/>
          </w:tcPr>
          <w:p>
            <w:pPr>
              <w:ind w:left="820"/>
              <w:spacing w:after="0"/>
              <w:rPr>
                <w:sz w:val="20"/>
                <w:szCs w:val="20"/>
                <w:color w:val="auto"/>
              </w:rPr>
            </w:pPr>
            <w:r>
              <w:rPr>
                <w:rFonts w:ascii="Arial" w:cs="Arial" w:eastAsia="Arial" w:hAnsi="Arial"/>
                <w:sz w:val="18"/>
                <w:szCs w:val="18"/>
                <w:color w:val="auto"/>
              </w:rPr>
              <w:t>1,722,250 Shares</w:t>
            </w:r>
          </w:p>
        </w:tc>
      </w:tr>
      <w:tr>
        <w:trPr>
          <w:trHeight w:val="222"/>
        </w:trPr>
        <w:tc>
          <w:tcPr>
            <w:tcW w:w="5840" w:type="dxa"/>
            <w:vAlign w:val="bottom"/>
          </w:tcPr>
          <w:p>
            <w:pPr>
              <w:jc w:val="right"/>
              <w:ind w:right="732"/>
              <w:spacing w:after="0"/>
              <w:rPr>
                <w:sz w:val="20"/>
                <w:szCs w:val="20"/>
                <w:color w:val="auto"/>
              </w:rPr>
            </w:pPr>
            <w:r>
              <w:rPr>
                <w:rFonts w:ascii="Arial" w:cs="Arial" w:eastAsia="Arial" w:hAnsi="Arial"/>
                <w:sz w:val="18"/>
                <w:szCs w:val="18"/>
                <w:color w:val="auto"/>
              </w:rPr>
              <w:t>Class B Common Stock</w:t>
            </w:r>
          </w:p>
        </w:tc>
        <w:tc>
          <w:tcPr>
            <w:tcW w:w="5580" w:type="dxa"/>
            <w:vAlign w:val="bottom"/>
          </w:tcPr>
          <w:p>
            <w:pPr>
              <w:ind w:left="820"/>
              <w:spacing w:after="0"/>
              <w:rPr>
                <w:sz w:val="20"/>
                <w:szCs w:val="20"/>
                <w:color w:val="auto"/>
              </w:rPr>
            </w:pPr>
            <w:r>
              <w:rPr>
                <w:rFonts w:ascii="Arial" w:cs="Arial" w:eastAsia="Arial" w:hAnsi="Arial"/>
                <w:sz w:val="18"/>
                <w:szCs w:val="18"/>
                <w:color w:val="auto"/>
              </w:rPr>
              <w:t>7,870,171 Shares</w:t>
            </w:r>
          </w:p>
        </w:tc>
      </w:tr>
      <w:tr>
        <w:trPr>
          <w:trHeight w:val="201"/>
        </w:trPr>
        <w:tc>
          <w:tcPr>
            <w:tcW w:w="58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20" w:type="dxa"/>
            <w:vAlign w:val="bottom"/>
            <w:gridSpan w:val="7"/>
          </w:tcPr>
          <w:p>
            <w:pPr>
              <w:jc w:val="center"/>
              <w:ind w:right="2940"/>
              <w:spacing w:after="0"/>
              <w:rPr>
                <w:sz w:val="20"/>
                <w:szCs w:val="20"/>
                <w:color w:val="auto"/>
              </w:rPr>
            </w:pPr>
            <w:r>
              <w:rPr>
                <w:rFonts w:ascii="Arial" w:cs="Arial" w:eastAsia="Arial" w:hAnsi="Arial"/>
                <w:sz w:val="18"/>
                <w:szCs w:val="18"/>
                <w:b w:val="1"/>
                <w:bCs w:val="1"/>
                <w:color w:val="auto"/>
                <w:w w:val="97"/>
              </w:rPr>
              <w:t>THE WASHINGTON POST COMPANY</w:t>
            </w:r>
          </w:p>
        </w:tc>
        <w:tc>
          <w:tcPr>
            <w:tcW w:w="280" w:type="dxa"/>
            <w:vAlign w:val="bottom"/>
          </w:tcPr>
          <w:p>
            <w:pPr>
              <w:spacing w:after="0"/>
              <w:rPr>
                <w:sz w:val="19"/>
                <w:szCs w:val="19"/>
                <w:color w:val="auto"/>
              </w:rPr>
            </w:pPr>
          </w:p>
        </w:tc>
      </w:tr>
      <w:tr>
        <w:trPr>
          <w:trHeight w:val="365"/>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20" w:type="dxa"/>
            <w:vAlign w:val="bottom"/>
            <w:gridSpan w:val="7"/>
          </w:tcPr>
          <w:p>
            <w:pPr>
              <w:jc w:val="center"/>
              <w:ind w:right="2940"/>
              <w:spacing w:after="0"/>
              <w:rPr>
                <w:sz w:val="20"/>
                <w:szCs w:val="20"/>
                <w:color w:val="auto"/>
              </w:rPr>
            </w:pPr>
            <w:r>
              <w:rPr>
                <w:rFonts w:ascii="Arial" w:cs="Arial" w:eastAsia="Arial" w:hAnsi="Arial"/>
                <w:sz w:val="18"/>
                <w:szCs w:val="18"/>
                <w:b w:val="1"/>
                <w:bCs w:val="1"/>
                <w:color w:val="auto"/>
                <w:w w:val="91"/>
              </w:rPr>
              <w:t>Index to Form 10-Q</w:t>
            </w:r>
          </w:p>
        </w:tc>
        <w:tc>
          <w:tcPr>
            <w:tcW w:w="280" w:type="dxa"/>
            <w:vAlign w:val="bottom"/>
          </w:tcPr>
          <w:p>
            <w:pPr>
              <w:spacing w:after="0"/>
              <w:rPr>
                <w:sz w:val="24"/>
                <w:szCs w:val="24"/>
                <w:color w:val="auto"/>
              </w:rPr>
            </w:pPr>
          </w:p>
        </w:tc>
      </w:tr>
      <w:tr>
        <w:trPr>
          <w:trHeight w:val="326"/>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816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3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3">
              <w:r>
                <w:rPr>
                  <w:rFonts w:ascii="Arial" w:cs="Arial" w:eastAsia="Arial" w:hAnsi="Arial"/>
                  <w:sz w:val="18"/>
                  <w:szCs w:val="18"/>
                  <w:color w:val="0000EE"/>
                </w:rPr>
                <w:t>Condensed Consolidated Statements of Income (Unaudited) for the Thirteen Weeks Ended April 3, 2005 and March 28, 2004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3"/>
          </w:tcPr>
          <w:p>
            <w:pPr>
              <w:spacing w:after="0"/>
              <w:rPr>
                <w:rFonts w:ascii="Arial" w:cs="Arial" w:eastAsia="Arial" w:hAnsi="Arial"/>
                <w:sz w:val="18"/>
                <w:szCs w:val="18"/>
                <w:color w:val="auto"/>
                <w:w w:val="89"/>
              </w:rPr>
            </w:pPr>
            <w:r>
              <w:rPr>
                <w:rFonts w:ascii="Arial" w:cs="Arial" w:eastAsia="Arial" w:hAnsi="Arial"/>
                <w:sz w:val="18"/>
                <w:szCs w:val="18"/>
                <w:color w:val="auto"/>
                <w:w w:val="89"/>
              </w:rPr>
              <w:t xml:space="preserve">b.  </w:t>
            </w:r>
            <w:hyperlink w:anchor="page4">
              <w:r>
                <w:rPr>
                  <w:rFonts w:ascii="Arial" w:cs="Arial" w:eastAsia="Arial" w:hAnsi="Arial"/>
                  <w:sz w:val="18"/>
                  <w:szCs w:val="18"/>
                  <w:color w:val="0000EE"/>
                  <w:w w:val="89"/>
                </w:rPr>
                <w:t>Condensed Consolidated Statements of Comprehensive Income (Unaudited) for the Thirteen Weeks Ended April 3, 2005 and March 28, 2004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at April 3, 2005 (Unaudited) and January 2, 2005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3"/>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d.  </w:t>
            </w:r>
            <w:hyperlink w:anchor="page7">
              <w:r>
                <w:rPr>
                  <w:rFonts w:ascii="Arial" w:cs="Arial" w:eastAsia="Arial" w:hAnsi="Arial"/>
                  <w:sz w:val="18"/>
                  <w:szCs w:val="18"/>
                  <w:color w:val="0000EE"/>
                  <w:w w:val="97"/>
                </w:rPr>
                <w:t>Condensed Consolidated Statements of Cash Flows (Unaudited) for the Thirteen Weeks Ended April 3, 2005 and March 28, 2004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8">
              <w:r>
                <w:rPr>
                  <w:rFonts w:ascii="Arial" w:cs="Arial" w:eastAsia="Arial" w:hAnsi="Arial"/>
                  <w:sz w:val="18"/>
                  <w:szCs w:val="18"/>
                  <w:color w:val="0000EE"/>
                </w:rPr>
                <w:t>Notes to Condensed Consolidated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Results of Operations and Financial Condition</w:t>
              </w:r>
            </w:hyperlink>
          </w:p>
        </w:tc>
        <w:tc>
          <w:tcPr>
            <w:tcW w:w="40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360" w:type="dxa"/>
            <w:vAlign w:val="bottom"/>
            <w:gridSpan w:val="1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9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OTHER INFORMATION</w:t>
              </w:r>
            </w:hyperlink>
          </w:p>
        </w:tc>
        <w:tc>
          <w:tcPr>
            <w:tcW w:w="85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360" w:type="dxa"/>
            <w:vAlign w:val="bottom"/>
            <w:gridSpan w:val="1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Signatures</w:t>
              </w:r>
            </w:hyperlink>
          </w:p>
        </w:tc>
        <w:tc>
          <w:tcPr>
            <w:tcW w:w="3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gridSpan w:val="7"/>
          </w:tcPr>
          <w:p>
            <w:pPr>
              <w:jc w:val="center"/>
              <w:ind w:left="4652"/>
              <w:spacing w:after="0"/>
              <w:rPr>
                <w:sz w:val="20"/>
                <w:szCs w:val="20"/>
                <w:color w:val="auto"/>
              </w:rPr>
            </w:pPr>
            <w:r>
              <w:rPr>
                <w:rFonts w:ascii="Arial" w:cs="Arial" w:eastAsia="Arial" w:hAnsi="Arial"/>
                <w:sz w:val="18"/>
                <w:szCs w:val="18"/>
                <w:color w:val="auto"/>
                <w:w w:val="92"/>
              </w:rPr>
              <w:t>2.</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April 3,</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74"/>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80" w:type="dxa"/>
            <w:vAlign w:val="bottom"/>
            <w:gridSpan w:val="2"/>
            <w:vMerge w:val="continue"/>
          </w:tcPr>
          <w:p>
            <w:pPr>
              <w:spacing w:after="0"/>
              <w:rPr>
                <w:sz w:val="5"/>
                <w:szCs w:val="5"/>
                <w:color w:val="auto"/>
              </w:rPr>
            </w:pPr>
          </w:p>
        </w:tc>
        <w:tc>
          <w:tcPr>
            <w:tcW w:w="4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305,550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299,127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325,383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833,930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758,969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432,884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245,881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725,941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654,052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108,591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5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5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8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940" w:type="dxa"/>
            <w:vAlign w:val="bottom"/>
          </w:tcPr>
          <w:p>
            <w:pPr>
              <w:jc w:val="right"/>
              <w:ind w:right="38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-1569720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-1569720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-1569720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-1569720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-1569720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-1569720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-1269365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-1269365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-1269365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-1269365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-1269365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-1269365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-969010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-969010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-969010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-969010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-969010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-969010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-669290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-669290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-669290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-669290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-669290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-669290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3,</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March 28,</w:t>
            </w:r>
          </w:p>
        </w:tc>
        <w:tc>
          <w:tcPr>
            <w:tcW w:w="0" w:type="dxa"/>
            <w:vAlign w:val="bottom"/>
          </w:tcPr>
          <w:p>
            <w:pPr>
              <w:spacing w:after="0"/>
              <w:rPr>
                <w:sz w:val="1"/>
                <w:szCs w:val="1"/>
                <w:color w:val="auto"/>
              </w:rPr>
            </w:pPr>
          </w:p>
        </w:tc>
      </w:tr>
      <w:tr>
        <w:trPr>
          <w:trHeight w:val="174"/>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7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5640" w:type="dxa"/>
            <w:vAlign w:val="bottom"/>
            <w:gridSpan w:val="2"/>
            <w:vMerge w:val="continue"/>
          </w:tcPr>
          <w:p>
            <w:pPr>
              <w:spacing w:after="0"/>
              <w:rPr>
                <w:sz w:val="5"/>
                <w:szCs w:val="5"/>
                <w:color w:val="auto"/>
              </w:rPr>
            </w:pPr>
          </w:p>
        </w:tc>
        <w:tc>
          <w:tcPr>
            <w:tcW w:w="4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$ 66,591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$ 59,426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4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5060" w:type="dxa"/>
            <w:vAlign w:val="bottom"/>
            <w:gridSpan w:val="4"/>
          </w:tcPr>
          <w:p>
            <w:pPr>
              <w:jc w:val="right"/>
              <w:ind w:right="220"/>
              <w:spacing w:after="0"/>
              <w:rPr>
                <w:sz w:val="20"/>
                <w:szCs w:val="20"/>
                <w:color w:val="auto"/>
              </w:rPr>
            </w:pPr>
            <w:r>
              <w:rPr>
                <w:rFonts w:ascii="Arial" w:cs="Arial" w:eastAsia="Arial" w:hAnsi="Arial"/>
                <w:sz w:val="18"/>
                <w:szCs w:val="18"/>
                <w:color w:val="auto"/>
              </w:rPr>
              <w:t>(2,861)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5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(17,034)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5060" w:type="dxa"/>
            <w:vAlign w:val="bottom"/>
            <w:gridSpan w:val="4"/>
          </w:tcPr>
          <w:p>
            <w:pPr>
              <w:jc w:val="right"/>
              <w:ind w:right="220"/>
              <w:spacing w:after="0"/>
              <w:rPr>
                <w:sz w:val="20"/>
                <w:szCs w:val="20"/>
                <w:color w:val="auto"/>
              </w:rPr>
            </w:pPr>
            <w:r>
              <w:rPr>
                <w:rFonts w:ascii="Arial" w:cs="Arial" w:eastAsia="Arial" w:hAnsi="Arial"/>
                <w:sz w:val="18"/>
                <w:szCs w:val="18"/>
                <w:color w:val="auto"/>
              </w:rPr>
              <w:t>(3,345)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(23,240)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94"/>
              </w:rPr>
              <w:t>Income tax (expense) benefit related to other comprehensive income</w:t>
            </w:r>
          </w:p>
        </w:tc>
        <w:tc>
          <w:tcPr>
            <w:tcW w:w="4780" w:type="dxa"/>
            <w:vAlign w:val="bottom"/>
            <w:gridSpan w:val="3"/>
          </w:tcPr>
          <w:p>
            <w:pPr>
              <w:jc w:val="right"/>
              <w:spacing w:after="0"/>
              <w:rPr>
                <w:sz w:val="20"/>
                <w:szCs w:val="20"/>
                <w:color w:val="auto"/>
              </w:rPr>
            </w:pPr>
            <w:r>
              <w:rPr>
                <w:rFonts w:ascii="Arial" w:cs="Arial" w:eastAsia="Arial" w:hAnsi="Arial"/>
                <w:sz w:val="18"/>
                <w:szCs w:val="18"/>
                <w:color w:val="auto"/>
              </w:rPr>
              <w:t>7,950</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(15,290)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$ 51,301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$ 74,806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4120" w:type="dxa"/>
            <w:vAlign w:val="bottom"/>
            <w:vMerge w:val="restart"/>
          </w:tcPr>
          <w:p>
            <w:pPr>
              <w:jc w:val="right"/>
              <w:ind w:right="3894"/>
              <w:spacing w:after="0"/>
              <w:rPr>
                <w:sz w:val="20"/>
                <w:szCs w:val="20"/>
                <w:color w:val="auto"/>
              </w:rPr>
            </w:pPr>
            <w:r>
              <w:rPr>
                <w:rFonts w:ascii="Arial" w:cs="Arial" w:eastAsia="Arial" w:hAnsi="Arial"/>
                <w:sz w:val="18"/>
                <w:szCs w:val="18"/>
                <w:color w:val="auto"/>
                <w:w w:val="79"/>
              </w:rPr>
              <w:t>4.</w:t>
            </w: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-325755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January 2,</w:t>
            </w:r>
          </w:p>
        </w:tc>
        <w:tc>
          <w:tcPr>
            <w:tcW w:w="0" w:type="dxa"/>
            <w:vAlign w:val="bottom"/>
          </w:tcPr>
          <w:p>
            <w:pPr>
              <w:spacing w:after="0"/>
              <w:rPr>
                <w:sz w:val="1"/>
                <w:szCs w:val="1"/>
                <w:color w:val="auto"/>
              </w:rPr>
            </w:pPr>
          </w:p>
        </w:tc>
      </w:tr>
      <w:tr>
        <w:trPr>
          <w:trHeight w:val="174"/>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132,970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1,773,395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1,730,997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2,218,979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2,169,277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(1,242,316)</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(1,197,375)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1,095,316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1,037,855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57,044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4,314,526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220,967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Federal and state income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397,425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1,860,090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2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12,267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3,659,788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3,629,222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0" w:type="dxa"/>
            <w:vAlign w:val="bottom"/>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(1,510,679)</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(1,512,888)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2,442,169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2,412,482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4,314,526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-4539615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-4539615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-4539615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-4539615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-4539615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-4539615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-3175</wp:posOffset>
            </wp:positionV>
            <wp:extent cx="26035" cy="4763"/>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35" cy="4763"/>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-3175</wp:posOffset>
            </wp:positionV>
            <wp:extent cx="26035" cy="4763"/>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35" cy="4763"/>
                    </a:xfrm>
                    <a:prstGeom prst="rect">
                      <a:avLst/>
                    </a:prstGeom>
                    <a:noFill/>
                  </pic:spPr>
                </pic:pic>
              </a:graphicData>
            </a:graphic>
          </wp:anchor>
        </w:drawing>
      </w:r>
    </w:p>
    <w:p>
      <w:pPr>
        <w:sectPr>
          <w:pgSz w:w="11900" w:h="16900" w:orient="portrait"/>
          <w:cols w:equalWidth="0" w:num="1">
            <w:col w:w="11420"/>
          </w:cols>
          <w:pgMar w:left="240" w:top="459"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6003925</wp:posOffset>
            </wp:positionH>
            <wp:positionV relativeFrom="page">
              <wp:posOffset>88900</wp:posOffset>
            </wp:positionV>
            <wp:extent cx="13849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4935" cy="19050"/>
                    </a:xfrm>
                    <a:prstGeom prst="rect">
                      <a:avLst/>
                    </a:prstGeom>
                    <a:noFill/>
                  </pic:spPr>
                </pic:pic>
              </a:graphicData>
            </a:graphic>
          </wp:anchor>
        </w:drawing>
        <w:t>5.</w:t>
      </w:r>
    </w:p>
    <w:p>
      <w:pPr>
        <w:sectPr>
          <w:pgSz w:w="11900" w:h="16838" w:orient="portrait"/>
          <w:cols w:equalWidth="0" w:num="1">
            <w:col w:w="9019"/>
          </w:cols>
          <w:pgMar w:left="1440" w:top="428"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April 3,</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74"/>
        </w:trPr>
        <w:tc>
          <w:tcPr>
            <w:tcW w:w="9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66,591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28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280"/>
              <w:spacing w:after="0"/>
              <w:rPr>
                <w:sz w:val="20"/>
                <w:szCs w:val="20"/>
                <w:color w:val="auto"/>
              </w:rPr>
            </w:pPr>
            <w:r>
              <w:rPr>
                <w:rFonts w:ascii="Arial" w:cs="Arial" w:eastAsia="Arial" w:hAnsi="Arial"/>
                <w:sz w:val="18"/>
                <w:szCs w:val="18"/>
                <w:color w:val="auto"/>
              </w:rPr>
              <w:t>Net pension credit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(9,151)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(10,044)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Gain on sale of land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280"/>
              <w:spacing w:after="0"/>
              <w:rPr>
                <w:sz w:val="20"/>
                <w:szCs w:val="20"/>
                <w:color w:val="auto"/>
              </w:rPr>
            </w:pPr>
            <w:r>
              <w:rPr>
                <w:rFonts w:ascii="Arial" w:cs="Arial" w:eastAsia="Arial" w:hAnsi="Arial"/>
                <w:sz w:val="18"/>
                <w:szCs w:val="18"/>
                <w:color w:val="auto"/>
              </w:rPr>
              <w:t>Gain on disposition of marketable equity securities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Foreign exchange loss (gain)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280"/>
              <w:spacing w:after="0"/>
              <w:rPr>
                <w:sz w:val="20"/>
                <w:szCs w:val="20"/>
                <w:color w:val="auto"/>
              </w:rPr>
            </w:pPr>
            <w:r>
              <w:rPr>
                <w:rFonts w:ascii="Arial" w:cs="Arial" w:eastAsia="Arial" w:hAnsi="Arial"/>
                <w:sz w:val="18"/>
                <w:szCs w:val="18"/>
                <w:color w:val="auto"/>
              </w:rPr>
              <w:t>Cost method and other investment write-downs</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Equity in losses of affiliates, net of distributions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28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720"/>
              <w:spacing w:after="0"/>
              <w:rPr>
                <w:sz w:val="20"/>
                <w:szCs w:val="20"/>
                <w:color w:val="auto"/>
              </w:rPr>
            </w:pPr>
            <w:r>
              <w:rPr>
                <w:rFonts w:ascii="Arial" w:cs="Arial" w:eastAsia="Arial" w:hAnsi="Arial"/>
                <w:sz w:val="18"/>
                <w:szCs w:val="18"/>
                <w:color w:val="auto"/>
              </w:rPr>
              <w:t>Decrease in 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in inventories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720"/>
              <w:spacing w:after="0"/>
              <w:rPr>
                <w:sz w:val="20"/>
                <w:szCs w:val="20"/>
                <w:color w:val="auto"/>
              </w:rPr>
            </w:pPr>
            <w:r>
              <w:rPr>
                <w:rFonts w:ascii="Arial" w:cs="Arial" w:eastAsia="Arial" w:hAnsi="Arial"/>
                <w:sz w:val="18"/>
                <w:szCs w:val="18"/>
                <w:color w:val="auto"/>
              </w:rPr>
              <w:t>Decrease in accounts payable and accrued liabilities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(65,112)</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in deferred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1720"/>
              <w:spacing w:after="0"/>
              <w:rPr>
                <w:sz w:val="20"/>
                <w:szCs w:val="20"/>
                <w:color w:val="auto"/>
              </w:rPr>
            </w:pPr>
            <w:r>
              <w:rPr>
                <w:rFonts w:ascii="Arial" w:cs="Arial" w:eastAsia="Arial" w:hAnsi="Arial"/>
                <w:sz w:val="18"/>
                <w:szCs w:val="18"/>
                <w:color w:val="auto"/>
              </w:rPr>
              <w:t>Increase in 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(Increase) decrease in other assets and other liabilities,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17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(52,075)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land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Investments in certain businesses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(25,565)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marketable equity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(45,720)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(81,924)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Net repayment of commercial paper</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(50,201)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(71,092)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(17,984)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(55,452)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(84,832)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(21,006)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119,400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720" w:type="dxa"/>
            <w:vAlign w:val="bottom"/>
            <w:gridSpan w:val="2"/>
            <w:vMerge w:val="restart"/>
          </w:tcPr>
          <w:p>
            <w:pPr>
              <w:jc w:val="right"/>
              <w:ind w:right="385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-325755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 and Dispositions.</w:t>
      </w:r>
    </w:p>
    <w:p>
      <w:pPr>
        <w:spacing w:after="0" w:line="7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In the first quarter of 2005, the Company acquired Slate, an online magazine and Kaplan acquired two businesses in their higher education division. These acquisitions totaled $26.5 million. Most of the purchase price has been allocated to goodwill and other intangibles on a preliminary basis.</w:t>
      </w:r>
    </w:p>
    <w:p>
      <w:pPr>
        <w:spacing w:after="0" w:line="7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On April 22, 2005, Kaplan acquired BISYS Education Services, a leading provider of licensing education and compliance solutions for financial services institutions and professionals. BISYS is now part of Kaplan Professional.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2004, Kaplan acquired three businesses in their higher education and test preparation divisions, totaling $49.8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April 3, 2005 and January 2, 2005 consist of the following (in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April 3,</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5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0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$281,133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$285,912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unrealized gains</w:t>
            </w:r>
          </w:p>
        </w:tc>
        <w:tc>
          <w:tcPr>
            <w:tcW w:w="3580" w:type="dxa"/>
            <w:vAlign w:val="bottom"/>
            <w:gridSpan w:val="3"/>
          </w:tcPr>
          <w:p>
            <w:pPr>
              <w:jc w:val="right"/>
              <w:spacing w:after="0"/>
              <w:rPr>
                <w:sz w:val="20"/>
                <w:szCs w:val="20"/>
                <w:color w:val="auto"/>
              </w:rPr>
            </w:pPr>
            <w:r>
              <w:rPr>
                <w:rFonts w:ascii="Arial" w:cs="Arial" w:eastAsia="Arial" w:hAnsi="Arial"/>
                <w:sz w:val="18"/>
                <w:szCs w:val="18"/>
                <w:color w:val="auto"/>
              </w:rPr>
              <w:t>103,441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123,824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$384,574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$409,736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During the first quarter of 2005, the Company sold marketable equity securities for a pre-tax gain of $3.3 million. There were no sales of marketable equity securities in the first quarter of 2004.</w:t>
      </w:r>
    </w:p>
    <w:p>
      <w:pPr>
        <w:spacing w:after="0" w:line="1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April 3, 2005 and January 2, 2005, the carrying value of the Company’s cost method investments was $4.9 million and $4.6 million, respectively. The Company recorded charges of $0 and $0.7 million during the first quarter of 2005 and 2004, respectively, to write-down certain of its investments to estimated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April 3,</w:t>
            </w:r>
          </w:p>
        </w:tc>
        <w:tc>
          <w:tcPr>
            <w:tcW w:w="900" w:type="dxa"/>
            <w:vAlign w:val="bottom"/>
            <w:gridSpan w:val="4"/>
          </w:tcPr>
          <w:p>
            <w:pPr>
              <w:ind w:left="220"/>
              <w:spacing w:after="0"/>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399.0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4.0 percent notes due 2006 (£8.35 million)</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indebtedness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423.0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-29210</wp:posOffset>
            </wp:positionV>
            <wp:extent cx="34734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paper borrowings at January 2, 2005 were at an average interest rate of 2.2% and matured through January 2005.</w:t>
      </w:r>
    </w:p>
    <w:p>
      <w:pPr>
        <w:spacing w:after="0" w:line="15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During 2003, notes of £16.7 million were issued to current FTC employees who were former FTC shareholders in connection with the FTC acquisition. In 2004, 50% of the balance on the notes was paid. The remaining balance outstanding of £8.35 million is due for repayment in August 2006.</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April 3, 2005 and January 2, 2005 is at interest rates of 4% to 7% and matures from 2005 to 2009.</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2005 and 2004, the Company had average borrowings outstanding of approximately $457.8 million and $550.8 million, respectively, at average annual interest rates of approximately 5.2% and 4.5%, respectively. During the first quarter of 2005 and 2004, the Company incurred net interest expense on borrowings of $5.9 million and $6.5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2005 and 2004 asset information is as of April 3, 2005 and January 2, 2005,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Television</w:t>
            </w: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4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$233,028</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79,292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69,851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126,376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325,383</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833,930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32,632</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(7,040)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$694,885</w:t>
            </w:r>
          </w:p>
        </w:tc>
        <w:tc>
          <w:tcPr>
            <w:tcW w:w="2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408,712</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$560,438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1,103,846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1,049,138</w:t>
            </w:r>
          </w:p>
        </w:tc>
        <w:tc>
          <w:tcPr>
            <w:tcW w:w="28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$ 51,848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$3,868,867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$4,314,526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1"/>
                <w:szCs w:val="11"/>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1"/>
              </w:rPr>
              <w:t>Television</w:t>
            </w:r>
          </w:p>
        </w:tc>
        <w:tc>
          <w:tcPr>
            <w:tcW w:w="9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Magazine</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9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Publishing</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Publishing</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Television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Education</w:t>
            </w:r>
          </w:p>
        </w:tc>
        <w:tc>
          <w:tcPr>
            <w:tcW w:w="100" w:type="dxa"/>
            <w:vAlign w:val="bottom"/>
          </w:tcPr>
          <w:p>
            <w:pPr>
              <w:spacing w:after="0"/>
              <w:rPr>
                <w:sz w:val="15"/>
                <w:szCs w:val="15"/>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Office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4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$218,825</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76,317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84,542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121,014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258,271</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758,969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(8,447)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2,338</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$688,812</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410,294</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$582,489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1,113,554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1,035,772</w:t>
            </w:r>
          </w:p>
        </w:tc>
        <w:tc>
          <w:tcPr>
            <w:tcW w:w="2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$ 14,170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$3,845,091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$4,316,641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-4674235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-4674235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-4674235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-3336290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-3336290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-3336290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-1595120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-1595120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-1595120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2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offer Bachelor’s degrees, Associate’s degrees and diploma programs primarily in the fields of healthcare, business and information technology; and online post-secondary and career programs (various distance-learning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 and non-compete agreements, with amortization periods up to ten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April 3, 2005 and January 2, 2005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$1,336,257</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$1,037,855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5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656,998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27,809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13,750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$2,021,064</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475,958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$1,545,106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$1,321,542</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298,402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$1,023,140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5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656,998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163,806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20,021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12,142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$1,998,561</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474,350</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$1,542,211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440" w:type="dxa"/>
            <w:vAlign w:val="bottom"/>
            <w:vMerge w:val="restart"/>
          </w:tcPr>
          <w:p>
            <w:pPr>
              <w:jc w:val="right"/>
              <w:ind w:right="2692"/>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-1320800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-1320800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-1320800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-1320800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-1320800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-1320800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-1320800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-1320800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-1320800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-325755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173672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367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April 3, 2005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14"/>
                <w:szCs w:val="14"/>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Television</w:t>
            </w: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$ 72,770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203,165</w:t>
            </w:r>
          </w:p>
        </w:tc>
        <w:tc>
          <w:tcPr>
            <w:tcW w:w="84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85,666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$591,983</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(4,324)</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$ 80,648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203,165</w:t>
            </w:r>
          </w:p>
        </w:tc>
        <w:tc>
          <w:tcPr>
            <w:tcW w:w="84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$598,820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1,037,855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24"/>
                <w:szCs w:val="24"/>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Television</w:t>
            </w: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$486,330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6,862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$486,330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24"/>
                <w:szCs w:val="24"/>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5"/>
                <w:szCs w:val="15"/>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Television</w:t>
            </w: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Education</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5,287</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-2962275</wp:posOffset>
            </wp:positionV>
            <wp:extent cx="350329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0329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-1632585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-1632585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-1632585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-1632585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-1632585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-1632585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-1632585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-1632585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-1632585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-1632585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-1632585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-1632585</wp:posOffset>
            </wp:positionV>
            <wp:extent cx="87058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-1632585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March 28, 2004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3"/>
              </w:rPr>
              <w:t>Television</w:t>
            </w:r>
          </w:p>
        </w:tc>
        <w:tc>
          <w:tcPr>
            <w:tcW w:w="2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Magazine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Education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460" w:type="dxa"/>
            <w:vAlign w:val="bottom"/>
            <w:gridSpan w:val="2"/>
          </w:tcPr>
          <w:p>
            <w:pPr>
              <w:ind w:left="1800"/>
              <w:spacing w:after="0"/>
              <w:rPr>
                <w:sz w:val="20"/>
                <w:szCs w:val="20"/>
                <w:color w:val="auto"/>
              </w:rPr>
            </w:pPr>
            <w:r>
              <w:rPr>
                <w:rFonts w:ascii="Arial" w:cs="Arial" w:eastAsia="Arial" w:hAnsi="Arial"/>
                <w:sz w:val="18"/>
                <w:szCs w:val="18"/>
                <w:color w:val="auto"/>
                <w:w w:val="91"/>
              </w:rPr>
              <w:t>$ 71,277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$85,666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$536,030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0" w:type="dxa"/>
            <w:vAlign w:val="bottom"/>
          </w:tcPr>
          <w:p>
            <w:pPr>
              <w:spacing w:after="0"/>
              <w:rPr>
                <w:sz w:val="19"/>
                <w:szCs w:val="19"/>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2004</w:t>
            </w:r>
          </w:p>
        </w:tc>
        <w:tc>
          <w:tcPr>
            <w:tcW w:w="246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1"/>
              </w:rPr>
              <w:t>$ 71,277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$ 69,556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$85,666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$582,215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1,011,879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0" w:type="dxa"/>
            <w:vAlign w:val="bottom"/>
            <w:vMerge w:val="restart"/>
          </w:tcPr>
          <w:p>
            <w:pPr>
              <w:jc w:val="right"/>
              <w:ind w:right="332"/>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-325755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-325755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$484,556</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2004</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$485,256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3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rPr>
                <w:sz w:val="20"/>
                <w:szCs w:val="20"/>
                <w:color w:val="auto"/>
              </w:rPr>
            </w:pPr>
            <w:r>
              <w:rPr>
                <w:rFonts w:ascii="Arial" w:cs="Arial" w:eastAsia="Arial" w:hAnsi="Arial"/>
                <w:sz w:val="16"/>
                <w:szCs w:val="16"/>
                <w:color w:val="auto"/>
                <w:w w:val="78"/>
              </w:rPr>
              <w:t>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1,081</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4,115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(2,338)</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2004</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78"/>
              </w:rPr>
              <w:t>26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-1495425</wp:posOffset>
            </wp:positionV>
            <wp:extent cx="44132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-1495425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-1495425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-1495425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-1495425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-1495425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-1495425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-1495425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-1495425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-1495425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-1495425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-1495425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-1495425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-1495425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44132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Stock Options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first quarter of 2005 and 2004 (in thousands except per share amounts).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66,100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Add: Company stock option compensation expense included in net income, net of related tax effects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Company stock option compensation expense determined under the fair value based method for all</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66,016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 per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earnings per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-1229995</wp:posOffset>
            </wp:positionV>
            <wp:extent cx="39878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-1229995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-1229995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-1229995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-929640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-929640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-929640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-929640</wp:posOffset>
            </wp:positionV>
            <wp:extent cx="39878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-629285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-629285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-629285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-629285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-629285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-329565</wp:posOffset>
            </wp:positionV>
            <wp:extent cx="39878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Under the provisions of the plan, options are issued with an exercise price equal to the estimated fair value of Kaplan’s common stock and options vest ratably over the number of years specified (generally four to five years) at the time of grant. Upon exercise, an option holder receives cash equal to the difference between the exercise price and the then fair value. The fair value of Kaplan’s common stock is determined by the Company’s compensation committee of the Board of Directors and in January 2005, the committee set the fair value price at $2,080 per share. Also in January 2005, 15,353 Kaplan stock options were exercised, and 10,582 Kaplan stock options were awarded at an option price of $2,080. At March 31, 2005, there are 63,229 Kaplan stock options outstanding. For the first quarter of 2005 and 2004, the Company recorded expense of $7.0 and $9.8 million, respectively, related to this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7: Antidilutive Securities</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first quarter 2005 diluted earnings per share amounts exclude the effects of 4,000 stock options outstanding as their inclusion would be antidilutive. There were no antidilutive stock options outstanding during the first quarter of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Note 8: Pension and Postretirement Plans</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and postretirement plans for the quarters ended April 3, 2005 and March 28, 2004 consists of the following components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Postretirement 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April 3,</w:t>
            </w:r>
          </w:p>
        </w:tc>
        <w:tc>
          <w:tcPr>
            <w:tcW w:w="20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March 28,</w:t>
            </w:r>
          </w:p>
        </w:tc>
        <w:tc>
          <w:tcPr>
            <w:tcW w:w="200" w:type="dxa"/>
            <w:vAlign w:val="bottom"/>
          </w:tcPr>
          <w:p>
            <w:pPr>
              <w:spacing w:after="0"/>
              <w:rPr>
                <w:sz w:val="20"/>
                <w:szCs w:val="20"/>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April 3,</w:t>
            </w:r>
          </w:p>
        </w:tc>
        <w:tc>
          <w:tcPr>
            <w:tcW w:w="200" w:type="dxa"/>
            <w:vAlign w:val="bottom"/>
          </w:tcPr>
          <w:p>
            <w:pPr>
              <w:spacing w:after="0"/>
              <w:rPr>
                <w:sz w:val="20"/>
                <w:szCs w:val="20"/>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7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cost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9,051</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(26,067)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(23,765)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(1,909)</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 for the quarter</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(10,044)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7106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0690" cy="29845"/>
                    </a:xfrm>
                    <a:prstGeom prst="rect">
                      <a:avLst/>
                    </a:prstGeom>
                    <a:noFill/>
                  </pic:spPr>
                </pic:pic>
              </a:graphicData>
            </a:graphic>
          </wp:anchor>
        </w:drawing>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expected rate of return on plan assets is 7.5% in 2005. At January 2, 2005, the Company reduced its assumption on the discount rate from 6.25% to 5.75% for both its pension plans and postretirement plans. During the first quarter of 2005, the Company changed from the 1983 Group Annuity Mortality Table to the 1994 Group Annuity Mortality Table, for its pension plans. These assumption changes are estimated to cause an approximate $7 million reduction in the 2005 pension credit. Overall, the pension credit for 2005 is expected to be down by approximately $5 million compared to 2004.</w:t>
      </w:r>
    </w:p>
    <w:p>
      <w:pPr>
        <w:spacing w:after="0" w:line="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106-2, “Accounting and Disclosure Requirements Related to the Medicare Prescription Drug, Improvement, and Modernization Act of 2003,” the Company has concluded that the Act is not significant to the Company’s other postretirement plans and therefore, the effects of the Act were incorporated into the latest valuation of December 31, 2004. Overall, the Company’s Postretirement benefit obligation was reduced by about $4.0 million at January 2, 2005 as a result of the Act; the Company’s postretirement expense is expected to be reduced by about $0.5 million in fiscal year 2005 as a result of the Act.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Note 9 – Other Non-Operating Income (Expense)</w:t>
      </w:r>
    </w:p>
    <w:p>
      <w:pPr>
        <w:spacing w:after="0" w:line="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 recorded other non-operating income, net, of $7.1 million for the first quarter of 2005, compared to $0.7 million for the first quarter of 2004. The 2005 non-operating income is comprised of pre-tax gains of $8.7 million related to the sales of non-operating land and marketable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April 3, 2005 and March 28, 2004, follows (in millions):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w:t>
            </w:r>
          </w:p>
        </w:tc>
        <w:tc>
          <w:tcPr>
            <w:tcW w:w="2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168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w:t>
            </w: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698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10 –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On April 29, 2005, Kaplan was named as a party in a class action antitrust lawsuit in California. The Company intends to defend this lawsuit vigorously.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11 – Recent Accounting Pronouncements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2004, Statement of Financial Accounting Standards No. 123R (SFAS 123R), “Shared Based Payment” was issued, which requires companies to record the cost of employee services in exchange for stock options based on the grant-date fair value of the award. Because the Company adopted the fair-value-based method of accounting for Company stock options in 2002, SFAS 123R will have a minimal impact on the Company’s results of operations when adopted in the first quarter of 2006.</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EITF Topic D-108, “Use of the Residual Method to Value Acquired Assets Other than Goodwill,” requires companies that have applied the residual method to value intangible assets to perform an impairment test on those intangible assets using the direct method by the end of the first quarter of 2005. As a result, the Company was required to complete such an impairment test at its cable division in the first quarter of 2005, and the Company has concluded that no impairment charge was required.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0"/>
        <w:spacing w:after="0" w:line="455" w:lineRule="auto"/>
        <w:rPr>
          <w:sz w:val="20"/>
          <w:szCs w:val="20"/>
          <w:color w:val="auto"/>
        </w:rPr>
      </w:pPr>
      <w:r>
        <w:rPr>
          <w:rFonts w:ascii="Arial" w:cs="Arial" w:eastAsia="Arial" w:hAnsi="Arial"/>
          <w:sz w:val="15"/>
          <w:szCs w:val="15"/>
          <w:b w:val="1"/>
          <w:bCs w:val="1"/>
          <w:color w:val="auto"/>
        </w:rPr>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ind w:right="76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first quarter of 2005 was $66.6 million ($6.87 per share), up from net income of $59.4 million ($6.15 per share) in the first quarter of last year.</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Results for the first quarter of 2005 include after-tax non-operating gains from the sales of non-operating land and marketable securities (after-tax impact of $5.4 million, or $0.56 per share).</w:t>
      </w:r>
    </w:p>
    <w:p>
      <w:pPr>
        <w:spacing w:after="0" w:line="118"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Revenue for the first quarter of 2005 was $833.9 million, up 10% from $759.0 million in 2004. The increase is the result of strong revenue growth at the education division, along with increased revenues at the Company’s newspaper publishing, cable television and television broadcasting divisions. These increases were offset by a decline in operating revenues at the Company’s magazine division due to a reduction in ad pages at the domestic and international editions of Newsweek and the timing of the magazine division’s primary trade show, which was held in the second quarter of 2005 but in the first quarter last year.</w:t>
      </w:r>
    </w:p>
    <w:p>
      <w:pPr>
        <w:spacing w:after="0" w:line="8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Operating income for the quarter increased 3% to $108.0 million, from $104.9 million in 2004. The Company benefited from an increase in earnings at the education division, offset by a decline in magazine division results due to the revenue reductions discussed above.</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operating income for the first quarter of 2005 includes $9.2 million of net pension credits, compared to $10.0 million in the first quarter of 2004. At January 2, 2005, the Company reduced its assumption on the discount rate from 6.25% to 5.75% and, during the first quarter of 2005, the Company changed from the 1983 Group Annuity Mortality Table to the 1994 Group Annuity Mortality Table. Overall, the pension credit for 2005 is expected to be down by approximately $5 million compared to 2004.</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$233.0 million for the first quarter of 2005, a 6% increase from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$218.8 million for the first quarter of 2004. Division operating income was down 2% to $31.4 million, from $32.0 million in 2004. The decline in operating income reflects an 11% increase in newsprint expense at The Post and increased pension expense; in addition, operating results for 2005 include small losses from two recent acquisitions, Slate and El Tiempo Latino, and costs associated with Spaces, a start-up real estate publication. This was offset by increased division revenues and improved results at the Company’s online publishing activities, primarily washingtonpost.com.</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Print advertising revenue at The Washington Post newspaper increased 2% to $145.7 million, from $142.1 million in 2004. This growth was driven by advertising revenue increases in zones and classified, offset by a decline in preprints. Classified recruitment advertising revenue was up 10% to $21.7 million, from $19.6 million in the first quarter of 2004.</w:t>
      </w:r>
    </w:p>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For the first quarter of 2005, Post daily and Sunday circulation declined 3.8% and 3.1%, respectively, compared to the first quarter of 2004. For the three months ended April 3, 2005, average daily circulation at The Post totaled 704,700 and average Sunday circulation totaled 993,000.</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27% to $17.0 million for the first quarter of 2005, versus $13.4 million for 2004. The increase is largely due to growth in local and national online advertising revenues of 32%, as well as a 24% increase in online classified advertising revenue on washingtonpost.com.</w:t>
      </w:r>
    </w:p>
    <w:p>
      <w:pPr>
        <w:spacing w:after="0" w:line="121"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broadcast division rose 4% in the first quarter of 2005 to $79.3 million, from $76.3 million in 2004.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is due to strong revenue growth at the Company’s independent station, WJXT in Jacksonville, Florida, along with increases at all but one of the Company’s other television stations, offset by a decline in political advertising from the first quarter of 2004. Operating income for the first quarter of 2005 increased 5% to $32.8 million, from $31.3 million in 2004, due to higher advertising revenues.</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Magazine Publishing Division</w:t>
      </w:r>
      <w:r>
        <w:rPr>
          <w:rFonts w:ascii="Arial" w:cs="Arial" w:eastAsia="Arial" w:hAnsi="Arial"/>
          <w:sz w:val="18"/>
          <w:szCs w:val="18"/>
          <w:color w:val="auto"/>
        </w:rPr>
        <w:t>. Revenue for the magazine publishing division totaled $69.9 million for the first quarter of 2005, a 17% decline from $84.5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first quarter of 2004. The division had an operating loss of $5.2 million in the first quarter of 2005, compared to operating income of $6.8 million in the first quarter of 2004. The decline in revenue and operating results is due to the combination of a 22% advertising revenue reduction at Newsweek from lower ad pages at both the domestic and international editions and lower revenue at PostNewsweek Tech Media, whose primary trade show took place in the second quarter of 2005, versus the first quarter in 2004.</w:t>
      </w:r>
    </w:p>
    <w:p>
      <w:pPr>
        <w:spacing w:after="0" w:line="125" w:lineRule="exact"/>
        <w:rPr>
          <w:sz w:val="20"/>
          <w:szCs w:val="20"/>
          <w:color w:val="auto"/>
        </w:rPr>
      </w:pPr>
    </w:p>
    <w:p>
      <w:pPr>
        <w:jc w:val="both"/>
        <w:ind w:right="400"/>
        <w:spacing w:after="0" w:line="339" w:lineRule="auto"/>
        <w:rPr>
          <w:sz w:val="20"/>
          <w:szCs w:val="20"/>
          <w:color w:val="auto"/>
        </w:rPr>
      </w:pPr>
      <w:r>
        <w:rPr>
          <w:rFonts w:ascii="Arial" w:cs="Arial" w:eastAsia="Arial" w:hAnsi="Arial"/>
          <w:sz w:val="15"/>
          <w:szCs w:val="15"/>
          <w:b w:val="1"/>
          <w:bCs w:val="1"/>
          <w:color w:val="auto"/>
        </w:rPr>
        <w:t>Cable Television Division</w:t>
      </w:r>
      <w:r>
        <w:rPr>
          <w:rFonts w:ascii="Arial" w:cs="Arial" w:eastAsia="Arial" w:hAnsi="Arial"/>
          <w:sz w:val="15"/>
          <w:szCs w:val="15"/>
          <w:color w:val="auto"/>
        </w:rPr>
        <w:t>. Cable division revenue of $126.4 million for the first quarter of 2005 represents a 4% increase over 2004 first quarter revenue of</w:t>
      </w:r>
      <w:r>
        <w:rPr>
          <w:rFonts w:ascii="Arial" w:cs="Arial" w:eastAsia="Arial" w:hAnsi="Arial"/>
          <w:sz w:val="15"/>
          <w:szCs w:val="15"/>
          <w:b w:val="1"/>
          <w:bCs w:val="1"/>
          <w:color w:val="auto"/>
        </w:rPr>
        <w:t xml:space="preserve"> </w:t>
      </w:r>
      <w:r>
        <w:rPr>
          <w:rFonts w:ascii="Arial" w:cs="Arial" w:eastAsia="Arial" w:hAnsi="Arial"/>
          <w:sz w:val="15"/>
          <w:szCs w:val="15"/>
          <w:color w:val="auto"/>
        </w:rPr>
        <w:t>$121.0 million. The 2005 revenue increase is due to continued growth in the division’s cable modem revenues and a $2 monthly rate increase for basic cable service, effective March 1, 2004 at most of the cable division’s systems. The Company does not plan to implement an overall basic rate increase in 2005.</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Cable division operating income increased 3% to $23.4 million in the first quarter of 2005, versus $22.6 million in the first quarter of 2004. The increase in operating income is due mostly to the division’s revenue growth, offset by higher depreciation and programming expenses and increases in internet and customer service costs.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At March 31, 2005, the cable division had approximately 220,400 digital cable subscribers (compared to 229,600 at the end of March 2004 and 219,200 at the end of 2004), representing a 31% penetration of the subscriber base. At March 31, 2005, the cable division had 197,400 CableONE.net service subscribers, compared to 147,300 at the end of March 2004. Both digital and cable modem services are now offered in virtually all of the cable division’s markets. At March 31, 2005, the cable division had 710,400 basic subscribers, compared to 724,700 at the end of March 2004 and 709,100 at the end of December 2004. The decrease is due to small losses associated with the basic rate increase discussed above, along with continued competition from DBS providers.</w:t>
      </w:r>
    </w:p>
    <w:p>
      <w:pPr>
        <w:spacing w:after="0" w:line="10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March 31, 2005, Revenue Generating Units (the sum of basic video, digital video and cable modem subscribers) totaled 1,128,100, compared to 1,101,700 as of March 31, 2004. The increase is due to growth in high-speed data customers. RGUs include about 7,000 subscribers who receive free basic cable service, primarily local governments, schools and other organizations as required by the various franchise agreements.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the first quarter of 2005 and 2004, in the NCTA Standard Reporting Categories (in millions):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Line Extensions</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Support Capital</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16.3</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6162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$325.4 million for the first quarter of 2005, a 26% increase over revenue of $258.3 million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2004. Kaplan reported first quarter 2005 operating income of $32.6 million, an increase of 58% from $20.6 million in the first quarter of 2004. Excluding revenue from acquired businesses, primarily in the higher education division and the professional training schools that are part of supplemental education, education division revenue increased 23% for the first quarter of 2005. A summary of first quarter operating results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20" w:type="dxa"/>
            <w:vAlign w:val="bottom"/>
            <w:gridSpan w:val="6"/>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68"/>
        </w:trPr>
        <w:tc>
          <w:tcPr>
            <w:tcW w:w="5320" w:type="dxa"/>
            <w:vAlign w:val="bottom"/>
            <w:gridSpan w:val="6"/>
            <w:vMerge w:val="continue"/>
          </w:tcPr>
          <w:p>
            <w:pPr>
              <w:spacing w:after="0"/>
              <w:rPr>
                <w:sz w:val="5"/>
                <w:szCs w:val="5"/>
                <w:color w:val="auto"/>
              </w:rPr>
            </w:pPr>
          </w:p>
        </w:tc>
        <w:tc>
          <w:tcPr>
            <w:tcW w:w="24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0"/>
              </w:rPr>
              <w:t>Revenue</w:t>
            </w:r>
          </w:p>
        </w:tc>
        <w:tc>
          <w:tcPr>
            <w:tcW w:w="4120" w:type="dxa"/>
            <w:vAlign w:val="bottom"/>
            <w:tcBorders>
              <w:bottom w:val="single" w:sz="8" w:color="CCEEFF"/>
            </w:tcBorders>
            <w:gridSpan w:val="2"/>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color w:val="auto"/>
              </w:rPr>
              <w:t>Supplemental education</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135,600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122,671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325,383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258,271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Operating income (loss)</w:t>
            </w:r>
          </w:p>
        </w:tc>
        <w:tc>
          <w:tcPr>
            <w:tcW w:w="304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color w:val="auto"/>
              </w:rPr>
              <w:t>Supplemental education</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20,592</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gridSpan w:val="3"/>
          </w:tcPr>
          <w:p>
            <w:pPr>
              <w:ind w:left="60"/>
              <w:spacing w:after="0"/>
              <w:rPr>
                <w:sz w:val="20"/>
                <w:szCs w:val="20"/>
                <w:color w:val="auto"/>
              </w:rPr>
            </w:pPr>
            <w:r>
              <w:rPr>
                <w:rFonts w:ascii="Arial" w:cs="Arial" w:eastAsia="Arial" w:hAnsi="Arial"/>
                <w:sz w:val="18"/>
                <w:szCs w:val="18"/>
                <w:color w:val="auto"/>
              </w:rPr>
              <w:t>Kaplan corporate overhead</w:t>
            </w: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(11,786)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(7,977)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(12,150)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-1304925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-1304925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-1304925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-1304925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-1304925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-1304925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-1304925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-1304925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-172720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-172720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-172720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The improvement in supplemental education results for the first quarter of 2005 is to due to enrollment growth at Kaplan’s test preparation business (particularly the K12 business), the professional real estate courses and The Financial Training Company (FTC). Revenues at Score! were flat compared to the first quarter of 2004.</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(various distance-learning businesses). Excluding revenue from acquired businesses, higher education revenues grew by 33% in the first quarter of 2005. Higher education results are showing significant growth due to student enrollment increases.</w:t>
      </w:r>
    </w:p>
    <w:p>
      <w:pPr>
        <w:spacing w:after="0" w:line="9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Corporate overhead represents unallocated expenses of Kaplan, Inc.’s corporate office, which rose in the first quarter of 2005 primarily due to increased compensation costs associated with various incentive plans, including one that replaced the Kaplan stock option plan for certain employees.</w:t>
      </w:r>
    </w:p>
    <w:p>
      <w:pPr>
        <w:spacing w:after="0" w:line="7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expense comprises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Company recorded expense of $7.0 million and $9.8 million for the first quarter of 2005 and 2004, respectively, related to this plan.</w:t>
      </w:r>
    </w:p>
    <w:p>
      <w:pPr>
        <w:spacing w:after="0" w:line="12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Equity in Losses of Affiliates</w:t>
      </w:r>
      <w:r>
        <w:rPr>
          <w:rFonts w:ascii="Arial" w:cs="Arial" w:eastAsia="Arial" w:hAnsi="Arial"/>
          <w:sz w:val="16"/>
          <w:szCs w:val="16"/>
          <w:color w:val="auto"/>
        </w:rPr>
        <w:t>. The Company’s equity in losses of affiliates for the first quarter of 2005 was $0.5 million, compared to losses of $1.7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2004. The Company’s affiliate investments consist of a 49% interest in BrassRing LLC and a 49% interest in Bowater Mersey Paper Company Limited. The reduction in first quarter 2005 affiliate losses is attributable to improved operating results at both BrassRing and Bowater.</w:t>
      </w:r>
    </w:p>
    <w:p>
      <w:pPr>
        <w:spacing w:after="0" w:line="8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Other Non-Operating Income</w:t>
      </w:r>
      <w:r>
        <w:rPr>
          <w:rFonts w:ascii="Arial" w:cs="Arial" w:eastAsia="Arial" w:hAnsi="Arial"/>
          <w:sz w:val="18"/>
          <w:szCs w:val="18"/>
          <w:color w:val="auto"/>
        </w:rPr>
        <w:t>. The Company recorded other non-operating income, net, of $7.1 million for the first quarter of 2005, compared to $0.7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of 2004. The 2005 non-operating income is comprised of pre-tax gains of $8.7 million related to the sales of non-operating land and marketable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April 3, 2005 and March 28, 2004, follows (in millions):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8"/>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 net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760" w:type="dxa"/>
            <w:vAlign w:val="bottom"/>
            <w:gridSpan w:val="3"/>
          </w:tcPr>
          <w:p>
            <w:pPr>
              <w:jc w:val="center"/>
              <w:ind w:right="3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$5.9 million for the first quarter of 2005, compared to $6.5 million for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 The reduction is due to lower average borrowings in the first quarter of 2005 versus the same period of the prior year. At April 3, 2005, the Company had $431.7 million in borrowings outstanding, at an average interest rate of 5.5%.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first quarter of 2005 was 38.7%, compared to 39.0% for the same period of 2004.</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first quarter of 2005 was based on 9,617,000 weighted average shares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9,582,000 for the first quarter of 2004. The Company made no repurchases of its stock during the first quarter of 2005.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color w:val="auto"/>
        </w:rPr>
        <w:t>In the first quarter of 2005, the Company acquired Slate, an online magazine and Kaplan acquired two businesses in their higher education division.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totaled $26.5 million. Most of the purchase price has been allocated to goodwill and other intangibles on a preliminary basis.</w:t>
      </w:r>
    </w:p>
    <w:p>
      <w:pPr>
        <w:spacing w:after="0" w:line="15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On April 22, 2005, Kaplan acquired BISYS Education Services, a leading provider of licensing education and compliance solutions for financial services institutions and professionals. BISYS is now part of Kaplan Professional.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2004, Kaplan acquired three businesses in their higher education and test preparation divisions, totaling $49.8 million.</w:t>
      </w:r>
    </w:p>
    <w:p>
      <w:pPr>
        <w:spacing w:after="0" w:line="152"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quarter of 2005, the Company’s capital expenditures totaled $52.1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$225 million to $250 million in 2005.</w:t>
      </w:r>
    </w:p>
    <w:p>
      <w:pPr>
        <w:spacing w:after="0" w:line="10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the first quarter of 2005, the Company paid off its commercial paper borrowings. At April 3, 2005, the Company had $27.6 million in short-term debt investments which are included in cash and cash equivalents. The improvement is primarily due to cash flows from operations, offset in part by borrowings for acquisitions.</w:t>
      </w:r>
    </w:p>
    <w:p>
      <w:pPr>
        <w:spacing w:after="0" w:line="12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At April 3, 2005, the Company had $431.7 million in total debt outstanding, which was comprised of $399.0 million of 5.5 percent unsecured notes due February 15, 2009, and $32.7 million in other debt.</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first quarter of 2005 and 2004, the Company had average borrowings outstanding of approximately $457.8 million and $550.8 million, respectively, at average annual interest rates of approximately 5.2% and 4.5%, respectively. During the first quarter of 2005 and 2004, the Company incurred net interest expense on borrowings of $5.9 million and $6.5 million, respectively.</w:t>
      </w:r>
    </w:p>
    <w:p>
      <w:pPr>
        <w:spacing w:after="0" w:line="12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At April 3, 2005 and January 2, 2005, the Company had working capital of $84.3 million and $66.2 million, respectively. The 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2005.</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noted above, the Company’s borrowings have declined by $52.4 million, to $431.7 million, as compared to borrowings of $484.1 million at January 2, 2005. There were no other significant changes to the Company’s contractual obligations or other commercial commitments from those disclosed in the Company’s Annual Report on Form 10-K for the year ended January 2,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2,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April 3, 2005.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Except as otherwise discussed below, there has been no change in the Company’s internal control over financial reporting during the quarter ended April 3, 2005 that has materially affected, or is reasonably likely to materially affect, the Company’s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2005, The Company implemented a new system for advertising traffic, sales and billing at four of its six television stations.</w:t>
      </w:r>
    </w:p>
    <w:p>
      <w:pPr>
        <w:spacing w:after="0" w:line="1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20" w:type="dxa"/>
            <w:vAlign w:val="bottom"/>
          </w:tcPr>
          <w:p>
            <w:pPr>
              <w:spacing w:after="0"/>
              <w:rPr>
                <w:sz w:val="14"/>
                <w:szCs w:val="1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88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3"/>
              </w:rPr>
              <w:t>Restated Certificate of Incorporation of the Company dated November 13, 2003 (incorporated by reference to Exhibit 3.1 to the</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Company’s Annual Report on Form 10-K for the fiscal year ended December 28, 2003).</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8"/>
              </w:rPr>
              <w:t>Certificate of Designation for the Company’s Series A Preferred Stock dated September 22, 2003 (incorporated by reference to Exhibit</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3.2 to Amendment No. 1 to the Company’s Current Report on Form 8-K dated September 22, 2003).</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3.3</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2"/>
              </w:rPr>
              <w:t>By-Laws of the Company as amended and restated through September 22, 2003 (incorporated by reference to Exhibit 3.4 to the</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Company’s Current Report on Form 8-K dated September 22, 2003).</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9"/>
              </w:rPr>
              <w:t>Form of the Company’s 5.50% Notes due February 15, 2009, issued under the Indenture dated as of February 17, 1999, between the</w:t>
            </w:r>
          </w:p>
        </w:tc>
      </w:tr>
      <w:tr>
        <w:trPr>
          <w:trHeight w:val="216"/>
        </w:trPr>
        <w:tc>
          <w:tcPr>
            <w:tcW w:w="600" w:type="dxa"/>
            <w:vAlign w:val="bottom"/>
          </w:tcPr>
          <w:p>
            <w:pPr>
              <w:spacing w:after="0"/>
              <w:rPr>
                <w:sz w:val="18"/>
                <w:szCs w:val="18"/>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2"/>
              </w:rPr>
              <w:t>Company and The First National Bank of Chicago, as Trustee (incorporated by reference to Exhibit 4.2 to the Company’s Annual</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Report on Form 10-K for the fiscal year ended January 3, 1999).</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9"/>
              </w:rPr>
              <w:t>Indenture dated as of February 17, 1999, between the Company and The First National Bank of Chicago, as Trustee (incorporated by</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reference to the Company’s Annual Report on Form 10-K for the fiscal year ended January 3, 1999).</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3"/>
              </w:rPr>
              <w:t>First Supplemental Indenture dated as of September 22, 2003, among WP Company LLC, the Company and Bank One, NA, as</w:t>
            </w:r>
          </w:p>
        </w:tc>
      </w:tr>
      <w:tr>
        <w:trPr>
          <w:trHeight w:val="216"/>
        </w:trPr>
        <w:tc>
          <w:tcPr>
            <w:tcW w:w="600" w:type="dxa"/>
            <w:vAlign w:val="bottom"/>
          </w:tcPr>
          <w:p>
            <w:pPr>
              <w:spacing w:after="0"/>
              <w:rPr>
                <w:sz w:val="18"/>
                <w:szCs w:val="18"/>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8"/>
              </w:rPr>
              <w:t>successor to The First National Bank of Chicago, as trustee, to the Indenture dated as of February 17, 1999, between The Washington</w:t>
            </w:r>
          </w:p>
        </w:tc>
      </w:tr>
      <w:tr>
        <w:trPr>
          <w:trHeight w:val="216"/>
        </w:trPr>
        <w:tc>
          <w:tcPr>
            <w:tcW w:w="600" w:type="dxa"/>
            <w:vAlign w:val="bottom"/>
          </w:tcPr>
          <w:p>
            <w:pPr>
              <w:spacing w:after="0"/>
              <w:rPr>
                <w:sz w:val="18"/>
                <w:szCs w:val="18"/>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9"/>
              </w:rPr>
              <w:t>Post Company and The First National Bank of Chicago, as trustee (incorporated by reference to Exhibit 4.1 to the Company’s Current</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Report on Form 8-K dated September 22, 2003).</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4.4</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1"/>
              </w:rPr>
              <w:t>364-Day Credit Agreement dated as of August 11, 2004, among the Company, Citibank, N.A., JP Morgan Chase Bank, Wachovia</w:t>
            </w:r>
          </w:p>
        </w:tc>
      </w:tr>
      <w:tr>
        <w:trPr>
          <w:trHeight w:val="216"/>
        </w:trPr>
        <w:tc>
          <w:tcPr>
            <w:tcW w:w="600" w:type="dxa"/>
            <w:vAlign w:val="bottom"/>
          </w:tcPr>
          <w:p>
            <w:pPr>
              <w:spacing w:after="0"/>
              <w:rPr>
                <w:sz w:val="18"/>
                <w:szCs w:val="18"/>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9"/>
              </w:rPr>
              <w:t>Bank, N.A., SunTrust Bank, The Bank of New York and Riggs Bank, N.A. (incorporated by reference to Exhibit 4.4 to the Company’s</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Quarterly Report on Form 10-Q for the quarter ended September 26, 2004).</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4.5</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0"/>
              </w:rPr>
              <w:t>5-Year Credit Agreement dated as of August 14, 2002, among the Company, Citibank, N.A., Wachovia Bank, N.A., SunTrust Bank,</w:t>
            </w:r>
          </w:p>
        </w:tc>
      </w:tr>
      <w:tr>
        <w:trPr>
          <w:trHeight w:val="216"/>
        </w:trPr>
        <w:tc>
          <w:tcPr>
            <w:tcW w:w="600" w:type="dxa"/>
            <w:vAlign w:val="bottom"/>
          </w:tcPr>
          <w:p>
            <w:pPr>
              <w:spacing w:after="0"/>
              <w:rPr>
                <w:sz w:val="18"/>
                <w:szCs w:val="18"/>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91"/>
              </w:rPr>
              <w:t>Bank One, N.A., JPMorgan Chase Bank, The Bank of New York and Riggs Bank, N.A. (incorporated by reference to Exhibit 4.4 to</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the Company’s Quarterly Report on Form 10-Q for the quarter ended September 29, 2002).</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4.6</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8"/>
              </w:rPr>
              <w:t>Consent and Amendment No. 1 dated as of August 13, 2003, to the 5-Year Credit Agreement dated as of August 14, 2002, among the</w:t>
            </w:r>
          </w:p>
        </w:tc>
      </w:tr>
      <w:tr>
        <w:trPr>
          <w:trHeight w:val="216"/>
        </w:trPr>
        <w:tc>
          <w:tcPr>
            <w:tcW w:w="600" w:type="dxa"/>
            <w:vAlign w:val="bottom"/>
          </w:tcPr>
          <w:p>
            <w:pPr>
              <w:spacing w:after="0"/>
              <w:rPr>
                <w:sz w:val="18"/>
                <w:szCs w:val="18"/>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w w:val="89"/>
              </w:rPr>
              <w:t>Company, Citibank, N.A. and the other lenders that are parties to such Credit Agreement (incorporated by reference to Exhibit 4.3 to</w:t>
            </w:r>
          </w:p>
        </w:tc>
      </w:tr>
      <w:tr>
        <w:trPr>
          <w:trHeight w:val="222"/>
        </w:trPr>
        <w:tc>
          <w:tcPr>
            <w:tcW w:w="600" w:type="dxa"/>
            <w:vAlign w:val="bottom"/>
          </w:tcPr>
          <w:p>
            <w:pPr>
              <w:spacing w:after="0"/>
              <w:rPr>
                <w:sz w:val="19"/>
                <w:szCs w:val="19"/>
                <w:color w:val="auto"/>
              </w:rPr>
            </w:pP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the Company’s Current Report on Form 8-K dated September 22, 2003).</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11</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Calculation of earnings per share of common stock.</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Section 1350 Certification of the Chief Executive Officer.</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32.2</w:t>
            </w:r>
          </w:p>
        </w:tc>
        <w:tc>
          <w:tcPr>
            <w:tcW w:w="9880" w:type="dxa"/>
            <w:vAlign w:val="bottom"/>
            <w:gridSpan w:val="3"/>
          </w:tcPr>
          <w:p>
            <w:pPr>
              <w:ind w:left="400"/>
              <w:spacing w:after="0"/>
              <w:rPr>
                <w:sz w:val="20"/>
                <w:szCs w:val="20"/>
                <w:color w:val="auto"/>
              </w:rPr>
            </w:pPr>
            <w:r>
              <w:rPr>
                <w:rFonts w:ascii="Arial" w:cs="Arial" w:eastAsia="Arial" w:hAnsi="Arial"/>
                <w:sz w:val="18"/>
                <w:szCs w:val="18"/>
                <w:color w:val="auto"/>
              </w:rPr>
              <w:t>Section 1350 Certification of the Chief Financial Officer.</w:t>
            </w:r>
          </w:p>
        </w:tc>
      </w:tr>
      <w:tr>
        <w:trPr>
          <w:trHeight w:val="365"/>
        </w:trPr>
        <w:tc>
          <w:tcPr>
            <w:tcW w:w="600" w:type="dxa"/>
            <w:vAlign w:val="bottom"/>
          </w:tcPr>
          <w:p>
            <w:pPr>
              <w:spacing w:after="0"/>
              <w:rPr>
                <w:sz w:val="24"/>
                <w:szCs w:val="24"/>
                <w:color w:val="auto"/>
              </w:rPr>
            </w:pPr>
          </w:p>
        </w:tc>
        <w:tc>
          <w:tcPr>
            <w:tcW w:w="9880" w:type="dxa"/>
            <w:vAlign w:val="bottom"/>
            <w:gridSpan w:val="3"/>
          </w:tcPr>
          <w:p>
            <w:pPr>
              <w:jc w:val="right"/>
              <w:ind w:right="51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940"/>
          </w:cols>
          <w:pgMar w:left="24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report on Form 8-K was filed during the quarter for which this report is filed:</w:t>
      </w:r>
    </w:p>
    <w:p>
      <w:pPr>
        <w:spacing w:after="0" w:line="77"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Current Report on Form 8-K dated January 20, 2005, reporting under Item 1 amendments relating to The Washington Post Company Incentive Compensation Plan</w:t>
      </w:r>
    </w:p>
    <w:p>
      <w:pPr>
        <w:spacing w:after="0" w:line="3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Current Report on Form 8-K dated January February 25, 2005, reporting under Item 2 the Company’s fourth quarter earnings and including as an exhibit the Company’s press release dated February 25, 2005.</w:t>
      </w:r>
    </w:p>
    <w:p>
      <w:pPr>
        <w:spacing w:after="0" w:line="37" w:lineRule="exact"/>
        <w:rPr>
          <w:sz w:val="20"/>
          <w:szCs w:val="20"/>
          <w:color w:val="auto"/>
        </w:rPr>
      </w:pPr>
    </w:p>
    <w:p>
      <w:pPr>
        <w:ind w:left="920" w:right="700"/>
        <w:spacing w:after="0" w:line="268" w:lineRule="auto"/>
        <w:rPr>
          <w:sz w:val="20"/>
          <w:szCs w:val="20"/>
          <w:color w:val="auto"/>
        </w:rPr>
      </w:pPr>
      <w:r>
        <w:rPr>
          <w:rFonts w:ascii="Arial" w:cs="Arial" w:eastAsia="Arial" w:hAnsi="Arial"/>
          <w:sz w:val="18"/>
          <w:szCs w:val="18"/>
          <w:color w:val="auto"/>
        </w:rPr>
        <w:t>Current Report on Form 8-K dated February 28, 2005, reporting under Item 1 amendments to The Washington Post Company Deferred Compensation Plan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24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40" w:val="left"/>
          <w:tab w:leader="none" w:pos="7960" w:val="left"/>
        </w:tabs>
        <w:rPr>
          <w:sz w:val="20"/>
          <w:szCs w:val="20"/>
          <w:color w:val="auto"/>
        </w:rPr>
      </w:pPr>
      <w:r>
        <w:rPr>
          <w:rFonts w:ascii="Arial" w:cs="Arial" w:eastAsia="Arial" w:hAnsi="Arial"/>
          <w:sz w:val="18"/>
          <w:szCs w:val="18"/>
          <w:color w:val="auto"/>
        </w:rPr>
        <w:t>Date:</w:t>
        <w:tab/>
        <w:t>May 6, 2005</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540" w:val="left"/>
          <w:tab w:leader="none" w:pos="7980" w:val="left"/>
        </w:tabs>
        <w:rPr>
          <w:sz w:val="20"/>
          <w:szCs w:val="20"/>
          <w:color w:val="auto"/>
        </w:rPr>
      </w:pPr>
      <w:r>
        <w:rPr>
          <w:rFonts w:ascii="Arial" w:cs="Arial" w:eastAsia="Arial" w:hAnsi="Arial"/>
          <w:sz w:val="18"/>
          <w:szCs w:val="18"/>
          <w:color w:val="auto"/>
        </w:rPr>
        <w:t>Date:</w:t>
        <w:tab/>
        <w:t>May 6, 2005</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11</w:t>
      </w:r>
    </w:p>
    <w:p>
      <w:pPr>
        <w:spacing w:after="0" w:line="8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THE WASHINGTON POST COMPANY</w:t>
      </w:r>
    </w:p>
    <w:p>
      <w:pPr>
        <w:spacing w:after="0" w:line="158"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CALCULATION OF EARNINGS</w:t>
      </w:r>
    </w:p>
    <w:p>
      <w:pPr>
        <w:spacing w:after="0" w:line="15"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PER SHARE OF COMMON STOCK</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(In thousands of shares)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Issuance of shares of Class B common stock (weighted), net of forfeiture of restricted stock awards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Adjustment to reflect dilution from common stock Equivalents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58,924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82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2005</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7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25" w:lineRule="auto"/>
        <w:tabs>
          <w:tab w:leader="none" w:pos="17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2005</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April 3, 2005 (the “Report”), I, Donald E. Graham, Chief Executive Officer (principal executive officer) of the Company, certify, pursuant to 18 U.S.C. Section 1350, as adopted pursuant to Section 906 of the Sarbanes-Oxley Act of 2002, that:</w:t>
      </w:r>
    </w:p>
    <w:p>
      <w:pPr>
        <w:spacing w:after="0" w:line="4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8987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2005</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April 3, 2005 (the “Report”), I, John B. Morse, Jr., Vice President-Finance (principal financial officer) of the Company, certify, pursuant to 18 U.S.C. Section 1350, as adopted pursuant to Section 906 of the Sarbanes-Oxley Act of 2002, that:</w:t>
      </w:r>
    </w:p>
    <w:p>
      <w:pPr>
        <w:spacing w:after="0" w:line="4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8987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2019-12-13T08:12:10Z</dcterms:created>
  <dcterms:modified xsi:type="dcterms:W3CDTF">2019-12-13T08:12:10Z</dcterms:modified>
</cp:coreProperties>
</file>