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4"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2016</w:t>
      </w: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31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14"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02" w:lineRule="exact"/>
        <w:rPr>
          <w:sz w:val="24"/>
          <w:szCs w:val="24"/>
          <w:color w:val="auto"/>
        </w:rPr>
      </w:pPr>
    </w:p>
    <w:p>
      <w:pPr>
        <w:ind w:right="2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8" w:lineRule="exact"/>
        <w:rPr>
          <w:sz w:val="24"/>
          <w:szCs w:val="24"/>
          <w:color w:val="auto"/>
        </w:rPr>
      </w:pPr>
    </w:p>
    <w:p>
      <w:pPr>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92"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03"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28, 2016:</w:t>
      </w:r>
    </w:p>
    <w:p>
      <w:pPr>
        <w:spacing w:after="0" w:line="266"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4,649,554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10340" w:type="dxa"/>
            <w:vAlign w:val="bottom"/>
          </w:tcPr>
          <w:p>
            <w:pPr>
              <w:ind w:left="3460"/>
              <w:spacing w:after="0"/>
              <w:rPr>
                <w:sz w:val="20"/>
                <w:szCs w:val="20"/>
                <w:color w:val="auto"/>
              </w:rPr>
            </w:pPr>
            <w:r>
              <w:rPr>
                <w:rFonts w:ascii="Arial" w:cs="Arial" w:eastAsia="Arial" w:hAnsi="Arial"/>
                <w:sz w:val="18"/>
                <w:szCs w:val="18"/>
                <w:b w:val="1"/>
                <w:bCs w:val="1"/>
                <w:color w:val="auto"/>
              </w:rPr>
              <w:t>GRAHAM HOLDINGS COMPANY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840" w:type="dxa"/>
            <w:vAlign w:val="bottom"/>
          </w:tcPr>
          <w:p>
            <w:pPr>
              <w:spacing w:after="0"/>
              <w:rPr>
                <w:sz w:val="24"/>
                <w:szCs w:val="24"/>
                <w:color w:val="auto"/>
              </w:rPr>
            </w:pPr>
          </w:p>
        </w:tc>
        <w:tc>
          <w:tcPr>
            <w:tcW w:w="10340" w:type="dxa"/>
            <w:vAlign w:val="bottom"/>
          </w:tcPr>
          <w:p>
            <w:pPr>
              <w:ind w:left="40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8"/>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1"/>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Nine Months Ended September 30, 2016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2015</w:t>
            </w:r>
          </w:p>
        </w:tc>
        <w:tc>
          <w:tcPr>
            <w:tcW w:w="180" w:type="dxa"/>
            <w:vAlign w:val="bottom"/>
            <w:gridSpan w:val="2"/>
          </w:tcPr>
          <w:p>
            <w:pPr>
              <w:jc w:val="right"/>
              <w:spacing w:after="0" w:line="160" w:lineRule="exact"/>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(Loss) (Unaudited) for the Three and Nine Months Ended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September 30, 2016 and 2015</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September 30, 2016 (Unaudited) and December 31,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Nine Months Ended September 30, 2016 and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33</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34</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36</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2015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386,936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481,687</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1,207,086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1,505,914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86,531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68,898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225,590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205,489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148,171</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90,847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419,635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258,344</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621,638</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641,432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1,852,311</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1,969,747</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293,194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302,029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880,859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922,373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237,694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285,563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709,344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864,380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16,097</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14,460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48,903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62,266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6,620</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4,512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19,160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13,897</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248,591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255,467</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553,605</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855,155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1,658,266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2,118,383</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68,033</w:t>
            </w: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(213,723)</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194,045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(148,636)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(1,008)</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(895)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740</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481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2,052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(8,614)</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(7,830)</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(24,533)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(24,679)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(18,225)</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(40,458)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15,871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(29,885)</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40,926</w:t>
            </w: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(261,435)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186,540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(202,499)</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(Benefit)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7,800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54,000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(230,935)</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132,540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(192,499)</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(230,556)</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132,540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(150,329)</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54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(230,843)</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131,672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(151,824)</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131,672</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(230,843)</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(152,455)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(231,222)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131,672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(194,625)</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0" w:type="dxa"/>
            <w:vAlign w:val="bottom"/>
          </w:tcPr>
          <w:p>
            <w:pPr>
              <w:spacing w:after="0"/>
              <w:rPr>
                <w:sz w:val="1"/>
                <w:szCs w:val="1"/>
                <w:color w:val="auto"/>
              </w:rPr>
            </w:pPr>
          </w:p>
        </w:tc>
      </w:tr>
      <w:tr>
        <w:trPr>
          <w:trHeight w:val="204"/>
        </w:trPr>
        <w:tc>
          <w:tcPr>
            <w:tcW w:w="6060" w:type="dxa"/>
            <w:vAlign w:val="bottom"/>
          </w:tcPr>
          <w:p>
            <w:pPr>
              <w:ind w:left="280"/>
              <w:spacing w:after="0"/>
              <w:rPr>
                <w:sz w:val="20"/>
                <w:szCs w:val="20"/>
                <w:color w:val="auto"/>
              </w:rPr>
            </w:pPr>
            <w:r>
              <w:rPr>
                <w:rFonts w:ascii="Arial" w:cs="Arial" w:eastAsia="Arial" w:hAnsi="Arial"/>
                <w:sz w:val="16"/>
                <w:szCs w:val="16"/>
                <w:color w:val="auto"/>
              </w:rPr>
              <w:t>Net income (loss)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33,126</w:t>
            </w: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(230,843)</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131,672</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(152,455)</w:t>
            </w:r>
          </w:p>
        </w:tc>
        <w:tc>
          <w:tcPr>
            <w:tcW w:w="0" w:type="dxa"/>
            <w:vAlign w:val="bottom"/>
          </w:tcPr>
          <w:p>
            <w:pPr>
              <w:spacing w:after="0"/>
              <w:rPr>
                <w:sz w:val="1"/>
                <w:szCs w:val="1"/>
                <w:color w:val="auto"/>
              </w:rPr>
            </w:pPr>
          </w:p>
        </w:tc>
      </w:tr>
      <w:tr>
        <w:trPr>
          <w:trHeight w:val="200"/>
        </w:trPr>
        <w:tc>
          <w:tcPr>
            <w:tcW w:w="6060" w:type="dxa"/>
            <w:vAlign w:val="bottom"/>
          </w:tcPr>
          <w:p>
            <w:pPr>
              <w:ind w:left="440"/>
              <w:spacing w:after="0"/>
              <w:rPr>
                <w:sz w:val="20"/>
                <w:szCs w:val="20"/>
                <w:color w:val="auto"/>
              </w:rPr>
            </w:pPr>
            <w:r>
              <w:rPr>
                <w:rFonts w:ascii="Arial" w:cs="Arial" w:eastAsia="Arial" w:hAnsi="Arial"/>
                <w:sz w:val="16"/>
                <w:szCs w:val="16"/>
                <w:color w:val="auto"/>
              </w:rPr>
              <w:t>stockholders</w:t>
            </w: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5.90</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(40.32)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23.33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(loss)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5.90</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23.33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5,544</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5,738</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5,570</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5.87</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(40.32)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23.21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(loss)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5.87</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5,574</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5,837</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5,600</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697" w:right="239" w:bottom="908"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97" w:right="239" w:bottom="908"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80" w:type="dxa"/>
            <w:vAlign w:val="bottom"/>
          </w:tcPr>
          <w:p>
            <w:pPr>
              <w:spacing w:after="0"/>
              <w:rPr>
                <w:sz w:val="17"/>
                <w:szCs w:val="17"/>
                <w:color w:val="auto"/>
              </w:rPr>
            </w:pPr>
          </w:p>
        </w:tc>
        <w:tc>
          <w:tcPr>
            <w:tcW w:w="22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right="1940"/>
        <w:spacing w:after="0" w:line="366" w:lineRule="auto"/>
        <w:rPr>
          <w:sz w:val="20"/>
          <w:szCs w:val="20"/>
          <w:color w:val="auto"/>
        </w:rPr>
      </w:pPr>
      <w:r>
        <w:rPr>
          <w:rFonts w:ascii="Arial" w:cs="Arial" w:eastAsia="Arial" w:hAnsi="Arial"/>
          <w:sz w:val="16"/>
          <w:szCs w:val="16"/>
          <w:color w:val="auto"/>
        </w:rPr>
        <w:t>Translation adjustments arising during the period Adjustment for sales of businesses with foreign operations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(losses) for the period, net</w:t>
      </w:r>
    </w:p>
    <w:p>
      <w:pPr>
        <w:spacing w:after="0" w:line="5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loss (gain)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Curtailment gains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Curtailment and settlement included in distribution to Cable ONE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(Loss)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440" w:hanging="416"/>
        <w:spacing w:after="0"/>
        <w:tabs>
          <w:tab w:leader="none" w:pos="4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33,126   </w:t>
      </w:r>
      <w:r>
        <w:rPr>
          <w:rFonts w:ascii="Arial" w:cs="Arial" w:eastAsia="Arial" w:hAnsi="Arial"/>
          <w:sz w:val="16"/>
          <w:szCs w:val="16"/>
          <w:color w:val="auto"/>
        </w:rPr>
        <w:t>$  (230,556)</w:t>
      </w:r>
      <w:r>
        <w:rPr>
          <w:rFonts w:ascii="Arial" w:cs="Arial" w:eastAsia="Arial" w:hAnsi="Arial"/>
          <w:sz w:val="16"/>
          <w:szCs w:val="16"/>
          <w:b w:val="1"/>
          <w:bCs w:val="1"/>
          <w:color w:val="auto"/>
        </w:rPr>
        <w:t xml:space="preserve">  $   132,540   </w:t>
      </w:r>
      <w:r>
        <w:rPr>
          <w:rFonts w:ascii="Arial" w:cs="Arial" w:eastAsia="Arial" w:hAnsi="Arial"/>
          <w:sz w:val="16"/>
          <w:szCs w:val="16"/>
          <w:color w:val="auto"/>
        </w:rPr>
        <w:t>$  (150,329)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(353)</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(10,548)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(1,629)</w:t>
            </w:r>
          </w:p>
        </w:tc>
        <w:tc>
          <w:tcPr>
            <w:tcW w:w="1100" w:type="dxa"/>
            <w:vAlign w:val="bottom"/>
          </w:tcPr>
          <w:p>
            <w:pPr>
              <w:jc w:val="right"/>
              <w:spacing w:after="0"/>
              <w:rPr>
                <w:sz w:val="20"/>
                <w:szCs w:val="20"/>
                <w:color w:val="auto"/>
              </w:rPr>
            </w:pPr>
            <w:r>
              <w:rPr>
                <w:rFonts w:ascii="Arial" w:cs="Arial" w:eastAsia="Arial" w:hAnsi="Arial"/>
                <w:sz w:val="16"/>
                <w:szCs w:val="16"/>
                <w:color w:val="auto"/>
              </w:rPr>
              <w:t>(17,387)</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6,026</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64"/>
        </w:trPr>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(353)</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(11,886)</w:t>
            </w:r>
          </w:p>
        </w:tc>
      </w:tr>
      <w:tr>
        <w:trPr>
          <w:trHeight w:val="521"/>
        </w:trPr>
        <w:tc>
          <w:tcPr>
            <w:tcW w:w="28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12,154</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3,836</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7,190</w:t>
            </w:r>
          </w:p>
        </w:tc>
        <w:tc>
          <w:tcPr>
            <w:tcW w:w="1100" w:type="dxa"/>
            <w:vAlign w:val="bottom"/>
          </w:tcPr>
          <w:p>
            <w:pPr>
              <w:jc w:val="right"/>
              <w:spacing w:after="0"/>
              <w:rPr>
                <w:sz w:val="20"/>
                <w:szCs w:val="20"/>
                <w:color w:val="auto"/>
              </w:rPr>
            </w:pPr>
            <w:r>
              <w:rPr>
                <w:rFonts w:ascii="Arial" w:cs="Arial" w:eastAsia="Arial" w:hAnsi="Arial"/>
                <w:sz w:val="16"/>
                <w:szCs w:val="16"/>
                <w:color w:val="auto"/>
              </w:rPr>
              <w:t>(16,497)</w:t>
            </w:r>
          </w:p>
        </w:tc>
      </w:tr>
      <w:tr>
        <w:trPr>
          <w:trHeight w:val="445"/>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(6,256)</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12,154</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3,836</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934</w:t>
            </w:r>
          </w:p>
        </w:tc>
        <w:tc>
          <w:tcPr>
            <w:tcW w:w="1100" w:type="dxa"/>
            <w:vAlign w:val="bottom"/>
          </w:tcPr>
          <w:p>
            <w:pPr>
              <w:jc w:val="right"/>
              <w:spacing w:after="0"/>
              <w:rPr>
                <w:sz w:val="20"/>
                <w:szCs w:val="20"/>
                <w:color w:val="auto"/>
              </w:rPr>
            </w:pPr>
            <w:r>
              <w:rPr>
                <w:rFonts w:ascii="Arial" w:cs="Arial" w:eastAsia="Arial" w:hAnsi="Arial"/>
                <w:sz w:val="16"/>
                <w:szCs w:val="16"/>
                <w:color w:val="auto"/>
              </w:rPr>
              <w:t>(16,497)</w:t>
            </w:r>
          </w:p>
        </w:tc>
      </w:tr>
      <w:tr>
        <w:trPr>
          <w:trHeight w:val="540"/>
        </w:trPr>
        <w:tc>
          <w:tcPr>
            <w:tcW w:w="28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105</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314</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207</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289</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(5,676)</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868</w:t>
            </w:r>
          </w:p>
        </w:tc>
        <w:tc>
          <w:tcPr>
            <w:tcW w:w="1100" w:type="dxa"/>
            <w:vAlign w:val="bottom"/>
          </w:tcPr>
          <w:p>
            <w:pPr>
              <w:jc w:val="right"/>
              <w:spacing w:after="0"/>
              <w:rPr>
                <w:sz w:val="20"/>
                <w:szCs w:val="20"/>
                <w:color w:val="auto"/>
              </w:rPr>
            </w:pPr>
            <w:r>
              <w:rPr>
                <w:rFonts w:ascii="Arial" w:cs="Arial" w:eastAsia="Arial" w:hAnsi="Arial"/>
                <w:sz w:val="16"/>
                <w:szCs w:val="16"/>
                <w:color w:val="auto"/>
              </w:rPr>
              <w:t>(4,419)</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1,403</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394</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(4,154)</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1,182</w:t>
            </w:r>
          </w:p>
        </w:tc>
        <w:tc>
          <w:tcPr>
            <w:tcW w:w="1100" w:type="dxa"/>
            <w:vAlign w:val="bottom"/>
          </w:tcPr>
          <w:p>
            <w:pPr>
              <w:jc w:val="right"/>
              <w:spacing w:after="0"/>
              <w:rPr>
                <w:sz w:val="20"/>
                <w:szCs w:val="20"/>
                <w:color w:val="auto"/>
              </w:rPr>
            </w:pPr>
            <w:r>
              <w:rPr>
                <w:rFonts w:ascii="Arial" w:cs="Arial" w:eastAsia="Arial" w:hAnsi="Arial"/>
                <w:sz w:val="16"/>
                <w:szCs w:val="16"/>
                <w:color w:val="auto"/>
              </w:rPr>
              <w:t>(2,758)</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12,244</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(4,840)</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536</w:t>
            </w:r>
          </w:p>
        </w:tc>
        <w:tc>
          <w:tcPr>
            <w:tcW w:w="1100" w:type="dxa"/>
            <w:vAlign w:val="bottom"/>
          </w:tcPr>
          <w:p>
            <w:pPr>
              <w:jc w:val="right"/>
              <w:spacing w:after="0"/>
              <w:rPr>
                <w:sz w:val="20"/>
                <w:szCs w:val="20"/>
                <w:color w:val="auto"/>
              </w:rPr>
            </w:pPr>
            <w:r>
              <w:rPr>
                <w:rFonts w:ascii="Arial" w:cs="Arial" w:eastAsia="Arial" w:hAnsi="Arial"/>
                <w:sz w:val="16"/>
                <w:szCs w:val="16"/>
                <w:color w:val="auto"/>
              </w:rPr>
              <w:t>(30,962)</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(5,039)</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(866)</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7,632</w:t>
            </w:r>
          </w:p>
        </w:tc>
      </w:tr>
      <w:tr>
        <w:trPr>
          <w:trHeight w:val="264"/>
        </w:trPr>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7,205</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(23,330)</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40,331</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(235,269)</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132,210</w:t>
            </w:r>
          </w:p>
        </w:tc>
        <w:tc>
          <w:tcPr>
            <w:tcW w:w="1100" w:type="dxa"/>
            <w:vAlign w:val="bottom"/>
          </w:tcPr>
          <w:p>
            <w:pPr>
              <w:jc w:val="right"/>
              <w:spacing w:after="0"/>
              <w:rPr>
                <w:sz w:val="20"/>
                <w:szCs w:val="20"/>
                <w:color w:val="auto"/>
              </w:rPr>
            </w:pPr>
            <w:r>
              <w:rPr>
                <w:rFonts w:ascii="Arial" w:cs="Arial" w:eastAsia="Arial" w:hAnsi="Arial"/>
                <w:sz w:val="16"/>
                <w:szCs w:val="16"/>
                <w:color w:val="auto"/>
              </w:rPr>
              <w:t>(173,659)</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40,331</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(235,556)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131,342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(175,154)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00" w:space="580"/>
            <w:col w:w="4440"/>
          </w:cols>
          <w:pgMar w:left="240" w:top="71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593,183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754,207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28,011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20,745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408,670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379,445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567,348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572,435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19,920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48,383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35,283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32,068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63,162</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53,439</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1,715,577</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1,860,722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225,673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231,123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64,815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59,229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1,150,446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1,017,513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68,780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21,885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114,636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1,016,908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979,970</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81,810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75,192</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4,438,645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4,352,825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406,185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428,014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334,577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297,135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6,498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6,797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754,057</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725,149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35,267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33,947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194,693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203,280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67,458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70,678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377,564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403,316</w:t>
            </w:r>
          </w:p>
        </w:tc>
        <w:tc>
          <w:tcPr>
            <w:tcW w:w="0" w:type="dxa"/>
            <w:vAlign w:val="bottom"/>
          </w:tcPr>
          <w:p>
            <w:pPr>
              <w:spacing w:after="0"/>
              <w:rPr>
                <w:sz w:val="1"/>
                <w:szCs w:val="1"/>
                <w:color w:val="auto"/>
              </w:rPr>
            </w:pPr>
          </w:p>
        </w:tc>
      </w:tr>
      <w:tr>
        <w:trPr>
          <w:trHeight w:val="27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24"/>
                <w:szCs w:val="24"/>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9,847</w:t>
            </w:r>
          </w:p>
        </w:tc>
        <w:tc>
          <w:tcPr>
            <w:tcW w:w="28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490,910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1,929,796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1,836,170</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25,957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360,515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356,887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5,552,019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5,447,677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(6,478)</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59,060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58,500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261,739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261,029</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(3,738,085)</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(3,648,546)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2,508,799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2,490,698</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4,438,645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4,352,825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97" w:right="25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132,540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(150,329)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68,063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403,444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(36,714)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(45,081)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3,734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10,319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38,423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loss on disposition of businesses, property, plant and equipment, investments and other assets,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(62,132)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19,634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33,324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16,191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Write-down of cost method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15,161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1,364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sale of equity affiliate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losses of affiliates, net of distributions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895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Benefit for deferred income taxes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(17,281)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(29,152)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(7,266)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5,980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(20,480)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(38,099)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74,112</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28,014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(11,880)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27,206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(159,490)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(16,492)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(21,061)</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1,101</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144,189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116,107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(242,472)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36,777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22,837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(41,373)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(120,018)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(48,265)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(135,124)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(4,550)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(19,038)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Disbursement of loan to affiliate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(7,730)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(284,776)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(274,927)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98,610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550,000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Cash distributed to Cable ONE in spin-off</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(94,115)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(90,328)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(21,000)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(20,532)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(47,006)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1,200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11,308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(41,815)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(648)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(9,944)</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15,408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5,334</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(17,290)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373,762</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(3,147)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(161,024)</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204,005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754,207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773,986</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593,183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977,991</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711" w:right="239" w:bottom="759"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11" w:right="239" w:bottom="759" w:gutter="0" w:footer="0" w:header="0"/>
          <w:type w:val="continuous"/>
        </w:sectPr>
      </w:pPr>
    </w:p>
    <w:bookmarkStart w:id="6" w:name="page7"/>
    <w:bookmarkEnd w:id="6"/>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five television broadcasting stations. The Company's other business operations include home health and hospice services and manufacturing.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2016 and 2015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2015.</w:t>
      </w:r>
    </w:p>
    <w:p>
      <w:pPr>
        <w:spacing w:after="0" w:line="138"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jc w:val="both"/>
        <w:ind w:right="160"/>
        <w:spacing w:after="0" w:line="233" w:lineRule="auto"/>
        <w:rPr>
          <w:sz w:val="20"/>
          <w:szCs w:val="20"/>
          <w:color w:val="auto"/>
        </w:rPr>
      </w:pPr>
      <w:r>
        <w:rPr>
          <w:rFonts w:ascii="Arial" w:cs="Arial" w:eastAsia="Arial" w:hAnsi="Arial"/>
          <w:sz w:val="18"/>
          <w:szCs w:val="18"/>
          <w:b w:val="1"/>
          <w:bCs w:val="1"/>
          <w:color w:val="auto"/>
        </w:rPr>
        <w:t xml:space="preserve">Out of Period Adjustment </w:t>
      </w:r>
      <w:r>
        <w:rPr>
          <w:rFonts w:ascii="Arial" w:cs="Arial" w:eastAsia="Arial" w:hAnsi="Arial"/>
          <w:sz w:val="18"/>
          <w:szCs w:val="18"/>
          <w:color w:val="auto"/>
        </w:rPr>
        <w:t>– In the second quarter of 2016, the Company benefited from a favorable $5.6 million out of period adjustment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for deferred income taxes related to the $ 248.6 million goodwill impairment at the KHE reporting unit in the third quarter of 2015. With respect to this error, the Company has concluded that it was not material to the Company’s financial position or results of operations for 2016 and 2015 and the related interim periods, based on its consideration of quantitative and qualitative factors.</w:t>
      </w:r>
    </w:p>
    <w:p>
      <w:pPr>
        <w:spacing w:after="0" w:line="11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Condensed Consolidated Financial Statements and believes such evaluation will extend over several future periods because of the significance of the changes to the Company’s policies and business processes.</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Condensed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7" w:name="page8"/>
    <w:bookmarkEnd w:id="7"/>
    <w:p>
      <w:pPr>
        <w:ind w:right="20"/>
        <w:spacing w:after="0" w:line="224" w:lineRule="auto"/>
        <w:rPr>
          <w:sz w:val="20"/>
          <w:szCs w:val="20"/>
          <w:color w:val="auto"/>
        </w:rPr>
      </w:pPr>
      <w:r>
        <w:rPr>
          <w:rFonts w:ascii="Arial" w:cs="Arial" w:eastAsia="Arial" w:hAnsi="Arial"/>
          <w:sz w:val="18"/>
          <w:szCs w:val="18"/>
          <w:color w:val="auto"/>
        </w:rPr>
        <w:t>In April 2015, the FASB issued new guidance that simplifies the presentation of debt issuance costs. The new guidance requires that debt issuance costs be reported in the balance sheet as a direct deduction from the gross amount of debt instead of classified as a deferred asset. The guidance is effective for interim and fiscal years beginning after December 15, 2015. The Company adopted the new guidance retrospectively as of January 1, 2016. Therefore, prior periods have been adjusted to reflect this guidance which resulted in the reclassification of $0.1 million of unamortized debt issuance costs related to the Company's 7.25% unsecured notes from deferred charges and other assets to long-term debt within its Condensed Consolidated Balance Sheet as of December 31, 2015.</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Condensed Consolidated Financial Statements.</w:t>
      </w:r>
    </w:p>
    <w:p>
      <w:pPr>
        <w:spacing w:after="0" w:line="13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w:t>
      </w:r>
    </w:p>
    <w:p>
      <w:pPr>
        <w:spacing w:after="0" w:line="136"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Early adoption is permitted. The Company is in the process of evaluating the impact of this new guidance on its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Inc. (Cable ONE)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publicly traded company. The transaction was structured as a tax-free spin-off of Cable ONE to the stockholders of the Company as one share of Cable ONE common stock was distributed for every share of Class A and Class B common stock of Graham</w:t>
      </w:r>
    </w:p>
    <w:p>
      <w:pPr>
        <w:spacing w:after="0" w:line="2"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Holdings outstanding on the June 15, 2015, record date. Cable ONE is now an independent public company trading on the New York Stock Exchange under the symbol “CABO”. After the spin, the Company does not beneficially own any shares of Cable ONE common stock.</w:t>
      </w:r>
    </w:p>
    <w:p>
      <w:pPr>
        <w:spacing w:after="0" w:line="120"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results of operations of Cable ONE are included in the Company’s Condensed Consolidated Statements of Operations as income from discontinued operations, net of tax, for 2015. The Company did not reclassify its Statements of Cash Flows to reflect the various discontinued operations.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19" w:right="259" w:bottom="1440" w:gutter="0" w:footer="0" w:header="0"/>
        </w:sectPr>
      </w:pPr>
    </w:p>
    <w:bookmarkStart w:id="8" w:name="page9"/>
    <w:bookmarkEnd w:id="8"/>
    <w:p>
      <w:pPr>
        <w:ind w:right="20"/>
        <w:spacing w:after="0" w:line="235" w:lineRule="auto"/>
        <w:rPr>
          <w:sz w:val="20"/>
          <w:szCs w:val="20"/>
          <w:color w:val="auto"/>
        </w:rPr>
      </w:pPr>
      <w:r>
        <w:rPr>
          <w:rFonts w:ascii="Arial" w:cs="Arial" w:eastAsia="Arial" w:hAnsi="Arial"/>
          <w:sz w:val="18"/>
          <w:szCs w:val="18"/>
          <w:color w:val="333333"/>
        </w:rPr>
        <w:t xml:space="preserve">Cash flows from Cable ONE for the </w:t>
      </w:r>
      <w:r>
        <w:rPr>
          <w:rFonts w:ascii="Arial" w:cs="Arial" w:eastAsia="Arial" w:hAnsi="Arial"/>
          <w:sz w:val="18"/>
          <w:szCs w:val="18"/>
          <w:color w:val="000000"/>
        </w:rPr>
        <w:t>three and nine months ended September 30, 2015 are combined with the cash flows from operations within</w:t>
      </w:r>
      <w:r>
        <w:rPr>
          <w:rFonts w:ascii="Arial" w:cs="Arial" w:eastAsia="Arial" w:hAnsi="Arial"/>
          <w:sz w:val="18"/>
          <w:szCs w:val="18"/>
          <w:color w:val="333333"/>
        </w:rPr>
        <w:t xml:space="preserve"> </w:t>
      </w:r>
      <w:r>
        <w:rPr>
          <w:rFonts w:ascii="Arial" w:cs="Arial" w:eastAsia="Arial" w:hAnsi="Arial"/>
          <w:sz w:val="18"/>
          <w:szCs w:val="18"/>
          <w:color w:val="000000"/>
        </w:rPr>
        <w:t>each of the categories presented. Cash flows from Cable ONE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80" w:type="dxa"/>
            <w:vAlign w:val="bottom"/>
          </w:tcPr>
          <w:p>
            <w:pPr>
              <w:jc w:val="right"/>
              <w:ind w:right="263"/>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720" w:type="dxa"/>
            <w:vAlign w:val="bottom"/>
          </w:tcPr>
          <w:p>
            <w:pPr>
              <w:jc w:val="right"/>
              <w:ind w:right="263"/>
              <w:spacing w:after="0"/>
              <w:rPr>
                <w:sz w:val="20"/>
                <w:szCs w:val="20"/>
                <w:color w:val="auto"/>
              </w:rPr>
            </w:pPr>
            <w:r>
              <w:rPr>
                <w:rFonts w:ascii="Arial" w:cs="Arial" w:eastAsia="Arial" w:hAnsi="Arial"/>
                <w:sz w:val="14"/>
                <w:szCs w:val="14"/>
                <w:color w:val="auto"/>
              </w:rPr>
              <w:t>Nine Months Ended</w:t>
            </w:r>
          </w:p>
        </w:tc>
      </w:tr>
      <w:tr>
        <w:trPr>
          <w:trHeight w:val="27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September 30, 2015</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September 30, 2015</w:t>
            </w:r>
          </w:p>
        </w:tc>
      </w:tr>
      <w:tr>
        <w:trPr>
          <w:trHeight w:val="250"/>
        </w:trPr>
        <w:tc>
          <w:tcPr>
            <w:tcW w:w="560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(4,468)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111,665</w:t>
            </w: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40" w:type="dxa"/>
            <w:vAlign w:val="bottom"/>
          </w:tcPr>
          <w:p>
            <w:pPr>
              <w:spacing w:after="0"/>
              <w:rPr>
                <w:sz w:val="23"/>
                <w:szCs w:val="23"/>
                <w:color w:val="auto"/>
              </w:rPr>
            </w:pP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(74,416)</w:t>
            </w:r>
          </w:p>
        </w:tc>
      </w:tr>
    </w:tbl>
    <w:p>
      <w:pPr>
        <w:spacing w:after="0" w:line="163"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i w:val="1"/>
          <w:iCs w:val="1"/>
          <w:color w:val="auto"/>
        </w:rPr>
        <w:t xml:space="preserve">Spin-Off Costs: </w:t>
      </w:r>
      <w:r>
        <w:rPr>
          <w:rFonts w:ascii="Arial" w:cs="Arial" w:eastAsia="Arial" w:hAnsi="Arial"/>
          <w:sz w:val="18"/>
          <w:szCs w:val="18"/>
          <w:color w:val="auto"/>
        </w:rPr>
        <w:t>One-time Spin-Off transaction and financing and related costs of $7.4 million in 2015 are included in discontinued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tax.</w:t>
      </w:r>
    </w:p>
    <w:p>
      <w:pPr>
        <w:spacing w:after="0" w:line="117"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An additional school in China was sold by Kaplan in January of 2015 that resulted in a pre-tax loss of $0.7 million. The results of operations of the schools in China are included in the Company’s Condensed Consolidated Statements of Operations as income from discontinued operations, net of tax, for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1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640" w:type="dxa"/>
            <w:vAlign w:val="bottom"/>
          </w:tcPr>
          <w:p>
            <w:pPr>
              <w:jc w:val="right"/>
              <w:ind w:right="200"/>
              <w:spacing w:after="0"/>
              <w:rPr>
                <w:sz w:val="20"/>
                <w:szCs w:val="20"/>
                <w:color w:val="auto"/>
              </w:rPr>
            </w:pPr>
            <w:r>
              <w:rPr>
                <w:rFonts w:ascii="Arial" w:cs="Arial" w:eastAsia="Arial" w:hAnsi="Arial"/>
                <w:sz w:val="14"/>
                <w:szCs w:val="14"/>
                <w:color w:val="auto"/>
              </w:rPr>
              <w:t>Nine Months Ended</w:t>
            </w: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September 30, 2015</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September 30, 2015</w:t>
            </w:r>
          </w:p>
        </w:tc>
      </w:tr>
      <w:tr>
        <w:trPr>
          <w:trHeight w:val="250"/>
        </w:trPr>
        <w:tc>
          <w:tcPr>
            <w:tcW w:w="754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397,404</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1,662</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(325,379)</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21"/>
                <w:szCs w:val="21"/>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1,662</w:t>
            </w:r>
          </w:p>
        </w:tc>
        <w:tc>
          <w:tcPr>
            <w:tcW w:w="2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72,025</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Non-operating expense</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21"/>
                <w:szCs w:val="21"/>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1,662</w:t>
            </w:r>
          </w:p>
        </w:tc>
        <w:tc>
          <w:tcPr>
            <w:tcW w:w="2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70,737</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1,283</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27,783</w:t>
            </w:r>
          </w:p>
        </w:tc>
      </w:tr>
      <w:tr>
        <w:trPr>
          <w:trHeight w:val="251"/>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300" w:type="dxa"/>
            <w:vAlign w:val="bottom"/>
          </w:tcPr>
          <w:p>
            <w:pPr>
              <w:spacing w:after="0"/>
              <w:rPr>
                <w:sz w:val="21"/>
                <w:szCs w:val="21"/>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379</w:t>
            </w:r>
          </w:p>
        </w:tc>
        <w:tc>
          <w:tcPr>
            <w:tcW w:w="28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42,954</w:t>
            </w:r>
          </w:p>
        </w:tc>
      </w:tr>
      <w:tr>
        <w:trPr>
          <w:trHeight w:val="270"/>
        </w:trPr>
        <w:tc>
          <w:tcPr>
            <w:tcW w:w="754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300" w:type="dxa"/>
            <w:vAlign w:val="bottom"/>
          </w:tcPr>
          <w:p>
            <w:pPr>
              <w:spacing w:after="0"/>
              <w:rPr>
                <w:sz w:val="23"/>
                <w:szCs w:val="23"/>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83"/>
        </w:trPr>
        <w:tc>
          <w:tcPr>
            <w:tcW w:w="7540" w:type="dxa"/>
            <w:vAlign w:val="bottom"/>
          </w:tcPr>
          <w:p>
            <w:pPr>
              <w:ind w:left="40"/>
              <w:spacing w:after="0"/>
              <w:rPr>
                <w:sz w:val="20"/>
                <w:szCs w:val="20"/>
                <w:color w:val="auto"/>
              </w:rPr>
            </w:pPr>
            <w:r>
              <w:rPr>
                <w:rFonts w:ascii="Arial" w:cs="Arial" w:eastAsia="Arial" w:hAnsi="Arial"/>
                <w:sz w:val="16"/>
                <w:szCs w:val="16"/>
                <w:color w:val="auto"/>
              </w:rPr>
              <w:t>Provision for income taxes on disposition of discontinued operations</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r>
      <w:tr>
        <w:trPr>
          <w:trHeight w:val="26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42,170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As of September 30, 2016 and December 31, 2015, the Company had commercial paper and money market investments of $372.2 million and $433.0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6"/>
                <w:szCs w:val="16"/>
                <w:b w:val="1"/>
                <w:bCs w:val="1"/>
                <w:color w:val="auto"/>
              </w:rPr>
              <w:t>284,343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253,062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23"/>
                <w:szCs w:val="23"/>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b w:val="1"/>
                <w:bCs w:val="1"/>
                <w:color w:val="auto"/>
              </w:rPr>
              <w:t>107,145</w:t>
            </w:r>
          </w:p>
        </w:tc>
        <w:tc>
          <w:tcPr>
            <w:tcW w:w="2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97,741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(8,711)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382,777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350,563</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Company settled on $48.3 million of marketable equity securities purchases during the first nine months of 2016, of which $ 47.9 million was purchased in the first nine months. There were $135.6 million of new investments in marketable equity securities during the first nine months of 2015.</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total proceeds from the sales of marketable equity securities for the first nine months of 2016 were $22.8 million, with realized gains of $6.3 million. There were no sales of marketable equity securities in the first nine months of 2015.</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As of September 30, 2016, the Company held an approximate 20% interest in HomeHero and interests in several other affiliates; Residential Healthcare (Residential) held a 40% interest in Residential Home Health Illinois, a 42.5% interest in Residential Hospice Illinois and a 40% interest in the joint venture formed between Residential and a Michigan hospital; and Celtic Healthcare (Celtic) held a 40% interest in the joint venture formed between Celtic Healthcare and Allegheny Health Network (AHN) (see Note 4).</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19"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ACQUISITIONS AND DISPOSITIONS OF BUSINESSES</w:t>
      </w:r>
    </w:p>
    <w:p>
      <w:pPr>
        <w:spacing w:after="0" w:line="14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May 2016, Graham Media Group entered into an agreement to acquire two television stations for $60 million in cash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of certain pension obligations. The acquisition is subject to approval by the Federal Communications Commission, other regulatory approvals and the satisfaction of closing conditions.</w:t>
      </w:r>
    </w:p>
    <w:p>
      <w:pPr>
        <w:spacing w:after="0" w:line="136"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In the first nine months of 2016, the Company acquired three businesses included in its education division and one business in other businesses totaling $254.8 million. In September 2016, Dekko acquired a 100% interest in Electri-Cable Assemblies (ECA), a Shelton, CT based manufacturer of power, data and electrical solutions for the office furniture industry. This acquisition is included in other businesses. In January and February 2016, Kaplan acquired a 100% interest in Mander Portman Woodward, a leading provider of high-quality, bespoke education to UK and international students in London, Cambridge and Birmingham; and a 100% interest in Osborne Books, an educational publisher of learning resources for accounting qualifications in the UK. These acquisitions are included in Kaplan International.</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the first nine months of 2015, the Company did not make any acquisitions. 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a 100% interest in SmartPros, a provider of accredited professional education and training, primarily in accountancy, which is included in Higher Education.</w:t>
      </w:r>
    </w:p>
    <w:p>
      <w:pPr>
        <w:spacing w:after="0" w:line="13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Acquisition-related costs were expensed as incurred and were not significant. The aggregate purchase price of the 2016 acquisitions was allocated as follows on a preliminary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4500" w:type="dxa"/>
            <w:vAlign w:val="bottom"/>
            <w:gridSpan w:val="2"/>
          </w:tcPr>
          <w:p>
            <w:pPr>
              <w:ind w:left="290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right"/>
              <w:ind w:right="140"/>
              <w:spacing w:after="0"/>
              <w:rPr>
                <w:sz w:val="20"/>
                <w:szCs w:val="20"/>
                <w:color w:val="auto"/>
              </w:rPr>
            </w:pPr>
            <w:r>
              <w:rPr>
                <w:rFonts w:ascii="Arial" w:cs="Arial" w:eastAsia="Arial" w:hAnsi="Arial"/>
                <w:sz w:val="14"/>
                <w:szCs w:val="14"/>
                <w:b w:val="1"/>
                <w:bCs w:val="1"/>
                <w:color w:val="auto"/>
              </w:rPr>
              <w:t>Purchase Price</w:t>
            </w: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500" w:type="dxa"/>
            <w:vAlign w:val="bottom"/>
            <w:tcBorders>
              <w:bottom w:val="single" w:sz="8" w:color="auto"/>
            </w:tcBorders>
            <w:gridSpan w:val="2"/>
          </w:tcPr>
          <w:p>
            <w:pPr>
              <w:ind w:left="3400"/>
              <w:spacing w:after="0"/>
              <w:rPr>
                <w:sz w:val="20"/>
                <w:szCs w:val="20"/>
                <w:color w:val="auto"/>
              </w:rPr>
            </w:pPr>
            <w:r>
              <w:rPr>
                <w:rFonts w:ascii="Arial" w:cs="Arial" w:eastAsia="Arial" w:hAnsi="Arial"/>
                <w:sz w:val="14"/>
                <w:szCs w:val="14"/>
                <w:b w:val="1"/>
                <w:bCs w:val="1"/>
                <w:color w:val="auto"/>
              </w:rPr>
              <w:t>Life</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Allocation</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500" w:type="dxa"/>
            <w:vAlign w:val="bottom"/>
            <w:gridSpan w:val="2"/>
          </w:tcPr>
          <w:p>
            <w:pPr>
              <w:ind w:left="43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10,587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8,415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Inventory</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971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1,420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3,940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Goodwill</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181,228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53,110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6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22,292</w:t>
            </w: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6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2,425</w:t>
            </w: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2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350</w:t>
            </w:r>
          </w:p>
        </w:tc>
      </w:tr>
      <w:tr>
        <w:trPr>
          <w:trHeight w:val="283"/>
        </w:trPr>
        <w:tc>
          <w:tcPr>
            <w:tcW w:w="5620" w:type="dxa"/>
            <w:vAlign w:val="bottom"/>
          </w:tcPr>
          <w:p>
            <w:pPr>
              <w:ind w:left="180"/>
              <w:spacing w:after="0"/>
              <w:rPr>
                <w:sz w:val="20"/>
                <w:szCs w:val="20"/>
                <w:color w:val="auto"/>
              </w:rPr>
            </w:pPr>
            <w:r>
              <w:rPr>
                <w:rFonts w:ascii="Arial" w:cs="Arial" w:eastAsia="Arial" w:hAnsi="Arial"/>
                <w:sz w:val="16"/>
                <w:szCs w:val="16"/>
                <w:color w:val="auto"/>
              </w:rPr>
              <w:t>Other</w:t>
            </w:r>
          </w:p>
        </w:tc>
        <w:tc>
          <w:tcPr>
            <w:tcW w:w="4320" w:type="dxa"/>
            <w:vAlign w:val="bottom"/>
          </w:tcPr>
          <w:p>
            <w:pPr>
              <w:ind w:left="3660"/>
              <w:spacing w:after="0"/>
              <w:rPr>
                <w:sz w:val="20"/>
                <w:szCs w:val="20"/>
                <w:color w:val="auto"/>
              </w:rPr>
            </w:pPr>
            <w:r>
              <w:rPr>
                <w:rFonts w:ascii="Arial" w:cs="Arial" w:eastAsia="Arial" w:hAnsi="Arial"/>
                <w:sz w:val="16"/>
                <w:szCs w:val="16"/>
                <w:color w:val="auto"/>
              </w:rPr>
              <w:t>7 years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2,200</w:t>
            </w:r>
          </w:p>
        </w:tc>
      </w:tr>
      <w:tr>
        <w:trPr>
          <w:trHeight w:val="237"/>
        </w:trPr>
        <w:tc>
          <w:tcPr>
            <w:tcW w:w="5620" w:type="dxa"/>
            <w:vAlign w:val="bottom"/>
          </w:tcPr>
          <w:p>
            <w:pPr>
              <w:spacing w:after="0"/>
              <w:rPr>
                <w:sz w:val="20"/>
                <w:szCs w:val="20"/>
                <w:color w:val="auto"/>
              </w:rPr>
            </w:pP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6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27,267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(20,714)</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(11,378)</w:t>
            </w:r>
          </w:p>
        </w:tc>
      </w:tr>
      <w:tr>
        <w:trPr>
          <w:trHeight w:val="237"/>
        </w:trPr>
        <w:tc>
          <w:tcPr>
            <w:tcW w:w="5620" w:type="dxa"/>
            <w:vAlign w:val="bottom"/>
          </w:tcPr>
          <w:p>
            <w:pPr>
              <w:spacing w:after="0"/>
              <w:rPr>
                <w:sz w:val="20"/>
                <w:szCs w:val="20"/>
                <w:color w:val="auto"/>
              </w:rPr>
            </w:pPr>
          </w:p>
        </w:tc>
        <w:tc>
          <w:tcPr>
            <w:tcW w:w="4500" w:type="dxa"/>
            <w:vAlign w:val="bottom"/>
            <w:gridSpan w:val="2"/>
          </w:tcPr>
          <w:p>
            <w:pPr>
              <w:ind w:left="43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254,846</w:t>
            </w:r>
          </w:p>
        </w:tc>
      </w:tr>
      <w:tr>
        <w:trPr>
          <w:trHeight w:val="20"/>
        </w:trPr>
        <w:tc>
          <w:tcPr>
            <w:tcW w:w="5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and the final amount of residual goodwill are not yet finalized. The Company expects to deduct $20.3 million of goodwill for income tax purposes from these four acquisitions.</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loss for the companies acquired in 2016 of $6.1 million and $2.2 million, respectively, for the third quarter of 2016. The revenue and operating income were $31.4 million and $6.7 million, respectively, for the first nine months of 2016. The following unaudited pro forma financial information presents the Company’s results as if the acquisitions had occurred at the beginning of 2015. The unaudited pro forma information also includes the 2015 acquisitions as if they occurred at the beginning of 2014: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2"/>
          </w:tcPr>
          <w:p>
            <w:pPr>
              <w:jc w:val="right"/>
              <w:ind w:right="44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September 30</w:t>
            </w:r>
          </w:p>
        </w:tc>
        <w:tc>
          <w:tcPr>
            <w:tcW w:w="244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2015</w:t>
            </w: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626,223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696,570</w:t>
            </w:r>
          </w:p>
        </w:tc>
        <w:tc>
          <w:tcPr>
            <w:tcW w:w="1220" w:type="dxa"/>
            <w:vAlign w:val="bottom"/>
          </w:tcPr>
          <w:p>
            <w:pPr>
              <w:jc w:val="right"/>
              <w:ind w:right="64"/>
              <w:spacing w:after="0"/>
              <w:rPr>
                <w:sz w:val="20"/>
                <w:szCs w:val="20"/>
                <w:color w:val="auto"/>
              </w:rPr>
            </w:pPr>
            <w:r>
              <w:rPr>
                <w:rFonts w:ascii="Arial" w:cs="Arial" w:eastAsia="Arial" w:hAnsi="Arial"/>
                <w:sz w:val="16"/>
                <w:szCs w:val="16"/>
                <w:b w:val="1"/>
                <w:bCs w:val="1"/>
                <w:color w:val="auto"/>
              </w:rPr>
              <w:t>$  1,869,174</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  2,147,273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32,400</w:t>
            </w:r>
          </w:p>
        </w:tc>
        <w:tc>
          <w:tcPr>
            <w:tcW w:w="36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(229,831)</w:t>
            </w:r>
          </w:p>
        </w:tc>
        <w:tc>
          <w:tcPr>
            <w:tcW w:w="1220" w:type="dxa"/>
            <w:vAlign w:val="bottom"/>
          </w:tcPr>
          <w:p>
            <w:pPr>
              <w:jc w:val="right"/>
              <w:ind w:right="64"/>
              <w:spacing w:after="0"/>
              <w:rPr>
                <w:sz w:val="20"/>
                <w:szCs w:val="20"/>
                <w:color w:val="auto"/>
              </w:rPr>
            </w:pPr>
            <w:r>
              <w:rPr>
                <w:rFonts w:ascii="Arial" w:cs="Arial" w:eastAsia="Arial" w:hAnsi="Arial"/>
                <w:sz w:val="16"/>
                <w:szCs w:val="16"/>
                <w:b w:val="1"/>
                <w:bCs w:val="1"/>
                <w:color w:val="auto"/>
              </w:rPr>
              <w:t>135,478</w:t>
            </w:r>
          </w:p>
        </w:tc>
        <w:tc>
          <w:tcPr>
            <w:tcW w:w="1220" w:type="dxa"/>
            <w:vAlign w:val="bottom"/>
          </w:tcPr>
          <w:p>
            <w:pPr>
              <w:jc w:val="right"/>
              <w:spacing w:after="0"/>
              <w:rPr>
                <w:sz w:val="20"/>
                <w:szCs w:val="20"/>
                <w:color w:val="auto"/>
              </w:rPr>
            </w:pPr>
            <w:r>
              <w:rPr>
                <w:rFonts w:ascii="Arial" w:cs="Arial" w:eastAsia="Arial" w:hAnsi="Arial"/>
                <w:sz w:val="16"/>
                <w:szCs w:val="16"/>
                <w:color w:val="auto"/>
              </w:rPr>
              <w:t>(138,545)</w:t>
            </w:r>
          </w:p>
        </w:tc>
      </w:tr>
    </w:tbl>
    <w:p>
      <w:pPr>
        <w:spacing w:after="0" w:line="200"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97" w:right="239" w:bottom="1440" w:gutter="0" w:footer="0" w:header="0"/>
          <w:type w:val="continuous"/>
        </w:sectPr>
      </w:pPr>
    </w:p>
    <w:bookmarkStart w:id="10" w:name="page11"/>
    <w:bookmarkEnd w:id="10"/>
    <w:p>
      <w:pPr>
        <w:ind w:right="6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They are not the results that would have been realized had these entities been part of the Company during the periods presented and are not necessarily indicative of the Company’s consolidated results of operations in future periods.</w:t>
      </w:r>
    </w:p>
    <w:p>
      <w:pPr>
        <w:spacing w:after="0" w:line="13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the third quarter of 2016, the Company recorded adjustments to the deferred taxes included in the preliminary accounting of Dekko and SmartPros acquired in the fourth quarter of 2015. These adjustments resulted in a $20.2 million decrease to goodwill.</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6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a vocational school company. KHE Campuses schools that were closed or were in the process of closing were not included in the sale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were sold as part of the KHEC Campuses sale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60" w:type="dxa"/>
            <w:vAlign w:val="bottom"/>
          </w:tcPr>
          <w:p>
            <w:pPr>
              <w:jc w:val="right"/>
              <w:ind w:right="263"/>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720" w:type="dxa"/>
            <w:vAlign w:val="bottom"/>
          </w:tcPr>
          <w:p>
            <w:pPr>
              <w:jc w:val="right"/>
              <w:ind w:right="283"/>
              <w:spacing w:after="0"/>
              <w:rPr>
                <w:sz w:val="20"/>
                <w:szCs w:val="20"/>
                <w:color w:val="auto"/>
              </w:rPr>
            </w:pPr>
            <w:r>
              <w:rPr>
                <w:rFonts w:ascii="Arial" w:cs="Arial" w:eastAsia="Arial" w:hAnsi="Arial"/>
                <w:sz w:val="14"/>
                <w:szCs w:val="14"/>
                <w:color w:val="auto"/>
              </w:rPr>
              <w:t>Nine Months Ended</w:t>
            </w:r>
          </w:p>
        </w:tc>
      </w:tr>
      <w:tr>
        <w:trPr>
          <w:trHeight w:val="178"/>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September 30, 2015</w:t>
            </w: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September 30, 2015</w:t>
            </w:r>
          </w:p>
        </w:tc>
      </w:tr>
      <w:tr>
        <w:trPr>
          <w:trHeight w:val="250"/>
        </w:trPr>
        <w:tc>
          <w:tcPr>
            <w:tcW w:w="4600" w:type="dxa"/>
            <w:vAlign w:val="bottom"/>
          </w:tcPr>
          <w:p>
            <w:pPr>
              <w:ind w:left="40"/>
              <w:spacing w:after="0"/>
              <w:rPr>
                <w:sz w:val="20"/>
                <w:szCs w:val="20"/>
                <w:color w:val="auto"/>
              </w:rPr>
            </w:pPr>
            <w:r>
              <w:rPr>
                <w:rFonts w:ascii="Arial" w:cs="Arial" w:eastAsia="Arial" w:hAnsi="Arial"/>
                <w:sz w:val="16"/>
                <w:szCs w:val="16"/>
                <w:color w:val="auto"/>
              </w:rPr>
              <w:t>Revenue</w:t>
            </w:r>
          </w:p>
        </w:tc>
        <w:tc>
          <w:tcPr>
            <w:tcW w:w="304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3"/>
              <w:spacing w:after="0"/>
              <w:rPr>
                <w:sz w:val="20"/>
                <w:szCs w:val="20"/>
                <w:color w:val="auto"/>
              </w:rPr>
            </w:pPr>
            <w:r>
              <w:rPr>
                <w:rFonts w:ascii="Arial" w:cs="Arial" w:eastAsia="Arial" w:hAnsi="Arial"/>
                <w:sz w:val="16"/>
                <w:szCs w:val="16"/>
                <w:color w:val="auto"/>
              </w:rPr>
              <w:t>43,121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3"/>
              <w:spacing w:after="0"/>
              <w:rPr>
                <w:sz w:val="20"/>
                <w:szCs w:val="20"/>
                <w:color w:val="auto"/>
              </w:rPr>
            </w:pPr>
            <w:r>
              <w:rPr>
                <w:rFonts w:ascii="Arial" w:cs="Arial" w:eastAsia="Arial" w:hAnsi="Arial"/>
                <w:sz w:val="16"/>
                <w:szCs w:val="16"/>
                <w:color w:val="auto"/>
              </w:rPr>
              <w:t>167,244</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040" w:type="dxa"/>
            <w:vAlign w:val="bottom"/>
          </w:tcPr>
          <w:p>
            <w:pPr>
              <w:spacing w:after="0"/>
              <w:rPr>
                <w:sz w:val="23"/>
                <w:szCs w:val="23"/>
                <w:color w:val="auto"/>
              </w:rPr>
            </w:pPr>
          </w:p>
        </w:tc>
        <w:tc>
          <w:tcPr>
            <w:tcW w:w="1760" w:type="dxa"/>
            <w:vAlign w:val="bottom"/>
          </w:tcPr>
          <w:p>
            <w:pPr>
              <w:jc w:val="right"/>
              <w:ind w:right="43"/>
              <w:spacing w:after="0"/>
              <w:rPr>
                <w:sz w:val="20"/>
                <w:szCs w:val="20"/>
                <w:color w:val="auto"/>
              </w:rPr>
            </w:pPr>
            <w:r>
              <w:rPr>
                <w:rFonts w:ascii="Arial" w:cs="Arial" w:eastAsia="Arial" w:hAnsi="Arial"/>
                <w:sz w:val="16"/>
                <w:szCs w:val="16"/>
                <w:color w:val="auto"/>
              </w:rPr>
              <w:t>629</w:t>
            </w:r>
          </w:p>
        </w:tc>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(6,672)</w:t>
            </w:r>
          </w:p>
        </w:tc>
      </w:tr>
    </w:tbl>
    <w:p>
      <w:pPr>
        <w:spacing w:after="0" w:line="16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 of which $4.7 million was an unfavorable out of period expense adjustment related to the first quarter of 2015 (this amount is included in the above table). With respect to this error, the Company has concluded that it was not material to the Company’s financial position or results of operations for the first or second quarter of 2015, based on its consideration of quantitative and qualitative factors.</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gains in other non-operating income (see Note 10).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$3.4 million, with a corresponding decrease to capital in excess of par value, to reflect the redemption value of the redeemable noncontrolling interest at $24.0 million. Following this transaction, Celtic and Residential combined their business operations to form Graham Healthcare Group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September 30, 2016.</w:t>
      </w:r>
    </w:p>
    <w:p>
      <w:pPr>
        <w:spacing w:after="0" w:line="13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January 2015, Celtic and AHN closed on the formation of a joint venture to combine each other’s home health and hospice assets in the western Pennsylvania region. Although Celtic manages the operations of the joint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1" w:name="page12"/>
    <w:bookmarkEnd w:id="11"/>
    <w:p>
      <w:pPr>
        <w:ind w:right="560"/>
        <w:spacing w:after="0" w:line="235" w:lineRule="auto"/>
        <w:rPr>
          <w:sz w:val="20"/>
          <w:szCs w:val="20"/>
          <w:color w:val="auto"/>
        </w:rPr>
      </w:pPr>
      <w:r>
        <w:rPr>
          <w:rFonts w:ascii="Arial" w:cs="Arial" w:eastAsia="Arial" w:hAnsi="Arial"/>
          <w:sz w:val="18"/>
          <w:szCs w:val="18"/>
          <w:color w:val="auto"/>
        </w:rPr>
        <w:t>venture, Celtic holds a 40% interest in the joint venture, so the operating results of the joint venture are not consolidated and the pro rata operating results are included in the Company’s equity in earnings of affiliates.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 net of tax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the third quarter of 2015, as a result of continued declines in student enrollments at KHE and the challenging industry operating environment, the Company performed an interim impairment review of its goodwill and long-lived assets at the KHE reporting unit. The KHE reporting unit failed the step one goodwill impairment test. As a result of the step two analysis, the Company recorded a $248.6 million goodwill impairment charge. The Company estimated the fair value of the KHE reporting unit utilizing a discounted cash flow model, supported by a market approach. A substantial portion of the impairment charge is due to the amount of unrecognized intangible assets identified in the step two analysis.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Amortization of intangible assets for the three months ended September 30, 2016 and 2015 was $6.6 million and $4.5 million, respectively. Amortization of intangible assets for the nine months ended September 30, 2016 and 2015 was $19.2 million and $13.9 million, respectively. Amortization of intangible assets is estimated to be approximately $7 million for the remainder of 2016, $24 million in 2017, $22 million in 2018, $19 million in 2019, $18 million in 2020 and $25 million thereafter.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1,006,096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202,814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1,377,255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(359,742)</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655,246</w:t>
            </w:r>
          </w:p>
        </w:tc>
        <w:tc>
          <w:tcPr>
            <w:tcW w:w="24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193,922</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1,017,513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Measurement period adjustments</w:t>
            </w:r>
          </w:p>
        </w:tc>
        <w:tc>
          <w:tcPr>
            <w:tcW w:w="22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(2,781)</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(16,930)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(19,711)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160,894</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20,334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181,228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(2,800)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(2,800)</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(25,784)</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(25,784)</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1,138,425</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200,608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1,507,378</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(356,932)</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787,575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194,526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1,150,446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2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392,457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447,541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1,006,096</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143,866</w:t>
            </w:r>
          </w:p>
        </w:tc>
        <w:tc>
          <w:tcPr>
            <w:tcW w:w="280" w:type="dxa"/>
            <w:vAlign w:val="bottom"/>
          </w:tcPr>
          <w:p>
            <w:pPr>
              <w:spacing w:after="0"/>
              <w:rPr>
                <w:sz w:val="21"/>
                <w:szCs w:val="21"/>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4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447,541</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655,246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Measurement period adjustments</w:t>
            </w:r>
          </w:p>
        </w:tc>
        <w:tc>
          <w:tcPr>
            <w:tcW w:w="22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b w:val="1"/>
                <w:bCs w:val="1"/>
                <w:color w:val="auto"/>
              </w:rPr>
              <w:t>(2,781)</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(2,781)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160,894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160,894</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104</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(25,888)</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(25,784)</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389,780</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b w:val="1"/>
                <w:bCs w:val="1"/>
                <w:color w:val="auto"/>
              </w:rPr>
              <w:t>582,547</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1,138,425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141,189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582,547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787,575</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center"/>
              <w:ind w:left="602"/>
              <w:spacing w:after="0"/>
              <w:rPr>
                <w:sz w:val="20"/>
                <w:szCs w:val="20"/>
                <w:color w:val="auto"/>
              </w:rPr>
            </w:pPr>
            <w:r>
              <w:rPr>
                <w:rFonts w:ascii="Arial" w:cs="Arial" w:eastAsia="Arial" w:hAnsi="Arial"/>
                <w:sz w:val="14"/>
                <w:szCs w:val="14"/>
                <w:b w:val="1"/>
                <w:bCs w:val="1"/>
                <w:color w:val="auto"/>
              </w:rPr>
              <w:t>As of September 30, 2016</w:t>
            </w: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2015</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2"/>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02"/>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Accumulated</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130,264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51,902</w:t>
            </w:r>
          </w:p>
        </w:tc>
        <w:tc>
          <w:tcPr>
            <w:tcW w:w="2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78,362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108,806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40,280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68,526</w:t>
            </w: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55,705</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27,929</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27,776</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53,848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23,941</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29,907</w:t>
            </w: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4,617</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4,304</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313</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4,617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4,114</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1,731</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1,273</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458</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1,381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83"/>
        </w:trPr>
        <w:tc>
          <w:tcPr>
            <w:tcW w:w="3000" w:type="dxa"/>
            <w:vAlign w:val="bottom"/>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1–8 years (1)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12,031</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4,304</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7,727</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10,095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2,209</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204,348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89,712</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114,636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178,747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71,556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0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67,946</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21,051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0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834</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68,780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21,885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12700</wp:posOffset>
            </wp:positionV>
            <wp:extent cx="574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29845</wp:posOffset>
            </wp:positionV>
            <wp:extent cx="5746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12700</wp:posOffset>
            </wp:positionV>
            <wp:extent cx="668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29845</wp:posOffset>
            </wp:positionV>
            <wp:extent cx="668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other amortized intangible assets’ maximum useful life was 7 years as of December 31,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398,938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398,596</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96,984</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1,486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497,408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(6,498)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490,910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2016 and December 31, 2015,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carrying value is net of $0.6 million of unamortized debt issuance costs as of September 30,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September 30, 2016 is at interest rates from 2% and 6% and matures from 2019 to 2025.</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 As of September 30, 2016, the Company is in compliance with all financial covenants.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£75.0 million. Borrowings bear interest at a rate per annum of LIBOR plus an applicable interest rate margin between 1.25% and 1.75%, in each case determined on a quarterly basis by reference to a pricing grid based upon the Company's total leverage ratio. The credit facility requires that 6.66% of the outstanding aggregate amount of the loan be repaid on the first three anniversaries of funding, with the remaining balance due on July 1, 2020.</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w:t>
      </w: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19" w:right="239" w:bottom="1440" w:gutter="0" w:footer="0" w:header="0"/>
          <w:type w:val="continuous"/>
        </w:sectPr>
      </w:pPr>
    </w:p>
    <w:bookmarkStart w:id="13" w:name="page14"/>
    <w:bookmarkEnd w:id="13"/>
    <w:p>
      <w:pPr>
        <w:ind w:right="140"/>
        <w:spacing w:after="0" w:line="227" w:lineRule="auto"/>
        <w:rPr>
          <w:sz w:val="20"/>
          <w:szCs w:val="20"/>
          <w:color w:val="auto"/>
        </w:rPr>
      </w:pPr>
      <w:r>
        <w:rPr>
          <w:rFonts w:ascii="Arial" w:cs="Arial" w:eastAsia="Arial" w:hAnsi="Arial"/>
          <w:sz w:val="18"/>
          <w:szCs w:val="18"/>
          <w:color w:val="auto"/>
        </w:rPr>
        <w:t>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September 30, 2016 and 2015, the Company had average borrowings outstanding of approximately $473.7 million and $404.1 million, respectively, at average annual interest rates of approximately 6.2% and 7.2%, respectively. During the three months ended September 30, 2016 and 2015, the Company incurred net interest expense of $7.9 million and $7.3 million, respectively.</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During the nine months ended September 30, 2016 and 2015, the Company had average borrowings outstanding of approximately $429.4 million and $435.8 million, respectively, at average annual interest rates of approximately 6.9% and 7.0%, respectively. During the nine months ended September 30, 2016 and 2015, the Company incurred net interest expense of $22.5 million and $23.3 million, respectively.</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At September 30, 2016, the fair value of the Company’s 7.25% unsecured notes, based on quoted market prices (Level 2 fair value assessment), totaled $436.3 million, compared with the carrying amount of $398.9 million. At December 31, 2015, the fair value of the Company’s 7.25% unsecured notes, based on quoted market prices (Level 2 fair value assessment), totaled $436.6 million, compared with the carrying amount of $398.6 million. The carrying value of the Company’s other unsecured debt at September 30, 2016 approximates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2016</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281,386</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281,386</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Commercial paper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90,835</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90,835</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382,777</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382,777</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9,746</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16,147</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25,893</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(5)</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483,358</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297,584</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780,942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45,431</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45,431</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9,847</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9,847</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45,431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9,847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55,278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433,040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433,040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350,563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350,563</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16,060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28,882</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363,385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449,100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812,485</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(6)</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48,055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0" w:type="dxa"/>
            <w:vAlign w:val="bottom"/>
          </w:tcPr>
          <w:p>
            <w:pPr>
              <w:spacing w:after="0"/>
              <w:rPr>
                <w:sz w:val="1"/>
                <w:szCs w:val="1"/>
                <w:color w:val="auto"/>
              </w:rPr>
            </w:pPr>
          </w:p>
        </w:tc>
      </w:tr>
      <w:tr>
        <w:trPr>
          <w:trHeight w:val="172"/>
        </w:trPr>
        <w:tc>
          <w:tcPr>
            <w:tcW w:w="6520" w:type="dxa"/>
            <w:vAlign w:val="bottom"/>
          </w:tcPr>
          <w:p>
            <w:pPr>
              <w:spacing w:after="0"/>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 and the value considers the liquidity of the counterparty.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three months or less are included in cash and cash equivalents.</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41"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30" w:lineRule="exact"/>
        <w:rPr>
          <w:rFonts w:ascii="Arial" w:cs="Arial" w:eastAsia="Arial" w:hAnsi="Arial"/>
          <w:sz w:val="14"/>
          <w:szCs w:val="14"/>
          <w:color w:val="auto"/>
        </w:rPr>
      </w:pPr>
    </w:p>
    <w:p>
      <w:pPr>
        <w:ind w:left="420" w:right="60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fair value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80" w:hanging="412"/>
        <w:spacing w:after="0" w:line="23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which approximates fair value.</w:t>
      </w:r>
    </w:p>
    <w:p>
      <w:pPr>
        <w:sectPr>
          <w:pgSz w:w="11900" w:h="16838" w:orient="portrait"/>
          <w:cols w:equalWidth="0" w:num="1">
            <w:col w:w="11420"/>
          </w:cols>
          <w:pgMar w:left="240" w:top="719" w:right="2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19" w:right="239" w:bottom="1440" w:gutter="0" w:footer="0" w:header="0"/>
          <w:type w:val="continuous"/>
        </w:sectPr>
      </w:pPr>
    </w:p>
    <w:bookmarkStart w:id="14" w:name="page15"/>
    <w:bookmarkEnd w:id="14"/>
    <w:p>
      <w:pPr>
        <w:ind w:right="140"/>
        <w:spacing w:after="0" w:line="225" w:lineRule="auto"/>
        <w:rPr>
          <w:sz w:val="20"/>
          <w:szCs w:val="20"/>
          <w:color w:val="auto"/>
        </w:rPr>
      </w:pPr>
      <w:r>
        <w:rPr>
          <w:rFonts w:ascii="Arial" w:cs="Arial" w:eastAsia="Arial" w:hAnsi="Arial"/>
          <w:sz w:val="18"/>
          <w:szCs w:val="18"/>
          <w:color w:val="auto"/>
        </w:rPr>
        <w:t>In the third quarter of 2016, the Company recorded an impairment charge of $15.0 million to its preferred equity interest in a vocational school company due to a decline in business conditions. The measurement of the preferred equity interest is classified as a Level 3 fair value assessment due to the significance of unobservable inputs developed in the determination of the fair value. The Company used a discounted cash flow model to determine the estimated fair value of the preferred equity interest and made estimates and assumptions regarding future cash flows, discount rates, long-term growth rates and market values to determine the estimated fair value.</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the third quarter of 2015, the Company recorded a goodwill impairment charge of $248.6 million. In the second quarter of 2015, the Company recorded a long-lived asset impairment charge of $6.9 million. The remeasurements of the goodwill and other long-lived assets are classified as Level 3 fair value assessments due to the significance of unobservable inputs developed in the determination of the fair values.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66"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Company's effective tax rate for the first nine months of 2016 was 28.9%. In the third quarter of 2016, $19.3 million of the valuation allowance recorded on Australian net deferred tax assets was released, as the Company determined that it was more likely than not that the benefit of the net deferred tax assets would be realized, based on improved operating results that have recently generated positive ordinary income. Also in the third quarter of 2016, $11.0 million in deferred tax assets were written off in connection with the Company’s designation of certain intercompany loans as long-term investments. In the second quarter of 2016, the Company benefited from a favorable $5.6 million out of period deferred tax adjustment related to the KHE goodwill impairment recorded in the third quarter of 2015.</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Company's effective tax rate on the loss for continuing operations for the first nine months of 2015 was 4.9%, as a large portion of the goodwill impairment charge and the goodwill included in the loss on the KHE Campuses sale are permanent differences.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(LOSS) PER SHARE</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19" w:right="259" w:bottom="1440" w:gutter="0" w:footer="0" w:header="0"/>
        </w:sectPr>
      </w:pPr>
    </w:p>
    <w:bookmarkStart w:id="15" w:name="page16"/>
    <w:bookmarkEnd w:id="15"/>
    <w:p>
      <w:pPr>
        <w:ind w:right="60"/>
        <w:spacing w:after="0" w:line="235" w:lineRule="auto"/>
        <w:rPr>
          <w:sz w:val="20"/>
          <w:szCs w:val="20"/>
          <w:color w:val="auto"/>
        </w:rPr>
      </w:pPr>
      <w:r>
        <w:rPr>
          <w:rFonts w:ascii="Arial" w:cs="Arial" w:eastAsia="Arial" w:hAnsi="Arial"/>
          <w:sz w:val="18"/>
          <w:szCs w:val="18"/>
          <w:color w:val="auto"/>
        </w:rPr>
        <w:t>The following reflects the Company's income (loss) from continuing operations and share data used in the basic and diluted earnings (loss)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280"/>
              <w:spacing w:after="0"/>
              <w:rPr>
                <w:sz w:val="20"/>
                <w:szCs w:val="20"/>
                <w:color w:val="auto"/>
              </w:rPr>
            </w:pPr>
            <w:r>
              <w:rPr>
                <w:rFonts w:ascii="Arial" w:cs="Arial" w:eastAsia="Arial" w:hAnsi="Arial"/>
                <w:sz w:val="16"/>
                <w:szCs w:val="16"/>
                <w:color w:val="auto"/>
              </w:rPr>
              <w:t>Income (loss) from continuing operations attributable to Graham Holdings</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33,126</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131,672</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440"/>
              <w:spacing w:after="0"/>
              <w:rPr>
                <w:sz w:val="20"/>
                <w:szCs w:val="20"/>
                <w:color w:val="auto"/>
              </w:rPr>
            </w:pPr>
            <w:r>
              <w:rPr>
                <w:rFonts w:ascii="Arial" w:cs="Arial" w:eastAsia="Arial" w:hAnsi="Arial"/>
                <w:sz w:val="16"/>
                <w:szCs w:val="16"/>
                <w:color w:val="auto"/>
              </w:rPr>
              <w:t>Company common stockholders</w:t>
            </w: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(231,222)</w:t>
            </w:r>
          </w:p>
        </w:tc>
        <w:tc>
          <w:tcPr>
            <w:tcW w:w="3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(194,625)</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(6,796)</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(6,736)</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(27,329)</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(53,090)</w:t>
            </w:r>
          </w:p>
        </w:tc>
        <w:tc>
          <w:tcPr>
            <w:tcW w:w="0" w:type="dxa"/>
            <w:vAlign w:val="bottom"/>
          </w:tcPr>
          <w:p>
            <w:pPr>
              <w:spacing w:after="0"/>
              <w:rPr>
                <w:sz w:val="1"/>
                <w:szCs w:val="1"/>
                <w:color w:val="auto"/>
              </w:rPr>
            </w:pPr>
          </w:p>
        </w:tc>
      </w:tr>
      <w:tr>
        <w:trPr>
          <w:trHeight w:val="251"/>
        </w:trPr>
        <w:tc>
          <w:tcPr>
            <w:tcW w:w="6300" w:type="dxa"/>
            <w:vAlign w:val="bottom"/>
          </w:tcPr>
          <w:p>
            <w:pPr>
              <w:ind w:left="280"/>
              <w:spacing w:after="0"/>
              <w:rPr>
                <w:sz w:val="20"/>
                <w:szCs w:val="20"/>
                <w:color w:val="auto"/>
              </w:rPr>
            </w:pPr>
            <w:r>
              <w:rPr>
                <w:rFonts w:ascii="Arial" w:cs="Arial" w:eastAsia="Arial" w:hAnsi="Arial"/>
                <w:sz w:val="16"/>
                <w:szCs w:val="16"/>
                <w:color w:val="auto"/>
              </w:rPr>
              <w:t>Undistributed earnings (loss)</w:t>
            </w:r>
          </w:p>
        </w:tc>
        <w:tc>
          <w:tcPr>
            <w:tcW w:w="28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26,330</w:t>
            </w:r>
          </w:p>
        </w:tc>
        <w:tc>
          <w:tcPr>
            <w:tcW w:w="300" w:type="dxa"/>
            <w:vAlign w:val="bottom"/>
          </w:tcPr>
          <w:p>
            <w:pPr>
              <w:spacing w:after="0"/>
              <w:rPr>
                <w:sz w:val="21"/>
                <w:szCs w:val="21"/>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(237,958)</w:t>
            </w:r>
          </w:p>
        </w:tc>
        <w:tc>
          <w:tcPr>
            <w:tcW w:w="320" w:type="dxa"/>
            <w:vAlign w:val="bottom"/>
          </w:tcPr>
          <w:p>
            <w:pPr>
              <w:spacing w:after="0"/>
              <w:rPr>
                <w:sz w:val="21"/>
                <w:szCs w:val="21"/>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104,343</w:t>
            </w:r>
          </w:p>
        </w:tc>
        <w:tc>
          <w:tcPr>
            <w:tcW w:w="32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(247,715)</w:t>
            </w:r>
          </w:p>
        </w:tc>
        <w:tc>
          <w:tcPr>
            <w:tcW w:w="0" w:type="dxa"/>
            <w:vAlign w:val="bottom"/>
          </w:tcPr>
          <w:p>
            <w:pPr>
              <w:spacing w:after="0"/>
              <w:rPr>
                <w:sz w:val="1"/>
                <w:szCs w:val="1"/>
                <w:color w:val="auto"/>
              </w:rPr>
            </w:pPr>
          </w:p>
        </w:tc>
      </w:tr>
      <w:tr>
        <w:trPr>
          <w:trHeight w:val="290"/>
        </w:trPr>
        <w:tc>
          <w:tcPr>
            <w:tcW w:w="63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98.70%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98.70%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25,987</w:t>
            </w:r>
          </w:p>
        </w:tc>
        <w:tc>
          <w:tcPr>
            <w:tcW w:w="300" w:type="dxa"/>
            <w:vAlign w:val="bottom"/>
          </w:tcPr>
          <w:p>
            <w:pPr>
              <w:spacing w:after="0"/>
              <w:rPr>
                <w:sz w:val="21"/>
                <w:szCs w:val="21"/>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(237,958)</w:t>
            </w:r>
          </w:p>
        </w:tc>
        <w:tc>
          <w:tcPr>
            <w:tcW w:w="320" w:type="dxa"/>
            <w:vAlign w:val="bottom"/>
          </w:tcPr>
          <w:p>
            <w:pPr>
              <w:spacing w:after="0"/>
              <w:rPr>
                <w:sz w:val="21"/>
                <w:szCs w:val="21"/>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102,987</w:t>
            </w:r>
          </w:p>
        </w:tc>
        <w:tc>
          <w:tcPr>
            <w:tcW w:w="32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(247,715)</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6,708</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6,621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26,976</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52,180</w:t>
            </w:r>
          </w:p>
        </w:tc>
        <w:tc>
          <w:tcPr>
            <w:tcW w:w="0" w:type="dxa"/>
            <w:vAlign w:val="bottom"/>
          </w:tcPr>
          <w:p>
            <w:pPr>
              <w:spacing w:after="0"/>
              <w:rPr>
                <w:sz w:val="1"/>
                <w:szCs w:val="1"/>
                <w:color w:val="auto"/>
              </w:rPr>
            </w:pPr>
          </w:p>
        </w:tc>
      </w:tr>
      <w:tr>
        <w:trPr>
          <w:trHeight w:val="267"/>
        </w:trPr>
        <w:tc>
          <w:tcPr>
            <w:tcW w:w="6300" w:type="dxa"/>
            <w:vAlign w:val="bottom"/>
          </w:tcPr>
          <w:p>
            <w:pPr>
              <w:ind w:left="280"/>
              <w:spacing w:after="0"/>
              <w:rPr>
                <w:sz w:val="20"/>
                <w:szCs w:val="20"/>
                <w:color w:val="auto"/>
              </w:rPr>
            </w:pPr>
            <w:r>
              <w:rPr>
                <w:rFonts w:ascii="Arial" w:cs="Arial" w:eastAsia="Arial" w:hAnsi="Arial"/>
                <w:sz w:val="16"/>
                <w:szCs w:val="16"/>
                <w:color w:val="auto"/>
              </w:rPr>
              <w:t>Numerator for basic earnings (loss)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32,695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(231,337)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129,963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(195,535)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diluted earnings (loss)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32,697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(231,337)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129,970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(195,535)</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Denominator for basic earnings (loss)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5,544</w:t>
            </w:r>
          </w:p>
        </w:tc>
        <w:tc>
          <w:tcPr>
            <w:tcW w:w="300" w:type="dxa"/>
            <w:vAlign w:val="bottom"/>
          </w:tcPr>
          <w:p>
            <w:pPr>
              <w:spacing w:after="0"/>
              <w:rPr>
                <w:sz w:val="23"/>
                <w:szCs w:val="23"/>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5,738</w:t>
            </w:r>
          </w:p>
        </w:tc>
        <w:tc>
          <w:tcPr>
            <w:tcW w:w="320" w:type="dxa"/>
            <w:vAlign w:val="bottom"/>
          </w:tcPr>
          <w:p>
            <w:pPr>
              <w:spacing w:after="0"/>
              <w:rPr>
                <w:sz w:val="23"/>
                <w:szCs w:val="23"/>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5,570</w:t>
            </w:r>
          </w:p>
        </w:tc>
        <w:tc>
          <w:tcPr>
            <w:tcW w:w="320" w:type="dxa"/>
            <w:vAlign w:val="bottom"/>
          </w:tcPr>
          <w:p>
            <w:pPr>
              <w:spacing w:after="0"/>
              <w:rPr>
                <w:sz w:val="23"/>
                <w:szCs w:val="23"/>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6"/>
                <w:szCs w:val="16"/>
                <w:color w:val="auto"/>
              </w:rPr>
              <w:t>Denominator for diluted earnings (loss) per share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5,574</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5,738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5,600</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Basic earnings (loss) per share from continuing operations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5.90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(40.32)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23.33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Diluted earnings (loss) per share from continuing operations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5.87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(40.32)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23.21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180" w:hanging="412"/>
        <w:spacing w:after="0" w:line="239"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is 100% in the third quarter and first nine months of 2015 as participating securities are not contractually obligated to share in losses.</w:t>
      </w:r>
    </w:p>
    <w:p>
      <w:pPr>
        <w:spacing w:after="0" w:line="13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r>
      <w:tr>
        <w:trPr>
          <w:trHeight w:val="196"/>
        </w:trPr>
        <w:tc>
          <w:tcPr>
            <w:tcW w:w="6860" w:type="dxa"/>
            <w:vAlign w:val="bottom"/>
          </w:tcPr>
          <w:p>
            <w:pPr>
              <w:spacing w:after="0"/>
              <w:rPr>
                <w:sz w:val="17"/>
                <w:szCs w:val="17"/>
                <w:color w:val="auto"/>
              </w:rPr>
            </w:pPr>
          </w:p>
        </w:tc>
        <w:tc>
          <w:tcPr>
            <w:tcW w:w="188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r>
      <w:tr>
        <w:trPr>
          <w:trHeight w:val="25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20" w:type="dxa"/>
            <w:vAlign w:val="bottom"/>
          </w:tcPr>
          <w:p>
            <w:pPr>
              <w:spacing w:after="0"/>
              <w:rPr>
                <w:sz w:val="21"/>
                <w:szCs w:val="21"/>
                <w:color w:val="auto"/>
              </w:rPr>
            </w:pPr>
          </w:p>
        </w:tc>
        <w:tc>
          <w:tcPr>
            <w:tcW w:w="1160" w:type="dxa"/>
            <w:vAlign w:val="bottom"/>
          </w:tcPr>
          <w:p>
            <w:pPr>
              <w:jc w:val="right"/>
              <w:ind w:right="882"/>
              <w:spacing w:after="0"/>
              <w:rPr>
                <w:sz w:val="20"/>
                <w:szCs w:val="20"/>
                <w:color w:val="auto"/>
              </w:rPr>
            </w:pPr>
            <w:r>
              <w:rPr>
                <w:rFonts w:ascii="Arial" w:cs="Arial" w:eastAsia="Arial" w:hAnsi="Arial"/>
                <w:sz w:val="16"/>
                <w:szCs w:val="16"/>
                <w:b w:val="1"/>
                <w:bCs w:val="1"/>
                <w:color w:val="auto"/>
              </w:rPr>
              <w:t>42</w:t>
            </w:r>
          </w:p>
        </w:tc>
        <w:tc>
          <w:tcPr>
            <w:tcW w:w="1100" w:type="dxa"/>
            <w:vAlign w:val="bottom"/>
          </w:tcPr>
          <w:p>
            <w:pPr>
              <w:jc w:val="right"/>
              <w:ind w:right="823"/>
              <w:spacing w:after="0"/>
              <w:rPr>
                <w:sz w:val="20"/>
                <w:szCs w:val="20"/>
                <w:color w:val="auto"/>
              </w:rPr>
            </w:pPr>
            <w:r>
              <w:rPr>
                <w:rFonts w:ascii="Arial" w:cs="Arial" w:eastAsia="Arial" w:hAnsi="Arial"/>
                <w:sz w:val="16"/>
                <w:szCs w:val="16"/>
                <w:color w:val="auto"/>
              </w:rPr>
              <w:t>50</w:t>
            </w:r>
          </w:p>
        </w:tc>
        <w:tc>
          <w:tcPr>
            <w:tcW w:w="1240" w:type="dxa"/>
            <w:vAlign w:val="bottom"/>
          </w:tcPr>
          <w:p>
            <w:pPr>
              <w:jc w:val="right"/>
              <w:ind w:right="943"/>
              <w:spacing w:after="0"/>
              <w:rPr>
                <w:sz w:val="20"/>
                <w:szCs w:val="20"/>
                <w:color w:val="auto"/>
              </w:rPr>
            </w:pPr>
            <w:r>
              <w:rPr>
                <w:rFonts w:ascii="Arial" w:cs="Arial" w:eastAsia="Arial" w:hAnsi="Arial"/>
                <w:sz w:val="16"/>
                <w:szCs w:val="16"/>
                <w:b w:val="1"/>
                <w:bCs w:val="1"/>
                <w:color w:val="auto"/>
              </w:rPr>
              <w:t>40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720" w:type="dxa"/>
            <w:vAlign w:val="bottom"/>
          </w:tcPr>
          <w:p>
            <w:pPr>
              <w:spacing w:after="0"/>
              <w:rPr>
                <w:sz w:val="23"/>
                <w:szCs w:val="23"/>
                <w:color w:val="auto"/>
              </w:rPr>
            </w:pPr>
          </w:p>
        </w:tc>
        <w:tc>
          <w:tcPr>
            <w:tcW w:w="1160" w:type="dxa"/>
            <w:vAlign w:val="bottom"/>
          </w:tcPr>
          <w:p>
            <w:pPr>
              <w:jc w:val="right"/>
              <w:ind w:right="882"/>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23"/>
              <w:spacing w:after="0"/>
              <w:rPr>
                <w:sz w:val="20"/>
                <w:szCs w:val="20"/>
                <w:color w:val="auto"/>
              </w:rPr>
            </w:pPr>
            <w:r>
              <w:rPr>
                <w:rFonts w:ascii="Arial" w:cs="Arial" w:eastAsia="Arial" w:hAnsi="Arial"/>
                <w:sz w:val="16"/>
                <w:szCs w:val="16"/>
                <w:color w:val="auto"/>
              </w:rPr>
              <w:t>49</w:t>
            </w:r>
          </w:p>
        </w:tc>
        <w:tc>
          <w:tcPr>
            <w:tcW w:w="1240" w:type="dxa"/>
            <w:vAlign w:val="bottom"/>
          </w:tcPr>
          <w:p>
            <w:pPr>
              <w:jc w:val="right"/>
              <w:ind w:right="9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37</w:t>
            </w:r>
          </w:p>
        </w:tc>
      </w:tr>
    </w:tbl>
    <w:p>
      <w:pPr>
        <w:spacing w:after="0" w:line="1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diluted earnings per share amounts for the three and nine months ended September 30, 2016 exclude the effects of 102,000 stock options outstanding as their inclusion would have been antidilutive due to a market condition. The diluted loss per share amounts for the three and nine months ended September 30, 2015 exclude the effects of 77,258 stock options outstanding as their inclusion would have been antidilutive due to a market condition. The diluted earnings per share amounts for the three and nine months ended September 30, 2016 exclude the effects of 6,100 restricted stock awards as their inclusion would have been antidilutive due to a performance condition. The diluted loss per share amounts for the three and nine months ended September 30, 2015 exclude the effects of 5,050 restricted stock awards, as their inclusion would have been antidilutive due to a performance condition.</w:t>
      </w:r>
    </w:p>
    <w:p>
      <w:pPr>
        <w:spacing w:after="0" w:line="13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the three and nine months ended September 30, 2016, the Company declared dividends totaling $1.21 and $4.84, respectively. In the three and nine months ended September 30, 2015, the Company declared regular dividends totaling $1.15 and $9.10, respectively.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PENSION AND POSTRETIREMENT PLANS</w:t>
      </w:r>
    </w:p>
    <w:p>
      <w:pPr>
        <w:spacing w:after="0" w:line="144"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Supplemental Executive Retirement Plan (SERP). The Company also eliminated the accrual of pension benefits for all Cable ONE employees related to their future service. As a result of the spin-off of Cable ONE, the Company remeasured the accumulated and projected benefit obligation of the pension plan and SERP as of July 1, 2015, and recorded curtailment and settlement gains. The new measurement basis was used for the recognition of the SERP cost recorded in the third quarter of 2015 and the pension benefit recorded for the first two months of the third quarter of 2015. The curtailment gain on the spin-off of Cable ONE is included in income from discontinued operations, net of tax. The settlement gain on the spin-off of Cable ONE is included in the SERP liability distributed to Cable ONE (see Note 2).</w:t>
      </w:r>
    </w:p>
    <w:p>
      <w:pPr>
        <w:spacing w:after="0" w:line="11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KHE Campuses Sale. </w:t>
      </w:r>
      <w:r>
        <w:rPr>
          <w:rFonts w:ascii="Arial" w:cs="Arial" w:eastAsia="Arial" w:hAnsi="Arial"/>
          <w:sz w:val="18"/>
          <w:szCs w:val="18"/>
          <w:color w:val="auto"/>
        </w:rPr>
        <w:t>On September 3, 2015, the Company eliminated the accrual of pension benefits for almost all of the KHE Campus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related to their future service. As a result, the Company remeasured the accumulated and projected benefit obligation of the pension plan as of September 3, 2015, and the Company recorded a curtailment gain in the third quarter of 2015. The new measurement basis was used for the recognition of the Company's pension benefit beginning in September 2015. The curtailment gain on the sale of the KHE Campuses is included in the loss on the sale of the KHE Campuses and reported in Other (expense) income, net on the Condensed Consolidated Statement of Operations.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5,040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6,090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15,422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20,593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12,845</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13,516</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38,763</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39,077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(30,348)</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(33,673)</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(91,122)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(96,771)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74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223</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241</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(6,057)</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(6,057)</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(12,389)</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(20,045)</w:t>
            </w:r>
          </w:p>
        </w:tc>
        <w:tc>
          <w:tcPr>
            <w:tcW w:w="26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(36,714)</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(42,917)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Curtailment gains</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(3,267)</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Early retirement programs and special separation benefit expense</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3,734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3,734</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(12,389)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(36,714)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 the three and nine months ended September 30, 2015, the net periodic benefit for the Company's pension plans, as reported above, includes benefits of $0.1 million and costs of $1.9 million, respectively, reported in discontinued operations. The curtailment gain of $2.2 million related to the Cable spin-off is also included in discontinued operations for the three and nine months ended September 30, 2015. The curtailment gain of $1.1 million related to the sale of the KHE Campuses business is included in Other (expense) income, net.</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2015, the Company recorded $3.7 million related to a Separation Incentive Program for certain Kaplan employees, which was funded from the assets of the Company's pension plan.</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246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464</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738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1,482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1,096</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1,140</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3,288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3,410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342</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343</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665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630</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1,995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2,385</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2,121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6,363</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7,620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For the nine months ended September 30, 2015, the net periodic cost for the Company's SERP, as reported above, includes costs of $0.2 million reported in discontinued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7" w:right="239" w:bottom="1440" w:gutter="0" w:footer="0" w:header="0"/>
        </w:sectPr>
      </w:pPr>
    </w:p>
    <w:bookmarkStart w:id="17" w:name="page18"/>
    <w:bookmarkEnd w:id="17"/>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463"/>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2015</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78%</w:t>
            </w: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15%</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19" w:lineRule="auto"/>
        <w:rPr>
          <w:sz w:val="20"/>
          <w:szCs w:val="20"/>
          <w:color w:val="auto"/>
        </w:rPr>
      </w:pPr>
      <w:r>
        <w:rPr>
          <w:rFonts w:ascii="Arial" w:cs="Arial" w:eastAsia="Arial" w:hAnsi="Arial"/>
          <w:sz w:val="18"/>
          <w:szCs w:val="18"/>
          <w:color w:val="auto"/>
        </w:rPr>
        <w:t>Beginning in the second quarter of 2016, the Company started managing approximately 44% of the pension assets internally, of which the majority is invested in a U.S. stock index fund with the remaining investments in Berkshire Hathaway stock and short-term fixed income securities. The remaining 56% of plan assets are still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U.S. Government, without receiving prior approval from the Plan administrator. As of September 30, 2016, the investment managers can invest no more than 23% of the assets they manage in specified international exchanges, at the time the investment is made, and no less than 10% of the assets could be invested in fixed-income securities.</w:t>
      </w:r>
    </w:p>
    <w:p>
      <w:pPr>
        <w:spacing w:after="0" w:line="137"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2016. Types of concentrations that were evaluated include, but are not limited to, investment concentrations in a single entity, type of industry, foreign country and individual fund. At September 30, 2016, the pension plan held investments in one common stock and one U.S. stock index fund that exceeded 10% of total plan assets, valued at $915.2 million, or 45% of total plan assets. At December 31, 2015, the pension plan held common stock in two investments that exceeded 10% of total plan assets, valued at $562.6 million, or 25% of total plan assets. At December 31, 2015, the pension plan held investments in one foreign country that exceeded 10% of total plan assets, valued at $332.4 million, or 15% of total plan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346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333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1,039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999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308</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325</w:t>
            </w:r>
          </w:p>
        </w:tc>
        <w:tc>
          <w:tcPr>
            <w:tcW w:w="260" w:type="dxa"/>
            <w:vAlign w:val="bottom"/>
          </w:tcPr>
          <w:p>
            <w:pPr>
              <w:spacing w:after="0"/>
              <w:rPr>
                <w:sz w:val="23"/>
                <w:szCs w:val="23"/>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923</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974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(83)</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(251)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(376)</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(249)</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(1,127)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195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584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OTHER NON-OPERATING (EXPENSE)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land</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34,072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loss, net</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(3,797)</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(12,972)</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(33,324)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(16,191)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(loss) on sales of businesses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(26,253)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18,931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(23,335)</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 on write-downs of cost method investments</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(15,000)</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(15,161)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(1,364)</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marketable equity securities (see Note 3)</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6,256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formation of joint ventures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3,232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5,972</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Additional gain on sale of Classified Ventures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4,827</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572</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1,865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(Expense)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(18,225)</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15,871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(29,885)</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In the third quarter of 2016, the Company recorded an impairment of $15.0 million to the preferred equity interest in a vocational school company.</w:t>
      </w:r>
    </w:p>
    <w:p>
      <w:pPr>
        <w:spacing w:after="0" w:line="135"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w:t>
      </w:r>
    </w:p>
    <w:p>
      <w:pPr>
        <w:spacing w:after="0" w:line="144"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In the third quarter of 2015, Kaplan sold the KHEC Campuses business, and Franklyn Scholar, which was part of Kaplan International, for a loss of $26.3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$4.8 million favorable out of period adjustment to the gain on the sale of Classified Ventures related to the fourth quarter of 2014. With respect to this error, the Company has concluded that it was not material to the Company's financial position or results of operations for 2015 and the related interim periods, based on its consideration of quantitative and qualitative factors.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780" w:type="dxa"/>
            <w:vAlign w:val="bottom"/>
          </w:tcPr>
          <w:p>
            <w:pPr>
              <w:jc w:val="center"/>
              <w:ind w:left="88"/>
              <w:spacing w:after="0"/>
              <w:rPr>
                <w:sz w:val="20"/>
                <w:szCs w:val="20"/>
                <w:color w:val="auto"/>
              </w:rPr>
            </w:pPr>
            <w:r>
              <w:rPr>
                <w:rFonts w:ascii="Arial" w:cs="Arial" w:eastAsia="Arial" w:hAnsi="Arial"/>
                <w:sz w:val="14"/>
                <w:szCs w:val="14"/>
                <w:b w:val="1"/>
                <w:bCs w:val="1"/>
                <w:color w:val="auto"/>
              </w:rPr>
              <w:t>Income</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After-Tax</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w w:val="98"/>
              </w:rPr>
              <w:t>Before-Tax</w:t>
            </w:r>
          </w:p>
        </w:tc>
        <w:tc>
          <w:tcPr>
            <w:tcW w:w="780" w:type="dxa"/>
            <w:vAlign w:val="bottom"/>
          </w:tcPr>
          <w:p>
            <w:pPr>
              <w:jc w:val="center"/>
              <w:ind w:right="16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Tax</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w w:val="99"/>
              </w:rPr>
              <w:t>Amount</w:t>
            </w:r>
          </w:p>
        </w:tc>
        <w:tc>
          <w:tcPr>
            <w:tcW w:w="780" w:type="dxa"/>
            <w:vAlign w:val="bottom"/>
          </w:tcPr>
          <w:p>
            <w:pPr>
              <w:jc w:val="center"/>
              <w:ind w:right="16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697"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loss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gains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and settlement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(353)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auto"/>
              </w:rPr>
              <w:t>(353)</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(10,548)</w:t>
            </w:r>
          </w:p>
        </w:tc>
      </w:tr>
      <w:tr>
        <w:trPr>
          <w:trHeight w:val="283"/>
        </w:trPr>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6,026</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6,026</w:t>
            </w:r>
          </w:p>
        </w:tc>
      </w:tr>
      <w:tr>
        <w:trPr>
          <w:trHeight w:val="264"/>
        </w:trPr>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(353)</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(4,522)</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w:t>
            </w:r>
          </w:p>
        </w:tc>
      </w:tr>
      <w:tr>
        <w:trPr>
          <w:trHeight w:val="521"/>
        </w:trPr>
        <w:tc>
          <w:tcPr>
            <w:tcW w:w="14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12,154</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(4,862)</w:t>
            </w:r>
          </w:p>
        </w:tc>
        <w:tc>
          <w:tcPr>
            <w:tcW w:w="2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7,292</w:t>
            </w:r>
          </w:p>
        </w:tc>
        <w:tc>
          <w:tcPr>
            <w:tcW w:w="200" w:type="dxa"/>
            <w:vAlign w:val="bottom"/>
          </w:tcPr>
          <w:p>
            <w:pPr>
              <w:spacing w:after="0"/>
              <w:rPr>
                <w:sz w:val="24"/>
                <w:szCs w:val="24"/>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3,836</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(1,535)</w:t>
            </w:r>
          </w:p>
        </w:tc>
        <w:tc>
          <w:tcPr>
            <w:tcW w:w="24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2,301</w:t>
            </w:r>
          </w:p>
        </w:tc>
      </w:tr>
      <w:tr>
        <w:trPr>
          <w:trHeight w:val="783"/>
        </w:trPr>
        <w:tc>
          <w:tcPr>
            <w:tcW w:w="14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260" w:type="dxa"/>
            <w:vAlign w:val="bottom"/>
          </w:tcPr>
          <w:p>
            <w:pPr>
              <w:spacing w:after="0"/>
              <w:rPr>
                <w:sz w:val="24"/>
                <w:szCs w:val="24"/>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64</w:t>
            </w:r>
          </w:p>
        </w:tc>
        <w:tc>
          <w:tcPr>
            <w:tcW w:w="200" w:type="dxa"/>
            <w:vAlign w:val="bottom"/>
          </w:tcPr>
          <w:p>
            <w:pPr>
              <w:spacing w:after="0"/>
              <w:rPr>
                <w:sz w:val="24"/>
                <w:szCs w:val="24"/>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270"/>
        </w:trPr>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289</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26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173</w:t>
            </w:r>
          </w:p>
        </w:tc>
        <w:tc>
          <w:tcPr>
            <w:tcW w:w="2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(5,676)</w:t>
            </w:r>
          </w:p>
        </w:tc>
        <w:tc>
          <w:tcPr>
            <w:tcW w:w="22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2,271</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(3,405)</w:t>
            </w:r>
          </w:p>
        </w:tc>
      </w:tr>
      <w:tr>
        <w:trPr>
          <w:trHeight w:val="270"/>
        </w:trPr>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283"/>
        </w:trPr>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1,403</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842</w:t>
            </w:r>
          </w:p>
        </w:tc>
      </w:tr>
      <w:tr>
        <w:trPr>
          <w:trHeight w:val="264"/>
        </w:trPr>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394</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237</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(4,154)</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1,662</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w:t>
            </w:r>
          </w:p>
        </w:tc>
      </w:tr>
      <w:tr>
        <w:trPr>
          <w:trHeight w:val="534"/>
        </w:trPr>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49</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7,205</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5"/>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32"/>
        </w:trPr>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8"/>
        </w:trPr>
        <w:tc>
          <w:tcPr>
            <w:tcW w:w="140" w:type="dxa"/>
            <w:vAlign w:val="bottom"/>
          </w:tcPr>
          <w:p>
            <w:pPr>
              <w:spacing w:after="0"/>
              <w:rPr>
                <w:sz w:val="22"/>
                <w:szCs w:val="22"/>
                <w:color w:val="auto"/>
              </w:rPr>
            </w:pPr>
          </w:p>
        </w:tc>
        <w:tc>
          <w:tcPr>
            <w:tcW w:w="960" w:type="dxa"/>
            <w:vAlign w:val="bottom"/>
          </w:tcPr>
          <w:p>
            <w:pPr>
              <w:jc w:val="right"/>
              <w:ind w:right="120"/>
              <w:spacing w:after="0"/>
              <w:rPr>
                <w:sz w:val="20"/>
                <w:szCs w:val="20"/>
                <w:color w:val="auto"/>
              </w:rPr>
            </w:pPr>
            <w:r>
              <w:rPr>
                <w:rFonts w:ascii="Arial" w:cs="Arial" w:eastAsia="Arial" w:hAnsi="Arial"/>
                <w:sz w:val="14"/>
                <w:szCs w:val="14"/>
                <w:b w:val="1"/>
                <w:bCs w:val="1"/>
                <w:color w:val="auto"/>
              </w:rPr>
              <w:t>Before-Tax</w:t>
            </w:r>
          </w:p>
        </w:tc>
        <w:tc>
          <w:tcPr>
            <w:tcW w:w="200" w:type="dxa"/>
            <w:vAlign w:val="bottom"/>
          </w:tcPr>
          <w:p>
            <w:pPr>
              <w:spacing w:after="0"/>
              <w:rPr>
                <w:sz w:val="22"/>
                <w:szCs w:val="22"/>
                <w:color w:val="auto"/>
              </w:rPr>
            </w:pPr>
          </w:p>
        </w:tc>
        <w:tc>
          <w:tcPr>
            <w:tcW w:w="640" w:type="dxa"/>
            <w:vAlign w:val="bottom"/>
          </w:tcPr>
          <w:p>
            <w:pPr>
              <w:jc w:val="right"/>
              <w:ind w:right="41"/>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22"/>
                <w:szCs w:val="22"/>
                <w:color w:val="auto"/>
              </w:rPr>
            </w:pPr>
          </w:p>
        </w:tc>
        <w:tc>
          <w:tcPr>
            <w:tcW w:w="820" w:type="dxa"/>
            <w:vAlign w:val="bottom"/>
          </w:tcPr>
          <w:p>
            <w:pPr>
              <w:jc w:val="right"/>
              <w:ind w:right="100"/>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40" w:type="dxa"/>
            <w:vAlign w:val="bottom"/>
          </w:tcPr>
          <w:p>
            <w:pPr>
              <w:jc w:val="right"/>
              <w:ind w:right="140"/>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22"/>
                <w:szCs w:val="22"/>
                <w:color w:val="auto"/>
              </w:rPr>
            </w:pPr>
          </w:p>
        </w:tc>
        <w:tc>
          <w:tcPr>
            <w:tcW w:w="780" w:type="dxa"/>
            <w:vAlign w:val="bottom"/>
          </w:tcPr>
          <w:p>
            <w:pPr>
              <w:jc w:val="center"/>
              <w:ind w:right="12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right"/>
              <w:ind w:right="140"/>
              <w:spacing w:after="0"/>
              <w:rPr>
                <w:sz w:val="20"/>
                <w:szCs w:val="20"/>
                <w:color w:val="auto"/>
              </w:rPr>
            </w:pPr>
            <w:r>
              <w:rPr>
                <w:rFonts w:ascii="Arial" w:cs="Arial" w:eastAsia="Arial" w:hAnsi="Arial"/>
                <w:sz w:val="14"/>
                <w:szCs w:val="14"/>
                <w:color w:val="auto"/>
              </w:rPr>
              <w:t>After-Tax</w:t>
            </w:r>
          </w:p>
        </w:tc>
      </w:tr>
      <w:tr>
        <w:trPr>
          <w:trHeight w:val="216"/>
        </w:trPr>
        <w:tc>
          <w:tcPr>
            <w:tcW w:w="140" w:type="dxa"/>
            <w:vAlign w:val="bottom"/>
          </w:tcPr>
          <w:p>
            <w:pPr>
              <w:spacing w:after="0"/>
              <w:rPr>
                <w:sz w:val="18"/>
                <w:szCs w:val="18"/>
                <w:color w:val="auto"/>
              </w:rPr>
            </w:pP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640" w:type="dxa"/>
            <w:vAlign w:val="bottom"/>
          </w:tcPr>
          <w:p>
            <w:pPr>
              <w:jc w:val="right"/>
              <w:ind w:right="181"/>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8"/>
                <w:szCs w:val="18"/>
                <w:color w:val="auto"/>
              </w:rPr>
            </w:pPr>
          </w:p>
        </w:tc>
        <w:tc>
          <w:tcPr>
            <w:tcW w:w="780" w:type="dxa"/>
            <w:vAlign w:val="bottom"/>
          </w:tcPr>
          <w:p>
            <w:pPr>
              <w:jc w:val="center"/>
              <w:ind w:right="12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41910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4800" w:space="360"/>
            <w:col w:w="6260"/>
          </w:cols>
          <w:pgMar w:left="240" w:top="69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for the period, net</w:t>
      </w:r>
    </w:p>
    <w:p>
      <w:pPr>
        <w:spacing w:after="0" w:line="59" w:lineRule="exact"/>
        <w:rPr>
          <w:sz w:val="20"/>
          <w:szCs w:val="20"/>
          <w:color w:val="auto"/>
        </w:rPr>
      </w:pPr>
    </w:p>
    <w:p>
      <w:pPr>
        <w:ind w:left="340" w:right="34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loss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gains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and settlement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(1,629)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(1,629)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(17,387)</w:t>
            </w:r>
          </w:p>
        </w:tc>
      </w:tr>
      <w:tr>
        <w:trPr>
          <w:trHeight w:val="283"/>
        </w:trPr>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5,501</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64"/>
        </w:trPr>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(1,629)</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(1,629)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(11,886)</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(11,886)</w:t>
            </w:r>
          </w:p>
        </w:tc>
      </w:tr>
      <w:tr>
        <w:trPr>
          <w:trHeight w:val="521"/>
        </w:trPr>
        <w:tc>
          <w:tcPr>
            <w:tcW w:w="30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7,190</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(2,876)</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4,314</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(16,497)</w:t>
            </w:r>
          </w:p>
        </w:tc>
        <w:tc>
          <w:tcPr>
            <w:tcW w:w="32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6,599</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(9,898)</w:t>
            </w:r>
          </w:p>
        </w:tc>
      </w:tr>
      <w:tr>
        <w:trPr>
          <w:trHeight w:val="445"/>
        </w:trPr>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(6,256)</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2,502</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(3,754)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934</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560</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(16,497)</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6,599</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(9,898)</w:t>
            </w:r>
          </w:p>
        </w:tc>
      </w:tr>
      <w:tr>
        <w:trPr>
          <w:trHeight w:val="521"/>
        </w:trPr>
        <w:tc>
          <w:tcPr>
            <w:tcW w:w="30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314</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189</w:t>
            </w:r>
          </w:p>
        </w:tc>
        <w:tc>
          <w:tcPr>
            <w:tcW w:w="3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207</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70"/>
        </w:trPr>
        <w:tc>
          <w:tcPr>
            <w:tcW w:w="30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868</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30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521</w:t>
            </w:r>
          </w:p>
        </w:tc>
        <w:tc>
          <w:tcPr>
            <w:tcW w:w="3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(4,419)</w:t>
            </w:r>
          </w:p>
        </w:tc>
        <w:tc>
          <w:tcPr>
            <w:tcW w:w="32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1,768</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(2,651)</w:t>
            </w:r>
          </w:p>
        </w:tc>
      </w:tr>
      <w:tr>
        <w:trPr>
          <w:trHeight w:val="270"/>
        </w:trPr>
        <w:tc>
          <w:tcPr>
            <w:tcW w:w="30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3"/>
        </w:trPr>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1,403</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w:t>
            </w:r>
          </w:p>
        </w:tc>
      </w:tr>
      <w:tr>
        <w:trPr>
          <w:trHeight w:val="264"/>
        </w:trPr>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1,182</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710</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(2,758)</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r>
      <w:tr>
        <w:trPr>
          <w:trHeight w:val="534"/>
        </w:trPr>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(30,962)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7,632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00" w:space="360"/>
            <w:col w:w="6260"/>
          </w:cols>
          <w:pgMar w:left="240" w:top="697" w:right="2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697"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Unrealized Gain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on Pensions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Plans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(4,849)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58,500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261,029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314,680</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(1,629)</w:t>
            </w:r>
          </w:p>
        </w:tc>
        <w:tc>
          <w:tcPr>
            <w:tcW w:w="220" w:type="dxa"/>
            <w:vAlign w:val="bottom"/>
          </w:tcPr>
          <w:p>
            <w:pPr>
              <w:spacing w:after="0"/>
              <w:rPr>
                <w:sz w:val="18"/>
                <w:szCs w:val="18"/>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4,314</w:t>
            </w:r>
          </w:p>
        </w:tc>
        <w:tc>
          <w:tcPr>
            <w:tcW w:w="22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31</w:t>
            </w:r>
          </w:p>
        </w:tc>
        <w:tc>
          <w:tcPr>
            <w:tcW w:w="22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2,716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(3,754)</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710</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(3,046)</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(1,629)</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560</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710</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(6,478)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59,060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261,739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314,350</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7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September 30</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61"/>
        </w:trPr>
        <w:tc>
          <w:tcPr>
            <w:tcW w:w="4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2015</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2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6,026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5,501</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920" w:type="dxa"/>
            <w:vAlign w:val="bottom"/>
          </w:tcPr>
          <w:p>
            <w:pPr>
              <w:ind w:left="180"/>
              <w:spacing w:after="0"/>
              <w:rPr>
                <w:sz w:val="20"/>
                <w:szCs w:val="20"/>
                <w:color w:val="auto"/>
              </w:rPr>
            </w:pPr>
            <w:r>
              <w:rPr>
                <w:rFonts w:ascii="Arial" w:cs="Arial" w:eastAsia="Arial" w:hAnsi="Arial"/>
                <w:sz w:val="16"/>
                <w:szCs w:val="16"/>
                <w:color w:val="auto"/>
              </w:rPr>
              <w:t>Realized gain for the period</w:t>
            </w:r>
          </w:p>
        </w:tc>
        <w:tc>
          <w:tcPr>
            <w:tcW w:w="200" w:type="dxa"/>
            <w:vAlign w:val="bottom"/>
          </w:tcPr>
          <w:p>
            <w:pPr>
              <w:spacing w:after="0"/>
              <w:rPr>
                <w:sz w:val="24"/>
                <w:szCs w:val="24"/>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(6,256)</w:t>
            </w:r>
          </w:p>
        </w:tc>
        <w:tc>
          <w:tcPr>
            <w:tcW w:w="2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2,502</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(Benefit) for Income Taxes</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(3,754)</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00" w:type="dxa"/>
            <w:vAlign w:val="bottom"/>
          </w:tcPr>
          <w:p>
            <w:pPr>
              <w:spacing w:after="0"/>
              <w:rPr>
                <w:sz w:val="23"/>
                <w:szCs w:val="23"/>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105</w:t>
            </w:r>
          </w:p>
        </w:tc>
        <w:tc>
          <w:tcPr>
            <w:tcW w:w="300" w:type="dxa"/>
            <w:vAlign w:val="bottom"/>
          </w:tcPr>
          <w:p>
            <w:pPr>
              <w:spacing w:after="0"/>
              <w:rPr>
                <w:sz w:val="23"/>
                <w:szCs w:val="23"/>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23"/>
                <w:szCs w:val="23"/>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314</w:t>
            </w:r>
          </w:p>
        </w:tc>
        <w:tc>
          <w:tcPr>
            <w:tcW w:w="2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207</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actuarial loss (gain)</w:t>
            </w:r>
          </w:p>
        </w:tc>
        <w:tc>
          <w:tcPr>
            <w:tcW w:w="200" w:type="dxa"/>
            <w:vAlign w:val="bottom"/>
          </w:tcPr>
          <w:p>
            <w:pPr>
              <w:spacing w:after="0"/>
              <w:rPr>
                <w:sz w:val="23"/>
                <w:szCs w:val="23"/>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289</w:t>
            </w:r>
          </w:p>
        </w:tc>
        <w:tc>
          <w:tcPr>
            <w:tcW w:w="30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(5,676)</w:t>
            </w:r>
          </w:p>
        </w:tc>
        <w:tc>
          <w:tcPr>
            <w:tcW w:w="260" w:type="dxa"/>
            <w:vAlign w:val="bottom"/>
          </w:tcPr>
          <w:p>
            <w:pPr>
              <w:spacing w:after="0"/>
              <w:rPr>
                <w:sz w:val="23"/>
                <w:szCs w:val="23"/>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868</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(4,419)</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Curtailment gains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394</w:t>
            </w:r>
          </w:p>
        </w:tc>
        <w:tc>
          <w:tcPr>
            <w:tcW w:w="30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(5,557)</w:t>
            </w:r>
          </w:p>
        </w:tc>
        <w:tc>
          <w:tcPr>
            <w:tcW w:w="26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1,182</w:t>
            </w: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(4,161)</w:t>
            </w:r>
          </w:p>
        </w:tc>
        <w:tc>
          <w:tcPr>
            <w:tcW w:w="250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(157)</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2,223</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(472)</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1,665</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(Benefit) for Income Taxes</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237</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(3,334)</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710</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24"/>
                <w:szCs w:val="24"/>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25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(Benefit) for Income Taxes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3,084</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 xml:space="preserve">Certain Kaplan subsidiaries are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37"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 August 2011, the U.S. District Court for the Southern District of Florida issued a series of rulings in the Diaz case, which included three separate complaints: Diaz, Wilcox and Gillespie. The court dismissed the Wilcox complaint in</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19" w:right="239" w:bottom="1440" w:gutter="0" w:footer="0" w:header="0"/>
          <w:type w:val="continuous"/>
        </w:sectPr>
      </w:pPr>
    </w:p>
    <w:bookmarkStart w:id="21" w:name="page22"/>
    <w:bookmarkEnd w:id="21"/>
    <w:p>
      <w:pPr>
        <w:spacing w:after="0" w:line="222" w:lineRule="auto"/>
        <w:rPr>
          <w:sz w:val="20"/>
          <w:szCs w:val="20"/>
          <w:color w:val="auto"/>
        </w:rPr>
      </w:pPr>
      <w:r>
        <w:rPr>
          <w:rFonts w:ascii="Arial" w:cs="Arial" w:eastAsia="Arial" w:hAnsi="Arial"/>
          <w:sz w:val="18"/>
          <w:szCs w:val="18"/>
          <w:color w:val="auto"/>
        </w:rPr>
        <w:t>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In October 2012, the court entered summary judgment in favor of the Company as to the sole remaining employment claim in the Diaz complaint. In July 2013, the court likewise entered summary judgment in favor of the Company on all remaining claims in the Gillespie complaint. Diaz and Gillespie each appealed to the U.S. Court of Appeals for the Eleventh Judicial Court. Arguments on both appeals were heard in February 2015. In March 2015, the court issued a decision affirming the lower court's dismissal of all of Gillespie's claims and three of the four Diaz claims but reversing and remanding on one remaining claim alleging that incentive compensation for admissions representatives was improperly based on enrollment counts. Kaplan filed an answer to Diaz's amended complaint in September 2015 and a renewed motion to dismiss, and a hearing was held in December 2015. In March 2016, the Court denied the motion to dismiss and discovery is ongoing in the case. In February 2016, Gillespie filed a new motion with the District Court alleging that the Court improperly refused to consider a motion to vacate while the case was on appeal; Kaplan filed an opposition to this motion that was denied by the Court.</w:t>
      </w:r>
    </w:p>
    <w:p>
      <w:pPr>
        <w:spacing w:after="0" w:line="114"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ED has undertaken program reviews at various KHE locations. Currently, there are five open program reviews, four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 campuses that were formerly a part of the KHE Campuses business, including the ED’s final reports on the program reviews at KHE’s Broomall, PA, and Pittsburgh, PA, locations. Kaplan retains responsibility for any financial obligation resulting from the ED program reviews at the KHE Campuses business.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5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March and April 2015, the ED conducted a program review of the nationally accredited San Antonio (Ingram) and Hammond (Indiana) KHE campuses. These campuses were subsequently a part of the sale of the nationally accredited campuses to a vocational school company. Kaplan retains liability for any deficiency findings relating to pre-sale conduct. On July 20, 2016, the vocational school company received the Preliminary Program Review Report for the two reviews from the ED. The Report highlighted a number of required policy changes and requires the vocational school company to conduct a full review of student files over a two year period to help the Department determine if the school properly reported enrollment status for certain students to the National Student Loan Data System. Failure to properly report status could result in students receiving funds for which they were not entitled. Kaplan will work with the vocational school company on these reviews; however, until they are completed, Kaplan cannot predict the final outcome or potential liability associated with these reviews.</w:t>
      </w:r>
    </w:p>
    <w:p>
      <w:pPr>
        <w:spacing w:after="0" w:line="13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color w:val="auto"/>
        </w:rPr>
        <w:t xml:space="preserve">Accreditation Review. </w:t>
      </w:r>
      <w:r>
        <w:rPr>
          <w:rFonts w:ascii="Arial" w:cs="Arial" w:eastAsia="Arial" w:hAnsi="Arial"/>
          <w:sz w:val="18"/>
          <w:szCs w:val="18"/>
          <w:color w:val="auto"/>
        </w:rPr>
        <w:t>In the second quarter of 2016, the Higher Learning Commission (HLC), Kaplan University's accreditor, conducted an</w:t>
      </w:r>
      <w:r>
        <w:rPr>
          <w:rFonts w:ascii="Arial" w:cs="Arial" w:eastAsia="Arial" w:hAnsi="Arial"/>
          <w:sz w:val="18"/>
          <w:szCs w:val="18"/>
          <w:b w:val="1"/>
          <w:bCs w:val="1"/>
          <w:color w:val="auto"/>
        </w:rPr>
        <w:t xml:space="preserve"> </w:t>
      </w:r>
      <w:r>
        <w:rPr>
          <w:rFonts w:ascii="Arial" w:cs="Arial" w:eastAsia="Arial" w:hAnsi="Arial"/>
          <w:sz w:val="18"/>
          <w:szCs w:val="18"/>
          <w:color w:val="auto"/>
        </w:rPr>
        <w:t>on-site review as part of Kaplan University's regularly scheduled reaffirmation of accreditation. In August 2016, the HLC reaffirmed the Kaplan University accreditation for a ten-year term through the 2025-2026 academic year.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19"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BUSINESS SEGMENTS</w:t>
      </w:r>
    </w:p>
    <w:p>
      <w:pPr>
        <w:spacing w:after="0" w:line="166"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The Company has four reportable segments: Kaplan Higher Education, Kaplan Test Preparation, Kaplan International and television broadcasting.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386,936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481,746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1,207,225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1,505,973</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112,389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89,693</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300,927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264,010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122,313</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70,052</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344,298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199,823</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621,638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641,432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1,852,311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1,969,747</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16,333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(242,777)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63,713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(249,778)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59,159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40,526</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144,594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121,102</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(10,801)</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(3,059)</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(21,593)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(10,382)</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3,342</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(8,413)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7,331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(9,578)</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68,033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(213,723)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194,045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(148,636)</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12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(1,008)</w:t>
            </w:r>
          </w:p>
        </w:tc>
        <w:tc>
          <w:tcPr>
            <w:tcW w:w="3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(895)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(7,874)</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(7,349)</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(22,481)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(23,316)</w:t>
            </w:r>
          </w:p>
        </w:tc>
        <w:tc>
          <w:tcPr>
            <w:tcW w:w="0" w:type="dxa"/>
            <w:vAlign w:val="bottom"/>
          </w:tcPr>
          <w:p>
            <w:pPr>
              <w:spacing w:after="0"/>
              <w:rPr>
                <w:sz w:val="1"/>
                <w:szCs w:val="1"/>
                <w:color w:val="auto"/>
              </w:rPr>
            </w:pPr>
          </w:p>
        </w:tc>
      </w:tr>
      <w:tr>
        <w:trPr>
          <w:trHeight w:val="28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(18,225)</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(40,458)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15,871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(29,885)</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40,926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(261,435)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186,540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(202,499)</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9,977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10,637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31,322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51,145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2,540</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2,237</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7,367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3,289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1,335</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9,389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3,891</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251</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16,097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14,460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48,903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62,266</w:t>
            </w:r>
          </w:p>
        </w:tc>
        <w:tc>
          <w:tcPr>
            <w:tcW w:w="0" w:type="dxa"/>
            <w:vAlign w:val="bottom"/>
          </w:tcPr>
          <w:p>
            <w:pPr>
              <w:spacing w:after="0"/>
              <w:rPr>
                <w:sz w:val="1"/>
                <w:szCs w:val="1"/>
                <w:color w:val="auto"/>
              </w:rPr>
            </w:pPr>
          </w:p>
        </w:tc>
      </w:tr>
      <w:tr>
        <w:trPr>
          <w:trHeight w:val="18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00"/>
              <w:spacing w:after="0"/>
              <w:rPr>
                <w:sz w:val="20"/>
                <w:szCs w:val="20"/>
                <w:color w:val="auto"/>
              </w:rPr>
            </w:pPr>
            <w:r>
              <w:rPr>
                <w:rFonts w:ascii="Arial" w:cs="Arial" w:eastAsia="Arial" w:hAnsi="Arial"/>
                <w:sz w:val="16"/>
                <w:szCs w:val="16"/>
                <w:b w:val="1"/>
                <w:bCs w:val="1"/>
                <w:color w:val="auto"/>
              </w:rPr>
              <w:t>Long-lived Assets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1,773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249,930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5,158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259,780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63</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189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4,784</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3,110</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13,813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9,395</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6,620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253,103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19,160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269,364</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2,838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7,525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8,965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15,419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428</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1,285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279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839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(15,934)</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(24,533)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(47,803)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(58,410)</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(36,714)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2015</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1,383,555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1,454,520</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336,396</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312,243</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743,376</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712,161</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510,818</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484,139</w:t>
            </w: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2,974,145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2,963,063</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8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382,777</w:t>
            </w:r>
          </w:p>
        </w:tc>
        <w:tc>
          <w:tcPr>
            <w:tcW w:w="2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350,563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64,815</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59,229</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1,016,908</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979,970</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4,438,645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4,352,825</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97" w:right="239" w:bottom="0" w:gutter="0" w:footer="0" w:header="0"/>
        </w:sectPr>
      </w:pPr>
    </w:p>
    <w:bookmarkStart w:id="23" w:name="page24"/>
    <w:bookmarkEnd w:id="23"/>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019"/>
          </w:cols>
          <w:pgMar w:left="1440" w:top="557"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148,602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203,529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472,131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681,814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78,291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83,706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224,102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233,313</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160,456</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192,702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512,068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585,486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1,905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5,723</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(1,266)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386,936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481,746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1,207,225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1,505,973</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11,494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3,153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50,037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28,510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8,588</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13,620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13,314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16,365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1,561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8,295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22,937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33,585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(5,310)</w:t>
            </w:r>
          </w:p>
        </w:tc>
        <w:tc>
          <w:tcPr>
            <w:tcW w:w="3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(267,882)</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(22,526)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(328,333)</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16,333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(242,777)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63,713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(249,778)</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4,157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4,066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12,325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13,688</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1,441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2,052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4,837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7,205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4,360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4,277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13,739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14,004</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16,248</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9,977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10,637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31,322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51,145</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1,773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1,339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5,158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4,313</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248,591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255,467</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1,905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3,964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5,715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9,028</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768</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775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2,304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2,672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3,740</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2,838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8,965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15,419</w:t>
            </w: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third quarter of 2015, a favorable $3.0 million out of period revenue adjustment was included at the test preparation segment that related to prior periods from 2011 through the second quarter of 2015. With respect to this error, the Company has concluded that it was not material to the Company's financial position or results of operations for 2015 and prior years and the related interim periods, based on its consideration of quantitative and qualitative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2015</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227,203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447,282</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139,975</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134,535</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980,911</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826,475</w:t>
            </w:r>
          </w:p>
        </w:tc>
      </w:tr>
      <w:tr>
        <w:trPr>
          <w:trHeight w:val="283"/>
        </w:trPr>
        <w:tc>
          <w:tcPr>
            <w:tcW w:w="83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35,466</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46,228</w:t>
            </w: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1,383,555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1,454,520</w:t>
            </w: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73"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income from continuing operations attributable to common shares of $33.1 million ($5.87 per share) for the third quarter</w:t>
      </w:r>
    </w:p>
    <w:p>
      <w:pPr>
        <w:spacing w:after="0" w:line="219" w:lineRule="auto"/>
        <w:rPr>
          <w:sz w:val="20"/>
          <w:szCs w:val="20"/>
          <w:color w:val="auto"/>
        </w:rPr>
      </w:pPr>
      <w:r>
        <w:rPr>
          <w:rFonts w:ascii="Arial" w:cs="Arial" w:eastAsia="Arial" w:hAnsi="Arial"/>
          <w:sz w:val="18"/>
          <w:szCs w:val="18"/>
          <w:color w:val="auto"/>
        </w:rPr>
        <w:t>of 2016, compared to a loss of $231.2 million ($40.32 per share) for the third quarter of 2015. Net loss attributable to common shares was</w:t>
      </w:r>
    </w:p>
    <w:p>
      <w:pPr>
        <w:spacing w:after="0" w:line="219" w:lineRule="auto"/>
        <w:rPr>
          <w:sz w:val="20"/>
          <w:szCs w:val="20"/>
          <w:color w:val="auto"/>
        </w:rPr>
      </w:pPr>
      <w:r>
        <w:rPr>
          <w:rFonts w:ascii="Arial" w:cs="Arial" w:eastAsia="Arial" w:hAnsi="Arial"/>
          <w:sz w:val="18"/>
          <w:szCs w:val="18"/>
          <w:color w:val="auto"/>
        </w:rPr>
        <w:t>$230.8 million ($40.25 per share) for the third quarter of 2015, including $0.4 million ($0.07 per share) in income from discontinued operations.</w:t>
      </w:r>
    </w:p>
    <w:p>
      <w:pPr>
        <w:spacing w:after="0"/>
        <w:rPr>
          <w:sz w:val="20"/>
          <w:szCs w:val="20"/>
          <w:color w:val="auto"/>
        </w:rPr>
      </w:pPr>
      <w:r>
        <w:rPr>
          <w:rFonts w:ascii="Arial" w:cs="Arial" w:eastAsia="Arial" w:hAnsi="Arial"/>
          <w:sz w:val="18"/>
          <w:szCs w:val="18"/>
          <w:color w:val="auto"/>
        </w:rPr>
        <w:t>(Refer to “Discontinued Operations” discussion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2016:</w:t>
      </w:r>
    </w:p>
    <w:p>
      <w:pPr>
        <w:spacing w:after="0" w:line="14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$2.4 million, or $0.43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third quarter of 2015:</w:t>
      </w:r>
    </w:p>
    <w:p>
      <w:pPr>
        <w:spacing w:after="0" w:line="144" w:lineRule="exact"/>
        <w:rPr>
          <w:sz w:val="20"/>
          <w:szCs w:val="20"/>
          <w:color w:val="auto"/>
        </w:rPr>
      </w:pPr>
    </w:p>
    <w:p>
      <w:pPr>
        <w:ind w:left="180" w:right="46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$248.6 million goodwill impairment charge related to the Kaplan Higher Education (KHE) business (after-tax impact of $217.1 million, or $37.85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$9.5 million in restructuring charges at the education division (after-tax impact of $5.8 million, or $1.00 per share);</w:t>
      </w:r>
    </w:p>
    <w:p>
      <w:pPr>
        <w:spacing w:after="0" w:line="144" w:lineRule="exact"/>
        <w:rPr>
          <w:rFonts w:ascii="Arial" w:cs="Arial" w:eastAsia="Arial" w:hAnsi="Arial"/>
          <w:sz w:val="18"/>
          <w:szCs w:val="18"/>
          <w:color w:val="auto"/>
        </w:rPr>
      </w:pPr>
    </w:p>
    <w:p>
      <w:pPr>
        <w:ind w:left="180" w:right="160" w:hanging="172"/>
        <w:spacing w:after="0" w:line="23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$1.99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$26.3 million in net non-operating losses arising from the sales of two businesses (after tax impact of $24.3 million, or $4.16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$13.0 million in non-operating foreign currency losses (after-tax impact of $8.0 million, or $1.37 per share).</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Revenue for the third quarter of 2016 was $621.6 million, down 3% from $641.4 million in the third quarter of 2015. Revenues declined at the education division, offset by an increase at the television broadcasting division and in other businesses. The Company reported operating income of $68.0 million for the third quarter of 2016, compared to an operating loss of $213.7 million for the third quarter of 2015. Operating results improved at the education and television broadcasting divisions, offset by a decline in other businesses.</w:t>
      </w:r>
    </w:p>
    <w:p>
      <w:pPr>
        <w:spacing w:after="0" w:line="135" w:lineRule="exact"/>
        <w:rPr>
          <w:sz w:val="20"/>
          <w:szCs w:val="20"/>
          <w:color w:val="auto"/>
        </w:rPr>
      </w:pPr>
    </w:p>
    <w:p>
      <w:pPr>
        <w:jc w:val="both"/>
        <w:ind w:right="180"/>
        <w:spacing w:after="0" w:line="227" w:lineRule="auto"/>
        <w:rPr>
          <w:sz w:val="20"/>
          <w:szCs w:val="20"/>
          <w:color w:val="auto"/>
        </w:rPr>
      </w:pPr>
      <w:r>
        <w:rPr>
          <w:rFonts w:ascii="Arial" w:cs="Arial" w:eastAsia="Arial" w:hAnsi="Arial"/>
          <w:sz w:val="18"/>
          <w:szCs w:val="18"/>
          <w:color w:val="auto"/>
        </w:rPr>
        <w:t>For the first nine months of 2016, the Company reported income from continuing operations attributable to common shares of $131.7 million ($23.21 per share), compared to a loss of $194.6 million ($34.18 per share) for the first nine months of 2015. Net loss attributable to common shares was $152.5 million ($26.19 per share) for the first nine months of 2015, including income of $42.2 million ($7.99 per share) in income from discontinued operations. (Refer to “Discontinued Operations” discussion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2016:</w:t>
      </w:r>
    </w:p>
    <w:p>
      <w:pPr>
        <w:spacing w:after="0" w:line="144" w:lineRule="exact"/>
        <w:rPr>
          <w:sz w:val="20"/>
          <w:szCs w:val="20"/>
          <w:color w:val="auto"/>
        </w:rPr>
      </w:pPr>
    </w:p>
    <w:p>
      <w:pPr>
        <w:ind w:left="180" w:right="44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right="4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$33.3 million in non-operating foreign currency losses (after-tax impact of $21.3 million, or $3.76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144" w:lineRule="exact"/>
        <w:rPr>
          <w:rFonts w:ascii="Arial" w:cs="Arial" w:eastAsia="Arial" w:hAnsi="Arial"/>
          <w:sz w:val="18"/>
          <w:szCs w:val="18"/>
          <w:color w:val="auto"/>
        </w:rPr>
      </w:pPr>
    </w:p>
    <w:p>
      <w:pPr>
        <w:ind w:left="180" w:right="30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2015:</w:t>
      </w:r>
    </w:p>
    <w:p>
      <w:pPr>
        <w:spacing w:after="0" w:line="144" w:lineRule="exact"/>
        <w:rPr>
          <w:sz w:val="20"/>
          <w:szCs w:val="20"/>
          <w:color w:val="auto"/>
        </w:rPr>
      </w:pPr>
    </w:p>
    <w:p>
      <w:pPr>
        <w:ind w:left="180" w:right="30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$255.5 million goodwill and long-lived asset impairment charges related to the KHE business (after-tax impact of $221.5 million, or $38.57 per share);</w:t>
      </w:r>
    </w:p>
    <w:p>
      <w:pPr>
        <w:spacing w:after="0" w:line="134"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$36.8 million in restructuring charges and accelerated depreciation at the education division (after-tax impact of $23.3 million, or $4.01 per share);</w:t>
      </w:r>
    </w:p>
    <w:p>
      <w:pPr>
        <w:spacing w:after="0" w:line="134"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$2.00 per share);</w:t>
      </w:r>
    </w:p>
    <w:p>
      <w:pPr>
        <w:spacing w:after="0" w:line="134" w:lineRule="exact"/>
        <w:rPr>
          <w:rFonts w:ascii="Arial" w:cs="Arial" w:eastAsia="Arial" w:hAnsi="Arial"/>
          <w:sz w:val="18"/>
          <w:szCs w:val="18"/>
          <w:color w:val="auto"/>
        </w:rPr>
      </w:pPr>
    </w:p>
    <w:p>
      <w:pPr>
        <w:ind w:left="180" w:right="44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$12.5 million in non-operating losses arising from the sales of five businesses and an investment, and on the formation of a joint venture (after tax impact of $15.7 million, or $2.82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$16.2 million in non-operating foreign currency losses (after-tax impact of $10.1 million, or $1.73 per share).</w:t>
      </w:r>
    </w:p>
    <w:p>
      <w:pPr>
        <w:spacing w:after="0" w:line="14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Revenue for the first nine months of 2016 was $1,852.3 million, down 6% from $1,969.7 million in the first nine months of 2015. Revenues declined at the education division, offset by an increase at the television broadcasting division and in other businesses. The Company reported operating income of $194.0 million for the first nine months of 2016, compared to an operating loss of $148.6 million for the first nine months of 2015. Operating results improved at the education and television broadcasting divisions, offset by a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Education division revenue totaled $386.9 million for the third quarter of 2016, down 20% from revenue of $481.7 million for the same period of 2015. Kaplan reported operating income of $16.3 million for the third quarter of 2016, compared to an operating loss of $242.8 million for the third quarter of 2015. Operating results for the third quarter of 2015 included a $248.6 million goodwill impairment charge related to KHE. Operating results for the third quarter of 2015 also included restructuring costs of $9.5 million.</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 the first nine months of 2016, education division revenue totaled $1,207.2 million, down 20% from revenue of $1,506.0 million for the same period of 2015. Kaplan reported operating income of $63.7 million for the first nine months of 2016, compared to an operating loss of $249.8 million for the first nine months of 2015. Operating results for the first nine months of 2015 included $255.5 million in goodwill and other long-lived asset impairment charges related to KHE. Restructuring costs totaled $36.8 million for the first nine months of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first nine months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2015</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2015</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148,602</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203,529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472,131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681,814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78,291</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83,706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224,102</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233,313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160,456</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192,702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512,068</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585,486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47</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1,905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190</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5,723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(460)</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(1,266)</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386,936</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481,746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1,207,225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1,505,973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11,494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3,153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50,037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28,510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8,588</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13,620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13,314</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16,365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1,561</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8,295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22,937</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33,585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(3,537)</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(17,952)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(17,368)</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(68,553)</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(1,773)</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(5,158)</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(4,313)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8"/>
        </w:trPr>
        <w:tc>
          <w:tcPr>
            <w:tcW w:w="3260" w:type="dxa"/>
            <w:vAlign w:val="bottom"/>
          </w:tcPr>
          <w:p>
            <w:pPr>
              <w:ind w:left="280"/>
              <w:spacing w:after="0"/>
              <w:rPr>
                <w:sz w:val="20"/>
                <w:szCs w:val="20"/>
                <w:color w:val="auto"/>
              </w:rPr>
            </w:pPr>
            <w:r>
              <w:rPr>
                <w:rFonts w:ascii="Arial" w:cs="Arial" w:eastAsia="Arial" w:hAnsi="Arial"/>
                <w:sz w:val="16"/>
                <w:szCs w:val="16"/>
                <w:color w:val="auto"/>
              </w:rPr>
              <w:t>Impairment of goodwill and other long-</w:t>
            </w:r>
          </w:p>
        </w:tc>
        <w:tc>
          <w:tcPr>
            <w:tcW w:w="300" w:type="dxa"/>
            <w:vAlign w:val="bottom"/>
          </w:tcPr>
          <w:p>
            <w:pPr>
              <w:spacing w:after="0"/>
              <w:rPr>
                <w:sz w:val="20"/>
                <w:szCs w:val="20"/>
                <w:color w:val="auto"/>
              </w:rPr>
            </w:pPr>
          </w:p>
        </w:tc>
        <w:tc>
          <w:tcPr>
            <w:tcW w:w="106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440"/>
              <w:spacing w:after="0"/>
              <w:rPr>
                <w:sz w:val="20"/>
                <w:szCs w:val="20"/>
                <w:color w:val="auto"/>
              </w:rPr>
            </w:pPr>
            <w:r>
              <w:rPr>
                <w:rFonts w:ascii="Arial" w:cs="Arial" w:eastAsia="Arial" w:hAnsi="Arial"/>
                <w:sz w:val="16"/>
                <w:szCs w:val="16"/>
                <w:color w:val="auto"/>
              </w:rPr>
              <w:t>lived assets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(248,591)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(255,467)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16,333</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(242,777)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63,713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(249,778)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719" w:right="239" w:bottom="1440" w:gutter="0" w:footer="0" w:header="0"/>
          <w:type w:val="continuous"/>
        </w:sectPr>
      </w:pPr>
    </w:p>
    <w:bookmarkStart w:id="27" w:name="page28"/>
    <w:bookmarkEnd w:id="27"/>
    <w:p>
      <w:pPr>
        <w:spacing w:after="0" w:line="223" w:lineRule="auto"/>
        <w:rPr>
          <w:sz w:val="20"/>
          <w:szCs w:val="20"/>
          <w:color w:val="auto"/>
        </w:rPr>
      </w:pPr>
      <w:r>
        <w:rPr>
          <w:rFonts w:ascii="Arial" w:cs="Arial" w:eastAsia="Arial" w:hAnsi="Arial"/>
          <w:sz w:val="18"/>
          <w:szCs w:val="18"/>
          <w:color w:val="auto"/>
        </w:rPr>
        <w:t>Since 2012, KHE has closed campuses, consolidated facilities and reduced its workforce. On September 3, 2015, Kaplan completed the sale of substantially all of the remaining assets of its KHE Campuses business. In connection with these and other plans, KHE incurred $ 3.8 million and $9.2 million in restructuring costs in the third quarter and first nine months of 2015, respectively. For the third quarter of 2015, these costs included severance ($3.1 million, $1.7 million of which were funded from the assets of the Company’s pension plan), lease obligation losses ($0.5 million) and accelerated depreciation ($0.2 million). For the first nine months of 2015, these costs included severance ($5.3 million, $1.7 million of which were funded from the assets of the Company’s pension plan), lease obligation losses ($2.3 million), accelerated depreciation ($1.5 million) and other items ($0.1 million).</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a $6.9 million long-lived asset impairment charge that was recorded in the second quarter of 2015 in connection with the KHE Campuses business.</w:t>
      </w:r>
    </w:p>
    <w:p>
      <w:pPr>
        <w:spacing w:after="0" w:line="13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KHE results, excluding the impairment charge, include revenue and operating losses (including restructuring charges) related to all KHE Campuses, those sold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4"/>
              <w:spacing w:after="0"/>
              <w:rPr>
                <w:sz w:val="20"/>
                <w:szCs w:val="20"/>
                <w:color w:val="auto"/>
              </w:rPr>
            </w:pPr>
            <w:r>
              <w:rPr>
                <w:rFonts w:ascii="Arial" w:cs="Arial" w:eastAsia="Arial" w:hAnsi="Arial"/>
                <w:sz w:val="16"/>
                <w:szCs w:val="16"/>
                <w:b w:val="1"/>
                <w:bCs w:val="1"/>
                <w:color w:val="auto"/>
              </w:rPr>
              <w:t>195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45,341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1,259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176,800</w:t>
            </w:r>
          </w:p>
        </w:tc>
      </w:tr>
      <w:tr>
        <w:trPr>
          <w:trHeight w:val="270"/>
        </w:trPr>
        <w:tc>
          <w:tcPr>
            <w:tcW w:w="6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(301)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(14,745)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(2,400)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(33,808)</w:t>
            </w:r>
          </w:p>
        </w:tc>
      </w:tr>
    </w:tbl>
    <w:p>
      <w:pPr>
        <w:spacing w:after="0" w:line="16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third quarter and first nine months of 2016, KHE revenue declined 27% and 31%, respectively, due to campus sales and closings, and declines in average enrollments at Kaplan University, offset by increased revenues at the domestic professional and other continuing education businesses. KHE operating results improved in the third quarter and first nine months of 2016 due to reduced losses at the KHE Campuses business, lower marketing expenditures at Kaplan University and improved results at the domestic professional and other continuing education businesses, partially offset by lower enrollment at Kaplan University.</w:t>
      </w:r>
    </w:p>
    <w:p>
      <w:pPr>
        <w:spacing w:after="0" w:line="137"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New higher education student enrollments at Kaplan University declined 17% in the third quarter of 2016 and 25% for the first nine months of 2016 due to lower demand across Kaplan University programs. Total students at Kaplan University were 34,462 at September 30, 2016, down 20% from September 30,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September 30, 2016 and 2015,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5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89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7.7%</w:t>
            </w: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19.5%</w:t>
            </w:r>
          </w:p>
        </w:tc>
        <w:tc>
          <w:tcPr>
            <w:tcW w:w="106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51.0%</w:t>
            </w:r>
          </w:p>
        </w:tc>
        <w:tc>
          <w:tcPr>
            <w:tcW w:w="106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64"/>
        </w:trPr>
        <w:tc>
          <w:tcPr>
            <w:tcW w:w="8900" w:type="dxa"/>
            <w:vAlign w:val="bottom"/>
          </w:tcPr>
          <w:p>
            <w:pPr>
              <w:spacing w:after="0"/>
              <w:rPr>
                <w:sz w:val="22"/>
                <w:szCs w:val="22"/>
                <w:color w:val="auto"/>
              </w:rPr>
            </w:pP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6% and 4% for the third quarter and first nine months of 2016, respectively. Enrollments, excluding the new economy skills training offerings, were down 1% for the first nine months of 2016. In comparison to 2015, KTP operating results were down 37% and 19% in the third quarter and the first nine months of 2016, respectively, due to investment in new economy skills training programs and lower revenues from a change in the enrollment mix to lower priced programs. Operating losses for the new economy skills training programs were $9.8 million and $4.7 million for the first nine months of 2016 and 2015, respectively.</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International revenue declined 17% and 13% for the third quarter and first nine months of 2016, of which 5% was due to currency fluctuations. The remaining decrease is due to enrollment declines in English-language and Pathways programs. Revenue growth from the 2016 acquisitions was largely offset by revenue declines due to prior year dispositions. Operating income declined in the third quarter and first nine months of 2016, due largely to the reduced English-language and Pathways results, partially offset by operating income from newly acquired businesses.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8" w:name="page29"/>
    <w:bookmarkEnd w:id="28"/>
    <w:p>
      <w:pPr>
        <w:ind w:right="60"/>
        <w:spacing w:after="0" w:line="223"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third quarter of 2015, Kaplan corporate recorded $5.3 million in severance expense, $2.1 million of which was funded from the assets of the Company's pension plan. In the first nine months of 2015, Kaplan corporate recorded $26.5 million in restructuring charges, including accelerated depreciation ($16.2 million) and lease obligation losses ($4.9 million) related to office space managed by Kaplan corporate, and severance ($5.4 million, $ 2.1 million of which was funded from the assets of the Company's pension plan). In 2016, Kaplan corporate expenses also declined due to the benefits from restructuring activities and a reduction in incentive compensation expense. Also, 2015 spending for the replacement of its human resources system was not repeated in 2016.</w:t>
      </w:r>
    </w:p>
    <w:p>
      <w:pPr>
        <w:spacing w:after="0" w:line="13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 In the first nine months of 2015, Kaplan also sold four businesses, including the KHE Campuses business and a small business that was part of KHE, and two businesses that were part of Kaplan International. The net loss on the sale of these businesses totaled $26.3 million and $24.9 million in the third quarter and first nine months of 2015, respectively, that is also included in other non-operating expense for the relevant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25% to $112.4 million in the third quarter of 2016, from $89.7 million in the same period of 2015; operating income for the third quarter of 2016 increased 46% to $59.2 million, from $40.5 million in the same period of 2015. The revenue increase is due to $13.1 million in incremental summer Olympics-related advertising revenue at the Company's NBC affiliates, a $7.2 million increase in political advertising revenue and $4.4 million more in retransmission revenues. The increase in operating income is due to the revenue increase, offset by higher spending on digital initiatives and increased network fees.</w:t>
      </w:r>
    </w:p>
    <w:p>
      <w:pPr>
        <w:spacing w:after="0" w:line="137"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Revenue at the television broadcasting division increased 14% to $300.9 million in the first nine months of 2016, from $264.0 million in the same period of 2015; operating income for the first nine months of 2016 increased 19% to $144.6 million, from $121.1 million in the same period of 2015. The revenue increase is due to $13.1 million in incremental summer Olympics-related advertising revenue at the Company's NBC affiliates, $14.5 million more in retransmission revenues and a $9.9 million increase in political advertising revenue. The increase in operating income is due to the revenue increase, offset by higher spending on digital initiatives and increased network fees.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The acquisition is subject to approval by the FCC, other regulatory approvals, and the satisfaction of closing conditions.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19"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for the third quarter and first nine months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62,207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19,273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176,908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52,638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37,690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33,770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110,068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98,697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15,180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10,926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38,961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29,634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7,236</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18,361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18,854</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122,313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70,052</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344,298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58,430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17,594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169,145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48,997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36,383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31,797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107,288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94,077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26,017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12,939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54,223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32,206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68</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12,284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35,235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133,114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73,111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365,891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210,205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3,777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7,763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1,307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1,973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2,780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4,620</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(10,837)</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(15,262)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(5,048)</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(16,874)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(21,593)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1,809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5,588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686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2,090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2,099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241</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683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1,028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3,289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9,389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3,089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8,722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1,674</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1,695</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5,028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5,124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4,784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135</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406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839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bl>
    <w:p>
      <w:pPr>
        <w:spacing w:after="0" w:line="148"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acquired in November 2015; Joyce/Dayton Corp., a Dayton, OH, based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Manufacturing revenues and operating income increased in the first nine months of 2016 due primarily to the Dekko acquisition. In September 2016, Dekko acquired Electri-Cable Assemblies (ECA), a Shelton, CT based manufacturer of power, data and electrical solutions for the office furniture industry.</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six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The Company incurred approximately $2.0 million in expenses in conjunction with these transactions in the second quarter of 2016. Healthcare revenues increased 12% in the first nine months of 2016 due primarily to patient growth for both home health and hospice. Operating results were down for the first nine months of 2016, largely due to the expenses incurred related to the transactions in the second quarter of 2016 and an increase in information systems costs.</w:t>
      </w:r>
    </w:p>
    <w:p>
      <w:pPr>
        <w:spacing w:after="0" w:line="139" w:lineRule="exact"/>
        <w:rPr>
          <w:sz w:val="20"/>
          <w:szCs w:val="20"/>
          <w:color w:val="auto"/>
        </w:rPr>
      </w:pPr>
    </w:p>
    <w:p>
      <w:pPr>
        <w:ind w:right="900"/>
        <w:spacing w:after="0" w:line="235"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w:t>
      </w:r>
    </w:p>
    <w:p>
      <w:pPr>
        <w:sectPr>
          <w:pgSz w:w="11900" w:h="16838" w:orient="portrait"/>
          <w:cols w:equalWidth="0" w:num="1">
            <w:col w:w="11420"/>
          </w:cols>
          <w:pgMar w:left="240" w:top="697" w:right="239" w:bottom="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697" w:right="239" w:bottom="0" w:gutter="0" w:footer="0" w:header="0"/>
          <w:type w:val="continuous"/>
        </w:sectPr>
      </w:pPr>
    </w:p>
    <w:bookmarkStart w:id="30" w:name="page31"/>
    <w:bookmarkEnd w:id="30"/>
    <w:p>
      <w:pPr>
        <w:ind w:right="560"/>
        <w:spacing w:after="0" w:line="235" w:lineRule="auto"/>
        <w:rPr>
          <w:sz w:val="20"/>
          <w:szCs w:val="20"/>
          <w:color w:val="auto"/>
        </w:rPr>
      </w:pPr>
      <w:r>
        <w:rPr>
          <w:rFonts w:ascii="Arial" w:cs="Arial" w:eastAsia="Arial" w:hAnsi="Arial"/>
          <w:sz w:val="18"/>
          <w:szCs w:val="18"/>
          <w:color w:val="auto"/>
        </w:rPr>
        <w:t>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39% and 31% in the third quarter and first nine months of 2016, due to continued growth in digital advertising service revenues. SocialCode reported operating losses of $10.8 million and $15.3 million for the third quarter and first nine months of 2016, respectively; these results include incentive accruals of $11.3 million and $12.0 million related to phantom equity appreciation plans, for the relevant periods.The expense amounts related to these plans for the comparable periods of 2015 were insignificant. As of September 30, 2016, the accrual balance related to these plans is $21.2 million.</w:t>
      </w:r>
    </w:p>
    <w:p>
      <w:pPr>
        <w:spacing w:after="0" w:line="13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third quarter and first nine months of 2016 adversely affected operating results.</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income. In the fourth quarter of 2015, Trove, a digital innovation team, was largely integrated into SocialCode and Trove's offerings were discontinued.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third quarter of 2015, the Company recorded $18.8 million in incremental stock option expense, due to stock option modifications that resulted from the Cable ONE spin-off. The total pension credit for the Company’s traditional defined benefit plan was $48.1 million and $58.7 million in the first nine months of 2016 and 2015, respectively.</w:t>
      </w:r>
    </w:p>
    <w:p>
      <w:pPr>
        <w:spacing w:after="0" w:line="135" w:lineRule="exact"/>
        <w:rPr>
          <w:sz w:val="20"/>
          <w:szCs w:val="20"/>
          <w:color w:val="auto"/>
        </w:rPr>
      </w:pPr>
    </w:p>
    <w:p>
      <w:pPr>
        <w:ind w:right="480"/>
        <w:spacing w:after="0" w:line="407" w:lineRule="auto"/>
        <w:rPr>
          <w:sz w:val="20"/>
          <w:szCs w:val="20"/>
          <w:color w:val="auto"/>
        </w:rPr>
      </w:pPr>
      <w:r>
        <w:rPr>
          <w:rFonts w:ascii="Arial" w:cs="Arial" w:eastAsia="Arial" w:hAnsi="Arial"/>
          <w:sz w:val="18"/>
          <w:szCs w:val="18"/>
          <w:color w:val="auto"/>
        </w:rPr>
        <w:t xml:space="preserve">Without the pension credit, corporate office expenses declined in the first nine months of 2016 due primarily to lower compensation costs. </w:t>
      </w:r>
      <w:r>
        <w:rPr>
          <w:rFonts w:ascii="Arial" w:cs="Arial" w:eastAsia="Arial" w:hAnsi="Arial"/>
          <w:sz w:val="18"/>
          <w:szCs w:val="18"/>
          <w:b w:val="1"/>
          <w:bCs w:val="1"/>
          <w:u w:val="single" w:color="auto"/>
          <w:color w:val="auto"/>
        </w:rPr>
        <w:t>Equity in Earnings (Losses) of Affiliates</w:t>
      </w:r>
    </w:p>
    <w:p>
      <w:pPr>
        <w:ind w:right="180"/>
        <w:spacing w:after="0" w:line="227" w:lineRule="auto"/>
        <w:rPr>
          <w:sz w:val="20"/>
          <w:szCs w:val="20"/>
          <w:color w:val="auto"/>
        </w:rPr>
      </w:pPr>
      <w:r>
        <w:rPr>
          <w:rFonts w:ascii="Arial" w:cs="Arial" w:eastAsia="Arial" w:hAnsi="Arial"/>
          <w:sz w:val="18"/>
          <w:szCs w:val="18"/>
          <w:color w:val="auto"/>
        </w:rPr>
        <w:t>At September 30, 2016, the Company held interests in a number of home health and hospice joint ventures, and interests in several other affiliates. The Company recorded equity in losses of affiliates of $1.0 million for the third quarter of 2016, compared to earnings of $0.1 million for the third quarter of 2015. The Company recorded equity in losses of affiliates of $0.9 million for the first nine months of 2016, compared to $0.7 million for the first nine months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jc w:val="both"/>
        <w:ind w:right="160"/>
        <w:spacing w:after="0" w:line="227" w:lineRule="auto"/>
        <w:rPr>
          <w:sz w:val="20"/>
          <w:szCs w:val="20"/>
          <w:color w:val="auto"/>
        </w:rPr>
      </w:pPr>
      <w:r>
        <w:rPr>
          <w:rFonts w:ascii="Arial" w:cs="Arial" w:eastAsia="Arial" w:hAnsi="Arial"/>
          <w:sz w:val="18"/>
          <w:szCs w:val="18"/>
          <w:color w:val="auto"/>
        </w:rPr>
        <w:t>The Company recorded total other non-operating expense, net, of $18.2 million for the third quarter of 2016, compared to $40.5 million for the third quarter of 2015. The 2016 amounts included a $15.0 million write-down of a cost method investment and $3.8 million in foreign currency losses, partially offset by other items. The 2015 amounts included $26.3 million in losses from the sales of businesses, $13.0 million in foreign currency losses and other items.</w:t>
      </w:r>
    </w:p>
    <w:p>
      <w:pPr>
        <w:spacing w:after="0" w:line="13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recorded total other non-operating income, net, of $15.9 million for the first nine months of 2016, compared to $29.9 million in non-operating expense, net for the first nine months of 2015. The 2016 amounts included a $34.1 million gain on the sale of land; an $18.9 million gain on the sale of a business; a $6.3 million gain on the sale of marketable equity securities; a $3.2 million gain on the Residential joint venture transaction and other items, partially offset by $33.3 million in foreign currency losses and $15.2 million in cost method investment write-downs. The 2015 amounts included $ 23.3 million in losses from the sales of businesses, $16.2 million in foreign currency losses and other items, offset by a $6.0 million gain on the Celtic joint venture transaction and a $4.8 million increase to the Classified Ventures gain.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incurred net interest expense of $7.9 million and $22.5 million for the third quarter and first nine months of 2016, respectively, compared to $7.3 million and $23.3 million for the third quarter and first nine months of 2015. At September 30, 2016, the Company had $497.4 million in borrowings outstanding at an average interest rate of 6.2% and cash, marketable equity securities and other investments of $1,029.9 million.</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July 2016, a Kaplan UK company entered into a 4-year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Company's effective tax rate for the first nine months of 2016 was 28.9%. In the third quarter of 2016, $19.3 million of the valuation allowance recorded on Australian net deferred tax assets was released, as the Company determined that it was more likely than not that the benefit of the net deferred tax assets would be realized, based on improved operating results that have recently generated positive ordinary income. Also in the third quarter of 2016, $11.0 million in deferred tax assets were written off in connection with the Company’s designation of certain intercompany loans as long-term investments. In the second quarter of 2016, the Company benefited from a favorable $ 5.6 million out of period deferred tax adjustment related to the KHE goodwill impairment recorded in the third quarter of 2015. Excluding these adjustments, the Company's effective tax rate for the first nine months of 2016 was 36.4%.</w:t>
      </w:r>
    </w:p>
    <w:p>
      <w:pPr>
        <w:spacing w:after="0" w:line="13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Company's effective tax rate on the loss for continuing operations for the first nine months of 2015 was 4.9%, as a large portion of the goodwill impairment charge and the goodwill included in the loss on the KHE Campuses sale are permanent differences. Excluding the effect of these permanent differences, the effective tax rate for continuing operations for the first nine months of 2015 was 38.0%.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2015, the Company completed the spin-off of Cable ONE as an independent, publicly traded company and the sale of a school in China that was previously part of Kaplan International.</w:t>
      </w:r>
    </w:p>
    <w:p>
      <w:pPr>
        <w:spacing w:after="0" w:line="21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calculation of diluted earnings per share for the third quarter and first nine months of 2016 was based on 5,573,982 and 5,599,898 weighted average shares outstanding, respectively, compared to 5,837,107 and 5,810,672 for the third quarter and first nine months of 2015. At September 30, 2016, there were 5,617,576 shares outstanding. On May 14, 2015, the Board of Directors authorized the Company to acquire up to 500,000 shares of its Class B common stock; the Company has remaining authorization for 264,859 shares as of September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44"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b w:val="1"/>
          <w:bCs w:val="1"/>
          <w:i w:val="1"/>
          <w:iCs w:val="1"/>
          <w:color w:val="auto"/>
        </w:rPr>
        <w:t>Gainful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Higher Education Act, certain education programs are required to lead to gainful employment (GE)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occupation in order to be eligible to participate in the Title IV programs. The ED convened a negotiated rulemaking committee in September 2013 to develop new proposed GE regulations. The final regulations were released on October 31, 2014, and generally became effective July 1, 2015. Among other requirements, each program subject to the GE regulations must meet one of two debt-to-earnings rates, which compare Title IV-aided graduates’ payments on debt incurred to attend the program to their annual earnings and discretionary income as defined and calculated in the regulations. The ED will calculate the debt-to-earnings rates using income information obtained from the Social Security Administration, federal Title IV loan debt information gathered from its own records and private loan and institutional debt data provided by schools. If a program’s graduates’ median debt payments exceed 8% of the graduates’ mean and median annual earnings and 20% of the graduates’ mean and median discretionary income, the program will be placed on a warning status (referred to by the ED as “zone” status). If a program’s graduates’ median debt payments exceed 12% of the graduates’ mean and median annual earnings and 30% of the graduates’ mean and median discretionary income, the program will fail the debt-to-earnings rates metric. If a program fails the test two times within three years, it will become ineligible to participate in the Title IV programs for a period of three years. If a program fails the test or is in the zone for four consecutive years, it will become ineligible to participate in the Title IV programs for a period of three years. In addition, the regulation requires an institution to provide to current and prospective students prescribed warnings of the potential ineligibility of the program in any year for which the program could become ineligible based on a rate for the next year that is in the zone or failing.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7" w:right="239" w:bottom="1440" w:gutter="0" w:footer="0" w:header="0"/>
        </w:sectPr>
      </w:pPr>
    </w:p>
    <w:bookmarkStart w:id="32" w:name="page33"/>
    <w:bookmarkEnd w:id="32"/>
    <w:p>
      <w:pPr>
        <w:ind w:right="140"/>
        <w:spacing w:after="0" w:line="224" w:lineRule="auto"/>
        <w:rPr>
          <w:sz w:val="20"/>
          <w:szCs w:val="20"/>
          <w:color w:val="auto"/>
        </w:rPr>
      </w:pPr>
      <w:r>
        <w:rPr>
          <w:rFonts w:ascii="Arial" w:cs="Arial" w:eastAsia="Arial" w:hAnsi="Arial"/>
          <w:sz w:val="18"/>
          <w:szCs w:val="18"/>
          <w:color w:val="auto"/>
        </w:rPr>
        <w:t xml:space="preserve">In October 2016, the ED issued draft debt-to-earnings rates. Kaplan University (KU) has no programs that are currently accepting enrollments in which the draft rates failed the GE test. KU has four programs currently accepting enrollments for which the draft rates put them in zone status. These four programs </w:t>
      </w:r>
      <w:r>
        <w:rPr>
          <w:rFonts w:ascii="Arial" w:cs="Arial" w:eastAsia="Arial" w:hAnsi="Arial"/>
          <w:sz w:val="18"/>
          <w:szCs w:val="18"/>
          <w:color w:val="222222"/>
        </w:rPr>
        <w:t>accounted for $70.9 million and $41.5 million in revenue for 2015 and for the first nine months of 2016,</w:t>
      </w:r>
      <w:r>
        <w:rPr>
          <w:rFonts w:ascii="Arial" w:cs="Arial" w:eastAsia="Arial" w:hAnsi="Arial"/>
          <w:sz w:val="18"/>
          <w:szCs w:val="18"/>
          <w:color w:val="auto"/>
        </w:rPr>
        <w:t xml:space="preserve"> </w:t>
      </w:r>
      <w:r>
        <w:rPr>
          <w:rFonts w:ascii="Arial" w:cs="Arial" w:eastAsia="Arial" w:hAnsi="Arial"/>
          <w:sz w:val="18"/>
          <w:szCs w:val="18"/>
          <w:color w:val="222222"/>
        </w:rPr>
        <w:t>respectively. KU is evaluating these programs with plans to implement remediation changes to secure GE compliance</w:t>
      </w:r>
      <w:r>
        <w:rPr>
          <w:rFonts w:ascii="Arial" w:cs="Arial" w:eastAsia="Arial" w:hAnsi="Arial"/>
          <w:sz w:val="16"/>
          <w:szCs w:val="16"/>
          <w:color w:val="222222"/>
        </w:rPr>
        <w:t>.</w:t>
      </w:r>
      <w:r>
        <w:rPr>
          <w:rFonts w:ascii="Arial" w:cs="Arial" w:eastAsia="Arial" w:hAnsi="Arial"/>
          <w:sz w:val="18"/>
          <w:szCs w:val="18"/>
          <w:color w:val="222222"/>
        </w:rPr>
        <w:t xml:space="preserve"> </w:t>
      </w:r>
      <w:r>
        <w:rPr>
          <w:rFonts w:ascii="Arial" w:cs="Arial" w:eastAsia="Arial" w:hAnsi="Arial"/>
          <w:sz w:val="18"/>
          <w:szCs w:val="18"/>
          <w:color w:val="000000"/>
        </w:rPr>
        <w:t>KU is reviewing the</w:t>
      </w:r>
      <w:r>
        <w:rPr>
          <w:rFonts w:ascii="Arial" w:cs="Arial" w:eastAsia="Arial" w:hAnsi="Arial"/>
          <w:sz w:val="18"/>
          <w:szCs w:val="18"/>
          <w:color w:val="222222"/>
        </w:rPr>
        <w:t xml:space="preserve"> </w:t>
      </w:r>
      <w:r>
        <w:rPr>
          <w:rFonts w:ascii="Arial" w:cs="Arial" w:eastAsia="Arial" w:hAnsi="Arial"/>
          <w:sz w:val="18"/>
          <w:szCs w:val="18"/>
          <w:color w:val="000000"/>
        </w:rPr>
        <w:t>ratios provided, as well as the underlying supporting data to which KU has access; KU has 45 days to appeal the ratios. The ED expects to release final debt-to-earnings rates in early 2017.</w:t>
      </w:r>
    </w:p>
    <w:p>
      <w:pPr>
        <w:spacing w:after="0" w:line="129"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i w:val="1"/>
          <w:iCs w:val="1"/>
          <w:color w:val="auto"/>
        </w:rPr>
        <w:t xml:space="preserve">Borrower Repayment Defenses. </w:t>
      </w:r>
      <w:r>
        <w:rPr>
          <w:rFonts w:ascii="Arial" w:cs="Arial" w:eastAsia="Arial" w:hAnsi="Arial"/>
          <w:sz w:val="18"/>
          <w:szCs w:val="18"/>
          <w:color w:val="auto"/>
        </w:rPr>
        <w:t>On January 12, 2016, the ED commenced a negotiated rulemaking session to determine rules defining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 student may discharge certain federal financial aid debt based on improper actions by the student’s institution and when the ED may seek reimbursement from the institution for any discharged debt. On June 16, 2016, the ED issued proposed rules on borrower defenses to repayment and the ED’s comment deadline was August 1, 2016. The ED issued final rules on November 1, 2016 that will be effective on July 1, 2017. The rules add significant risk to institutional participation in Title IV programs by greatly expanding the potential for loan discharges and mandating reimbursement from the student’s institution. The rules for loan discharges include situations where mere allegations of misrepresentation by an institution may serve as the basis for discharge; in some cases, by classes of students as well as individual students. Under the rules, students can seek discharge of loans disbursed in the past under the prior standard, with application of the new process to those loans. For loans made on or after July 1, 2017, there is a six-year statute of limitation based on misrepresentation or breach of contract.</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addition, the rules impose new requirements related to the financial responsibility rules; Under the rules, schools will be deemed “not financially responsible” if certain events happen, such as initiation of a lawsuit by a governmental agency or significant defense to repayment claims by students. Such “triggering events” would, in certain cases, require schools to post a letter of credit equal to at least 10% of their total yearly Title IV draw; it is possible that Kaplan University could be subject to such letter of credit requirements in the future. The rules also require schools not meeting a loan “repayment rate” threshold calculation to disclose that in all marketing materials. Finally, the rules include prohibitions on class action waivers in enrollment contracts and pre-dispute arbitration provisions. Kaplan University currently uses both mandatory arbitration and class action waivers to limit exposure to class action cases, and to more quickly and efficiently resolve student complaints. The Company is in the process of assessing the impact of the final regulations, which may have a material adverse effect on KHE’s business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May 2016, Graham Media Group entered into an agreement to acquire two television stations for $60 million in cash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of certain pension obligations. The acquisition is subject to approval by the Federal Communications Commission, other regulatory approvals and the satisfaction of closing conditions.</w:t>
      </w:r>
    </w:p>
    <w:p>
      <w:pPr>
        <w:spacing w:after="0" w:line="136"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In the first nine months of 2016, the Company acquired three businesses included in its education division and one business in other businesses totaling $254.8 million. In September 2016, Dekko acquired a 100% interest in Electri-Cable Assemblies (ECA), a Shelton, CT based manufacturer of power, data and electrical solutions for the office furniture industry. This acquisition is included in other businesses. In January and February 2016, Kaplan acquired a 100% interest in Mander Portman Woodward, a leading provider of high-quality, bespoke education to UK and international students in London, Cambridge and Birmingham; and a 100% interest in Osborne Books, an educational publisher of learning resources for accounting qualifications in the UK. These acquisitions are included in Kaplan International.</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the first nine months of 2015, the Company did not make any acquisitions. 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a 100% interest in SmartPros, a provider of accredited professional education and training, primarily in accountancy, which is included in Higher Education.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19" w:right="259" w:bottom="1440" w:gutter="0" w:footer="0" w:header="0"/>
        </w:sectPr>
      </w:pPr>
    </w:p>
    <w:bookmarkStart w:id="33" w:name="page34"/>
    <w:bookmarkEnd w:id="33"/>
    <w:p>
      <w:pPr>
        <w:ind w:right="40"/>
        <w:spacing w:after="0" w:line="235" w:lineRule="auto"/>
        <w:rPr>
          <w:sz w:val="20"/>
          <w:szCs w:val="20"/>
          <w:color w:val="auto"/>
        </w:rPr>
      </w:pPr>
      <w:r>
        <w:rPr>
          <w:rFonts w:ascii="Arial" w:cs="Arial" w:eastAsia="Arial" w:hAnsi="Arial"/>
          <w:sz w:val="18"/>
          <w:szCs w:val="18"/>
          <w:color w:val="auto"/>
        </w:rPr>
        <w:t>equity interest in a vocational school company. KHE Campuses schools that were closed or were in the process of closing were not included in the sale transaction.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gains in other non-operating income.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$3.4 million, with a corresponding decrease to capital in excess of par value, to reflect the redemption value of the redeemable noncontrolling interest at $24.0 million. Following this transaction, Celtic and Residential combined their business operations to form Graham Healthcare Group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September 30, 2016.</w:t>
      </w:r>
    </w:p>
    <w:p>
      <w:pPr>
        <w:spacing w:after="0" w:line="13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January 2015, Celtic and AHN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During the first nine months of 2016, the Company’s capital expenditures totaled $43.4 million. This amount includes assets acquired during the year, whereas the amounts reflected in the Company's Condensed Statements of Cash Flows are based on cash payments made during the relevant periods. The Company estimates that its capital expenditures will be in the range of $65 million to $75 million in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$497.4 million and $399.8 million, at September 30, 2016 and December 31, 2015, respectively.</w:t>
      </w:r>
    </w:p>
    <w:p>
      <w:pPr>
        <w:spacing w:after="0" w:line="14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At September 30, 2016, the Company had cash and cash equivalents, restricted cash and investments in marketable securities and other investments totaling $1,029.9 million, compared with $ 1,154.4 million at December 31, 2015. The decrease is largely due to acquisitions and common share repurchases. The Company’s net cash provided by operating activities, as reported in the Company’s Condensed Consolidated Statements of Cash Flows, was $144.2 million for the first nine months of 2016, compared to $116.1 million for the first nine months of 2015. The increase is largely due to significant income tax payments made in the first quarter of 2015, offset by the absence of the cable division operating results for the six months of 2016.</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19" w:right="259" w:bottom="1440" w:gutter="0" w:footer="0" w:header="0"/>
        </w:sectPr>
      </w:pPr>
    </w:p>
    <w:bookmarkStart w:id="34" w:name="page35"/>
    <w:bookmarkEnd w:id="34"/>
    <w:p>
      <w:pPr>
        <w:ind w:right="20"/>
        <w:spacing w:after="0" w:line="224"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credit facility requires that 6.66% of the outstanding aggregate amount of the loan be repaid on the first three anniversaries of funding, with the remaining balance due on July 1, 2020.</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the first nine months of 2016, the Company acquired an additional 188,915 shares of its Class B common stock at a cost of approximately $90.3 million.</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June 24, 2015, due to the pending Cable spin-off, Moody’s downgraded the Company’s long-term credit ratings from “Baa3” to “Ba1” and the short-term rating from “Prime-3” to “NP”. On July 1, 2015, due to the Cable ONE spin-off, S&amp;P lowered its corporate credit rating from “BBB” to “BB+” and its short-term rating from “A-2” to “B”. In addition, S&amp;P removed the ratings from Credit Watch. In the third quarter of 2015, the Company decided to no longer have the rating agencies provide a short-term rating on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At September 30, 2016 and December 31, 2015, the Company had working capital of $961.5 million and $1,135.6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2016.</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the LLP approximately $35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In the third quarter of 2016, KIHL advanced approximately $7.7 million to York International College.</w:t>
      </w:r>
    </w:p>
    <w:p>
      <w:pPr>
        <w:spacing w:after="0" w:line="13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1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 is exposed to foreign exchange rate risk primarily at its Kaplan international operations, and the primary exposure relates to the exchange rate between the U.S. dollar and the British pound and the Australian dollar. This exposure includes British pound and Australian dollar denominated intercompany loans on U.S.-based Kaplan entities with a functional currency in U.S. dollars. In the first nine months of 2016, the Company reported foreign currency losses of $33.3 million, largely as a result of the decline in the British pound currency in the first nine months of 2016; this includes a realized $16.5 million loss related to a British pound intercompany advance made in the first quarter of 2016 related to Kaplan's UK acquisitions that has been repaid.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market risk disclosures set forth in its 2015 Annual Report filed on Form 10-K have not otherwise changed significantly.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30, 2016.</w:t>
      </w:r>
    </w:p>
    <w:p>
      <w:pPr>
        <w:spacing w:after="0" w:line="1"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September 30, 2016 that has materially affected, or is reasonably likely to materially affect, the Company’s internal control over financial reporting.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2015 Form 10-K and the Form 10-Q for the quarter ended June 30, 2016.</w:t>
      </w:r>
    </w:p>
    <w:p>
      <w:pPr>
        <w:spacing w:after="0" w:line="11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Borrower Defense to Repayment Could Have a Material Adverse Effect on Kaplan’s Business and Operations</w:t>
      </w:r>
    </w:p>
    <w:p>
      <w:pPr>
        <w:spacing w:after="0" w:line="9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November 1, 2016, the ED issued final rules effective July 1, 2017, that expand the bases on which students may discharge federal financial aid loans and mandate reimbursement from the student’s institution for any discharged debt. The rules permit loan discharges based on substantial misrepresentations, breaches of contract, or favorable judgments against the school; in some cases, by classes of students as well as individual students. In addition, the rules impose new triggers for determining whether a school will be deemed “not financially responsible” requiring schools to post a letter of credit equal to at least 10% of a school’s yearly Title IV funds. The triggers include lawsuits by government agencies or significant defense to repayment claims by students. The rules also require schools not meeting a loan “repayment rate” threshold calculation to disclose that in all marketing materials. The Company cannot predict how the ED will interpret and enforce the new borrower defense to repayment rules in the future; however, the new rules could have a material adverse effect on Kaplan’s business and results of operations.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7" w:right="2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September 30, 2016, the Company purchased shares of its Class B Common Stock as set forth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July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2,669</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474.11</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2,669</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264,859</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August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264,859</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September</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264,859</w:t>
            </w:r>
          </w:p>
        </w:tc>
      </w:tr>
      <w:tr>
        <w:trPr>
          <w:trHeight w:val="237"/>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2,669</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474.11</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2,669</w:t>
            </w:r>
          </w:p>
        </w:tc>
        <w:tc>
          <w:tcPr>
            <w:tcW w:w="2260" w:type="dxa"/>
            <w:vAlign w:val="bottom"/>
          </w:tcPr>
          <w:p>
            <w:pPr>
              <w:spacing w:after="0"/>
              <w:rPr>
                <w:sz w:val="20"/>
                <w:szCs w:val="20"/>
                <w:color w:val="auto"/>
              </w:rPr>
            </w:pPr>
          </w:p>
        </w:tc>
      </w:tr>
    </w:tbl>
    <w:p>
      <w:pPr>
        <w:spacing w:after="0" w:line="170" w:lineRule="exact"/>
        <w:rPr>
          <w:sz w:val="20"/>
          <w:szCs w:val="20"/>
          <w:color w:val="auto"/>
        </w:rPr>
      </w:pPr>
    </w:p>
    <w:p>
      <w:pPr>
        <w:ind w:firstLine="8"/>
        <w:spacing w:after="0" w:line="237" w:lineRule="auto"/>
        <w:tabs>
          <w:tab w:leader="none" w:pos="1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May 14, 2015 the Company’s Board of Directors authorized the Company to purchase, on the open market or otherwise, up to 500,000 shares of its Class B Common Stock. There is no expiration date for that authorization. All purchases made during the quarter ended September 30, 2016 were open market transactions.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02"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140" w:hanging="910"/>
        <w:spacing w:after="0" w:line="248"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September 30, 2016, formatted in Extensible Business Reporting Language (XBRL): (i) Condensed Consolidated Statements of Operations for the Three and Nine Months Ended September 30, 2016 and 2015, (ii) Condensed Consolidated Statements of Comprehensive Income for the Three and Nine Months Ended September 30, 2016 and 2015, (iii) Condensed Consolidated Balance Sheets as of September 30, 2016 and December 31, 2015, (iv) Condensed Consolidated Statements of Cash Flows for the Nine Months Ended June 30, 2016 and 2015,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760" w:type="dxa"/>
            <w:vAlign w:val="bottom"/>
          </w:tcPr>
          <w:p>
            <w:pPr>
              <w:spacing w:after="0"/>
              <w:rPr>
                <w:sz w:val="20"/>
                <w:szCs w:val="20"/>
                <w:color w:val="auto"/>
              </w:rPr>
            </w:pPr>
            <w:r>
              <w:rPr>
                <w:rFonts w:ascii="Arial" w:cs="Arial" w:eastAsia="Arial" w:hAnsi="Arial"/>
                <w:sz w:val="18"/>
                <w:szCs w:val="18"/>
                <w:color w:val="auto"/>
              </w:rPr>
              <w:t>Date: November 2, 2016</w:t>
            </w:r>
          </w:p>
        </w:tc>
        <w:tc>
          <w:tcPr>
            <w:tcW w:w="35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7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7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760" w:type="dxa"/>
            <w:vAlign w:val="bottom"/>
          </w:tcPr>
          <w:p>
            <w:pPr>
              <w:spacing w:after="0"/>
              <w:rPr>
                <w:sz w:val="20"/>
                <w:szCs w:val="20"/>
                <w:color w:val="auto"/>
              </w:rPr>
            </w:pPr>
            <w:r>
              <w:rPr>
                <w:rFonts w:ascii="Arial" w:cs="Arial" w:eastAsia="Arial" w:hAnsi="Arial"/>
                <w:sz w:val="18"/>
                <w:szCs w:val="18"/>
                <w:color w:val="auto"/>
              </w:rPr>
              <w:t>Date: November 2, 2016</w:t>
            </w:r>
          </w:p>
        </w:tc>
        <w:tc>
          <w:tcPr>
            <w:tcW w:w="35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Hal S. Jones</w:t>
            </w:r>
          </w:p>
        </w:tc>
      </w:tr>
      <w:tr>
        <w:trPr>
          <w:trHeight w:val="176"/>
        </w:trPr>
        <w:tc>
          <w:tcPr>
            <w:tcW w:w="37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Hal S. Jones,</w:t>
            </w:r>
          </w:p>
        </w:tc>
      </w:tr>
      <w:tr>
        <w:trPr>
          <w:trHeight w:val="162"/>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Senior Vice President-Finance</w:t>
            </w:r>
          </w:p>
        </w:tc>
      </w:tr>
      <w:tr>
        <w:trPr>
          <w:trHeight w:val="190"/>
        </w:trPr>
        <w:tc>
          <w:tcPr>
            <w:tcW w:w="37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760" w:type="dxa"/>
            <w:vAlign w:val="bottom"/>
          </w:tcPr>
          <w:p>
            <w:pPr>
              <w:spacing w:after="0"/>
              <w:rPr>
                <w:sz w:val="24"/>
                <w:szCs w:val="24"/>
                <w:color w:val="auto"/>
              </w:rPr>
            </w:pPr>
          </w:p>
        </w:tc>
        <w:tc>
          <w:tcPr>
            <w:tcW w:w="3520" w:type="dxa"/>
            <w:vAlign w:val="bottom"/>
          </w:tcPr>
          <w:p>
            <w:pPr>
              <w:jc w:val="right"/>
              <w:ind w:right="1410"/>
              <w:spacing w:after="0"/>
              <w:rPr>
                <w:sz w:val="20"/>
                <w:szCs w:val="20"/>
                <w:color w:val="auto"/>
              </w:rPr>
            </w:pPr>
            <w:r>
              <w:rPr>
                <w:rFonts w:ascii="Arial" w:cs="Arial" w:eastAsia="Arial" w:hAnsi="Arial"/>
                <w:sz w:val="18"/>
                <w:szCs w:val="18"/>
                <w:color w:val="auto"/>
              </w:rPr>
              <w:t>36</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ectPr>
          <w:pgSz w:w="11900" w:h="16838" w:orient="portrait"/>
          <w:cols w:equalWidth="0" w:num="1">
            <w:col w:w="11420"/>
          </w:cols>
          <w:pgMar w:left="240" w:top="38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ectPr>
          <w:pgSz w:w="11900" w:h="16838" w:orient="portrait"/>
          <w:cols w:equalWidth="0" w:num="1">
            <w:col w:w="11420"/>
          </w:cols>
          <w:pgMar w:left="240" w:top="3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2016 (the “Report”), Timothy J. O'Shaughnessy, Chief Executive Officer of the Company and Hal S. Jones,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2"/>
      <w:numFmt w:val="decimal"/>
      <w:start w:val="10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2019-12-29T09:31:27Z</dcterms:created>
  <dcterms:modified xsi:type="dcterms:W3CDTF">2019-12-29T09:31:27Z</dcterms:modified>
</cp:coreProperties>
</file>