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294005</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333375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May 4, 2012</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40" w:lineRule="exact"/>
        <w:rPr>
          <w:sz w:val="24"/>
          <w:szCs w:val="24"/>
          <w:color w:val="auto"/>
        </w:rPr>
      </w:pPr>
    </w:p>
    <w:p>
      <w:pPr>
        <w:ind w:left="5669" w:right="2560" w:hanging="5669"/>
        <w:spacing w:after="0" w:line="261" w:lineRule="auto"/>
        <w:tabs>
          <w:tab w:leader="none" w:pos="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177165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14" w:right="1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498475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May 4, 2012, The Washington Post Company issued a press release announcing the Company’s earnings for the first quarter ended March 31, 20 copy of this press release is furnished with this report as an exhibit to this Form 8-K.</w:t>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The Washington Post Company Earnings Release Dated May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75" w:right="13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498475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400" w:type="dxa"/>
            <w:vAlign w:val="bottom"/>
            <w:gridSpan w:val="3"/>
          </w:tcPr>
          <w:p>
            <w:pPr>
              <w:ind w:left="40"/>
              <w:spacing w:after="0"/>
              <w:rPr>
                <w:sz w:val="20"/>
                <w:szCs w:val="20"/>
                <w:color w:val="auto"/>
              </w:rPr>
            </w:pPr>
            <w:r>
              <w:rPr>
                <w:rFonts w:ascii="Arial" w:cs="Arial" w:eastAsia="Arial" w:hAnsi="Arial"/>
                <w:sz w:val="17"/>
                <w:szCs w:val="17"/>
                <w:color w:val="auto"/>
              </w:rPr>
              <w:t>The Washington Post Company</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0" w:type="dxa"/>
            <w:vAlign w:val="bottom"/>
            <w:gridSpan w:val="3"/>
          </w:tcPr>
          <w:p>
            <w:pPr>
              <w:ind w:left="86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7"/>
                <w:szCs w:val="17"/>
                <w:color w:val="auto"/>
              </w:rPr>
              <w:t>Date May 4, 2012</w:t>
            </w:r>
          </w:p>
        </w:tc>
        <w:tc>
          <w:tcPr>
            <w:tcW w:w="2020" w:type="dxa"/>
            <w:vAlign w:val="bottom"/>
          </w:tcPr>
          <w:p>
            <w:pPr>
              <w:spacing w:after="0"/>
              <w:rPr>
                <w:sz w:val="24"/>
                <w:szCs w:val="24"/>
                <w:color w:val="auto"/>
              </w:rPr>
            </w:pPr>
          </w:p>
        </w:tc>
        <w:tc>
          <w:tcPr>
            <w:tcW w:w="7400" w:type="dxa"/>
            <w:vAlign w:val="bottom"/>
            <w:gridSpan w:val="3"/>
          </w:tcPr>
          <w:p>
            <w:pPr>
              <w:ind w:left="320"/>
              <w:spacing w:after="0"/>
              <w:rPr>
                <w:sz w:val="20"/>
                <w:szCs w:val="20"/>
                <w:color w:val="auto"/>
              </w:rPr>
            </w:pPr>
            <w:r>
              <w:rPr>
                <w:rFonts w:ascii="Arial" w:cs="Arial" w:eastAsia="Arial" w:hAnsi="Arial"/>
                <w:sz w:val="17"/>
                <w:szCs w:val="17"/>
                <w:color w:val="auto"/>
              </w:rPr>
              <w:t>/s/   Hal S. Jones</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3320" w:type="dxa"/>
            <w:vAlign w:val="bottom"/>
            <w:tcBorders>
              <w:top w:val="single" w:sz="8" w:color="auto"/>
            </w:tcBorders>
          </w:tcPr>
          <w:p>
            <w:pPr>
              <w:jc w:val="right"/>
              <w:ind w:right="1537"/>
              <w:spacing w:after="0" w:line="190" w:lineRule="exact"/>
              <w:rPr>
                <w:sz w:val="20"/>
                <w:szCs w:val="20"/>
                <w:color w:val="auto"/>
              </w:rPr>
            </w:pPr>
            <w:r>
              <w:rPr>
                <w:rFonts w:ascii="Arial" w:cs="Arial" w:eastAsia="Arial" w:hAnsi="Arial"/>
                <w:sz w:val="17"/>
                <w:szCs w:val="17"/>
                <w:color w:val="auto"/>
              </w:rPr>
              <w:t>Hal S. Jones</w:t>
            </w:r>
          </w:p>
        </w:tc>
        <w:tc>
          <w:tcPr>
            <w:tcW w:w="4080" w:type="dxa"/>
            <w:vAlign w:val="bottom"/>
            <w:gridSpan w:val="2"/>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20" w:type="dxa"/>
            <w:vAlign w:val="bottom"/>
            <w:gridSpan w:val="4"/>
          </w:tcPr>
          <w:p>
            <w:pPr>
              <w:jc w:val="center"/>
              <w:ind w:right="3080"/>
              <w:spacing w:after="0" w:line="186" w:lineRule="exact"/>
              <w:rPr>
                <w:sz w:val="20"/>
                <w:szCs w:val="20"/>
                <w:color w:val="auto"/>
              </w:rPr>
            </w:pPr>
            <w:r>
              <w:rPr>
                <w:rFonts w:ascii="Arial" w:cs="Arial" w:eastAsia="Arial" w:hAnsi="Arial"/>
                <w:sz w:val="17"/>
                <w:szCs w:val="17"/>
                <w:color w:val="auto"/>
                <w:w w:val="97"/>
              </w:rPr>
              <w:t>Senior Vice President - Finance</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0" w:type="dxa"/>
            <w:vAlign w:val="bottom"/>
            <w:gridSpan w:val="3"/>
          </w:tcPr>
          <w:p>
            <w:pPr>
              <w:jc w:val="center"/>
              <w:ind w:right="5060"/>
              <w:spacing w:after="0"/>
              <w:rPr>
                <w:sz w:val="20"/>
                <w:szCs w:val="20"/>
                <w:color w:val="auto"/>
              </w:rPr>
            </w:pPr>
            <w:r>
              <w:rPr>
                <w:rFonts w:ascii="Arial" w:cs="Arial" w:eastAsia="Arial" w:hAnsi="Arial"/>
                <w:sz w:val="17"/>
                <w:szCs w:val="17"/>
                <w:color w:val="auto"/>
                <w:w w:val="97"/>
              </w:rPr>
              <w:t>(Principal Financial Officer)</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340" w:type="dxa"/>
            <w:vAlign w:val="bottom"/>
            <w:gridSpan w:val="2"/>
          </w:tcPr>
          <w:p>
            <w:pPr>
              <w:jc w:val="right"/>
              <w:ind w:right="1017"/>
              <w:spacing w:after="0"/>
              <w:rPr>
                <w:sz w:val="20"/>
                <w:szCs w:val="20"/>
                <w:color w:val="auto"/>
              </w:rPr>
            </w:pPr>
            <w:r>
              <w:rPr>
                <w:rFonts w:ascii="Arial" w:cs="Arial" w:eastAsia="Arial" w:hAnsi="Arial"/>
                <w:sz w:val="17"/>
                <w:szCs w:val="17"/>
                <w:color w:val="auto"/>
              </w:rPr>
              <w:t>3</w:t>
            </w:r>
          </w:p>
        </w:tc>
        <w:tc>
          <w:tcPr>
            <w:tcW w:w="4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75"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498475</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The Washington Post Company Earnings Release dated May 4, 2012.</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975"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Contact:</w:t>
            </w:r>
          </w:p>
        </w:tc>
        <w:tc>
          <w:tcPr>
            <w:tcW w:w="3380" w:type="dxa"/>
            <w:vAlign w:val="bottom"/>
          </w:tcPr>
          <w:p>
            <w:pPr>
              <w:ind w:left="280"/>
              <w:spacing w:after="0"/>
              <w:rPr>
                <w:sz w:val="20"/>
                <w:szCs w:val="20"/>
                <w:color w:val="auto"/>
              </w:rPr>
            </w:pPr>
            <w:r>
              <w:rPr>
                <w:rFonts w:ascii="Arial" w:cs="Arial" w:eastAsia="Arial" w:hAnsi="Arial"/>
                <w:sz w:val="17"/>
                <w:szCs w:val="17"/>
                <w:color w:val="auto"/>
              </w:rPr>
              <w:t>Hal S. Jones</w:t>
            </w:r>
          </w:p>
        </w:tc>
        <w:tc>
          <w:tcPr>
            <w:tcW w:w="3700" w:type="dxa"/>
            <w:vAlign w:val="bottom"/>
            <w:gridSpan w:val="2"/>
          </w:tcPr>
          <w:p>
            <w:pPr>
              <w:ind w:left="1980"/>
              <w:spacing w:after="0"/>
              <w:rPr>
                <w:sz w:val="20"/>
                <w:szCs w:val="20"/>
                <w:color w:val="auto"/>
              </w:rPr>
            </w:pPr>
            <w:r>
              <w:rPr>
                <w:rFonts w:ascii="Arial" w:cs="Arial" w:eastAsia="Arial" w:hAnsi="Arial"/>
                <w:sz w:val="17"/>
                <w:szCs w:val="17"/>
                <w:color w:val="auto"/>
                <w:w w:val="96"/>
              </w:rPr>
              <w:t>For Immediate Release</w:t>
            </w:r>
          </w:p>
        </w:tc>
      </w:tr>
      <w:tr>
        <w:trPr>
          <w:trHeight w:val="202"/>
        </w:trPr>
        <w:tc>
          <w:tcPr>
            <w:tcW w:w="880" w:type="dxa"/>
            <w:vAlign w:val="bottom"/>
          </w:tcPr>
          <w:p>
            <w:pPr>
              <w:spacing w:after="0"/>
              <w:rPr>
                <w:sz w:val="17"/>
                <w:szCs w:val="17"/>
                <w:color w:val="auto"/>
              </w:rPr>
            </w:pPr>
          </w:p>
        </w:tc>
        <w:tc>
          <w:tcPr>
            <w:tcW w:w="3380" w:type="dxa"/>
            <w:vAlign w:val="bottom"/>
          </w:tcPr>
          <w:p>
            <w:pPr>
              <w:ind w:left="260"/>
              <w:spacing w:after="0"/>
              <w:rPr>
                <w:sz w:val="20"/>
                <w:szCs w:val="20"/>
                <w:color w:val="auto"/>
              </w:rPr>
            </w:pPr>
            <w:r>
              <w:rPr>
                <w:rFonts w:ascii="Arial" w:cs="Arial" w:eastAsia="Arial" w:hAnsi="Arial"/>
                <w:sz w:val="17"/>
                <w:szCs w:val="17"/>
                <w:color w:val="auto"/>
              </w:rPr>
              <w:t>(202) 334-6645</w:t>
            </w:r>
          </w:p>
        </w:tc>
        <w:tc>
          <w:tcPr>
            <w:tcW w:w="1980" w:type="dxa"/>
            <w:vAlign w:val="bottom"/>
          </w:tcPr>
          <w:p>
            <w:pPr>
              <w:spacing w:after="0"/>
              <w:rPr>
                <w:sz w:val="17"/>
                <w:szCs w:val="17"/>
                <w:color w:val="auto"/>
              </w:rPr>
            </w:pPr>
          </w:p>
        </w:tc>
        <w:tc>
          <w:tcPr>
            <w:tcW w:w="1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May 4, 2012</w:t>
            </w:r>
          </w:p>
        </w:tc>
      </w:tr>
    </w:tbl>
    <w:p>
      <w:pPr>
        <w:spacing w:after="0" w:line="3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THE WASHINGTON POST COMPANY REPORTS</w:t>
      </w:r>
    </w:p>
    <w:p>
      <w:pPr>
        <w:jc w:val="center"/>
        <w:ind w:left="1160"/>
        <w:spacing w:after="0"/>
        <w:rPr>
          <w:sz w:val="20"/>
          <w:szCs w:val="20"/>
          <w:color w:val="auto"/>
        </w:rPr>
      </w:pPr>
      <w:r>
        <w:rPr>
          <w:rFonts w:ascii="Arial" w:cs="Arial" w:eastAsia="Arial" w:hAnsi="Arial"/>
          <w:sz w:val="17"/>
          <w:szCs w:val="17"/>
          <w:color w:val="auto"/>
        </w:rPr>
        <w:t>FIRST QUARTER EARNINGS</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WASHINGTON – The Washington Post Company (NYSE: WPO) today reported net income attributable to common shares of $31.0 million ($4.07 per share) for the first quarter ended March 31, 2012, compared to $ 15.2 million ($1.87 per share) for the first quarter of last year. Net income includes $2 million ($2.70 per share) in income from discontinued operations and $2.8 million ($0.34 per share) in losses from discontinued operations for the first quarter of 2012 and 2011, respectively. Income from continuing operations attributable to common shares was $10.8 million ($1.37 per share) for the f quarter of 2012, compared to $17.9 million ($2.21 per share) for the first quarter of 2011. As a result of the Company’s share repurchases, there were fewer diluted average shares outstanding in the first quarter of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quarter of 2012:</w:t>
      </w:r>
    </w:p>
    <w:p>
      <w:pPr>
        <w:spacing w:after="0" w:line="127" w:lineRule="exact"/>
        <w:rPr>
          <w:sz w:val="20"/>
          <w:szCs w:val="20"/>
          <w:color w:val="auto"/>
        </w:rPr>
      </w:pPr>
    </w:p>
    <w:p>
      <w:pPr>
        <w:ind w:left="260" w:hanging="115"/>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$1.9 million in severance and early retirement charges at the newspaper publishing division (after-tax impact of $1.2 million, or $0.16 per share);</w:t>
      </w:r>
    </w:p>
    <w:p>
      <w:pPr>
        <w:spacing w:after="0" w:line="151" w:lineRule="exact"/>
        <w:rPr>
          <w:rFonts w:ascii="Arial" w:cs="Arial" w:eastAsia="Arial" w:hAnsi="Arial"/>
          <w:sz w:val="16"/>
          <w:szCs w:val="16"/>
          <w:color w:val="auto"/>
        </w:rPr>
      </w:pPr>
    </w:p>
    <w:p>
      <w:pPr>
        <w:ind w:left="260" w:hanging="11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$5.8 million gain on sales of cost method investments (after-tax impact of $3.7 million, or $0.48 per share); and</w:t>
      </w:r>
    </w:p>
    <w:p>
      <w:pPr>
        <w:spacing w:after="0" w:line="127" w:lineRule="exact"/>
        <w:rPr>
          <w:rFonts w:ascii="Arial" w:cs="Arial" w:eastAsia="Arial" w:hAnsi="Arial"/>
          <w:sz w:val="17"/>
          <w:szCs w:val="17"/>
          <w:color w:val="auto"/>
        </w:rPr>
      </w:pPr>
    </w:p>
    <w:p>
      <w:pPr>
        <w:ind w:left="260" w:hanging="120"/>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$2.7 million in non-operating unrealized foreign currency gains (after-tax impact of $1.7 million, or $0.22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quarter of 2011:</w:t>
      </w:r>
    </w:p>
    <w:p>
      <w:pPr>
        <w:spacing w:after="0" w:line="127" w:lineRule="exact"/>
        <w:rPr>
          <w:sz w:val="20"/>
          <w:szCs w:val="20"/>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$2.3 million in severance and restructuring charges at Kaplan (after-tax impact of $1.4 million, or $0.18 per share);</w:t>
      </w:r>
    </w:p>
    <w:p>
      <w:pPr>
        <w:spacing w:after="0" w:line="139" w:lineRule="exact"/>
        <w:rPr>
          <w:rFonts w:ascii="Arial" w:cs="Arial" w:eastAsia="Arial" w:hAnsi="Arial"/>
          <w:sz w:val="17"/>
          <w:szCs w:val="17"/>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$3.8 million gain on the sale of a cost method investment (after-tax impact of $2.4 million, or $0.29 per share);</w:t>
      </w:r>
    </w:p>
    <w:p>
      <w:pPr>
        <w:spacing w:after="0" w:line="127" w:lineRule="exact"/>
        <w:rPr>
          <w:rFonts w:ascii="Arial" w:cs="Arial" w:eastAsia="Arial" w:hAnsi="Arial"/>
          <w:sz w:val="17"/>
          <w:szCs w:val="17"/>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$30.7 million write-down of a marketable equity security (after-tax impact of $19.8 million, or $2.44 per share); and</w:t>
      </w:r>
    </w:p>
    <w:p>
      <w:pPr>
        <w:spacing w:after="0" w:line="139" w:lineRule="exact"/>
        <w:rPr>
          <w:rFonts w:ascii="Arial" w:cs="Arial" w:eastAsia="Arial" w:hAnsi="Arial"/>
          <w:sz w:val="17"/>
          <w:szCs w:val="17"/>
          <w:color w:val="auto"/>
        </w:rPr>
      </w:pPr>
    </w:p>
    <w:p>
      <w:pPr>
        <w:ind w:left="260" w:hanging="120"/>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$2.7 million in non-operating unrealized foreign currency gains (after-tax impact of $1.7 million, or $0.21 per share).</w:t>
      </w:r>
    </w:p>
    <w:p>
      <w:pPr>
        <w:spacing w:after="0" w:line="15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Excluding these items, the Company’s net income attributable to common shares was $26.9 million ($3.53 per share) for the first quarter ended March 2012, compared to net income attributable to common shares of $ 32.3 million ($3.99 per share) for the first quarter of last year. Excluding these items, income from continuing operations attributable to common shares was $6.7 million ($0.83 per share) for the first quarter of 2012, compared to income $35.0 million ($4.33 per share) for the first quarter of 2011. (Non-GAAP measures are discussed below).</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Revenue for the first quarter of 2012 was $972.5 million, down 7% from $1,041.9 million in the first quarter of 2011. The Company reported operating income of $17.5 million in the first quarter of 2012, compared to operating income of $ 56.6 million in the first quarter of 2011. Revenues were down at education and newspaper publishing divisions and flat at the cable television division, offset by an increase at the television broadcasting division. Ope results were down at all of the Company’s divisions, except for the television broadcasting division.</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Education division revenue totaled $553.4 million for the first quarter of 2012, an 11% decline from revenue of $618.9 million for the first quarter of 201 Excluding revenue from acquired businesses, education division revenue declined 13% in the first quarter of 2012. Kaplan reported a first quarter 201 operating loss of $13.2 million, compared to operating income of $20.0 million in the first quarter of 2011.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first quarter 2012 operating results compared to 2011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2"/>
                <w:szCs w:val="12"/>
                <w:b w:val="1"/>
                <w:bCs w:val="1"/>
                <w:color w:val="auto"/>
              </w:rPr>
              <w:t>First Quarter</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44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 C</w:t>
            </w:r>
          </w:p>
        </w:tc>
        <w:tc>
          <w:tcPr>
            <w:tcW w:w="0" w:type="dxa"/>
            <w:vAlign w:val="bottom"/>
          </w:tcPr>
          <w:p>
            <w:pPr>
              <w:spacing w:after="0"/>
              <w:rPr>
                <w:sz w:val="1"/>
                <w:szCs w:val="1"/>
                <w:color w:val="auto"/>
              </w:rPr>
            </w:pPr>
          </w:p>
        </w:tc>
      </w:tr>
      <w:tr>
        <w:trPr>
          <w:trHeight w:val="154"/>
        </w:trPr>
        <w:tc>
          <w:tcPr>
            <w:tcW w:w="660" w:type="dxa"/>
            <w:vAlign w:val="bottom"/>
            <w:tcBorders>
              <w:bottom w:val="single" w:sz="8" w:color="auto"/>
            </w:tcBorders>
          </w:tcPr>
          <w:p>
            <w:pPr>
              <w:spacing w:after="0" w:line="154" w:lineRule="exact"/>
              <w:rPr>
                <w:sz w:val="20"/>
                <w:szCs w:val="20"/>
                <w:color w:val="auto"/>
              </w:rPr>
            </w:pPr>
            <w:r>
              <w:rPr>
                <w:rFonts w:ascii="Arial" w:cs="Arial" w:eastAsia="Arial" w:hAnsi="Arial"/>
                <w:sz w:val="17"/>
                <w:szCs w:val="17"/>
                <w:color w:val="auto"/>
                <w:w w:val="93"/>
              </w:rPr>
              <w:t>Revenue</w:t>
            </w:r>
          </w:p>
        </w:tc>
        <w:tc>
          <w:tcPr>
            <w:tcW w:w="6780" w:type="dxa"/>
            <w:vAlign w:val="bottom"/>
            <w:gridSpan w:val="2"/>
          </w:tcPr>
          <w:p>
            <w:pPr>
              <w:spacing w:after="0"/>
              <w:rPr>
                <w:sz w:val="13"/>
                <w:szCs w:val="13"/>
                <w:color w:val="auto"/>
              </w:rPr>
            </w:pPr>
          </w:p>
        </w:tc>
        <w:tc>
          <w:tcPr>
            <w:tcW w:w="380" w:type="dxa"/>
            <w:vAlign w:val="bottom"/>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308,384</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440" w:type="dxa"/>
            <w:vAlign w:val="bottom"/>
            <w:gridSpan w:val="3"/>
          </w:tcPr>
          <w:p>
            <w:pPr>
              <w:ind w:left="220"/>
              <w:spacing w:after="0" w:line="170" w:lineRule="exact"/>
              <w:rPr>
                <w:sz w:val="20"/>
                <w:szCs w:val="20"/>
                <w:color w:val="auto"/>
              </w:rPr>
            </w:pPr>
            <w:r>
              <w:rPr>
                <w:rFonts w:ascii="Arial" w:cs="Arial" w:eastAsia="Arial" w:hAnsi="Arial"/>
                <w:sz w:val="17"/>
                <w:szCs w:val="17"/>
                <w:color w:val="auto"/>
              </w:rPr>
              <w:t>Higher education</w:t>
            </w:r>
          </w:p>
        </w:tc>
        <w:tc>
          <w:tcPr>
            <w:tcW w:w="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jc w:val="right"/>
              <w:ind w:right="81"/>
              <w:spacing w:after="0" w:line="170"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70" w:lineRule="exact"/>
              <w:rPr>
                <w:sz w:val="20"/>
                <w:szCs w:val="20"/>
                <w:color w:val="auto"/>
              </w:rPr>
            </w:pPr>
            <w:r>
              <w:rPr>
                <w:rFonts w:ascii="Arial" w:cs="Arial" w:eastAsia="Arial" w:hAnsi="Arial"/>
                <w:sz w:val="17"/>
                <w:szCs w:val="17"/>
                <w:color w:val="auto"/>
              </w:rPr>
              <w:t>386,883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Test preparation</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62,829</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73,365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Kaplan international</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176,385</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152,135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Kaplan ventures</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6,121</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7,215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Kaplan corporate</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1,157</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1,117</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440" w:type="dxa"/>
            <w:vAlign w:val="bottom"/>
            <w:gridSpan w:val="3"/>
          </w:tcPr>
          <w:p>
            <w:pPr>
              <w:ind w:left="220"/>
              <w:spacing w:after="0"/>
              <w:rPr>
                <w:sz w:val="20"/>
                <w:szCs w:val="20"/>
                <w:color w:val="auto"/>
              </w:rPr>
            </w:pPr>
            <w:r>
              <w:rPr>
                <w:rFonts w:ascii="Arial" w:cs="Arial" w:eastAsia="Arial" w:hAnsi="Arial"/>
                <w:sz w:val="17"/>
                <w:szCs w:val="17"/>
                <w:color w:val="auto"/>
              </w:rPr>
              <w:t>Intersegment elimination</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(1,475)</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(1,786)</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553,401</w:t>
            </w:r>
          </w:p>
        </w:tc>
        <w:tc>
          <w:tcPr>
            <w:tcW w:w="500" w:type="dxa"/>
            <w:vAlign w:val="bottom"/>
            <w:tcBorders>
              <w:bottom w:val="single" w:sz="8" w:color="auto"/>
            </w:tcBorders>
          </w:tcPr>
          <w:p>
            <w:pPr>
              <w:jc w:val="right"/>
              <w:ind w:right="81"/>
              <w:spacing w:after="0" w:line="17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618,929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line="179" w:lineRule="exact"/>
              <w:rPr>
                <w:sz w:val="20"/>
                <w:szCs w:val="20"/>
                <w:color w:val="auto"/>
              </w:rPr>
            </w:pPr>
            <w:r>
              <w:rPr>
                <w:rFonts w:ascii="Arial" w:cs="Arial" w:eastAsia="Arial" w:hAnsi="Arial"/>
                <w:sz w:val="17"/>
                <w:szCs w:val="17"/>
                <w:color w:val="auto"/>
                <w:w w:val="95"/>
              </w:rPr>
              <w:t>Operating Income (loss)</w:t>
            </w:r>
          </w:p>
        </w:tc>
        <w:tc>
          <w:tcPr>
            <w:tcW w:w="56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60" w:type="dxa"/>
            <w:vAlign w:val="bottom"/>
            <w:tcBorders>
              <w:bottom w:val="single" w:sz="8" w:color="auto"/>
            </w:tcBorders>
            <w:gridSpan w:val="2"/>
            <w:vMerge w:val="continue"/>
          </w:tcPr>
          <w:p>
            <w:pPr>
              <w:spacing w:after="0"/>
              <w:rPr>
                <w:sz w:val="12"/>
                <w:szCs w:val="12"/>
                <w:color w:val="auto"/>
              </w:rPr>
            </w:pPr>
          </w:p>
        </w:tc>
        <w:tc>
          <w:tcPr>
            <w:tcW w:w="5680" w:type="dxa"/>
            <w:vAlign w:val="bottom"/>
            <w:vMerge w:val="continue"/>
          </w:tcPr>
          <w:p>
            <w:pPr>
              <w:spacing w:after="0"/>
              <w:rPr>
                <w:sz w:val="12"/>
                <w:szCs w:val="12"/>
                <w:color w:val="auto"/>
              </w:rPr>
            </w:pPr>
          </w:p>
        </w:tc>
        <w:tc>
          <w:tcPr>
            <w:tcW w:w="380" w:type="dxa"/>
            <w:vAlign w:val="bottom"/>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8,954</w:t>
            </w: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440" w:type="dxa"/>
            <w:vAlign w:val="bottom"/>
            <w:gridSpan w:val="3"/>
          </w:tcPr>
          <w:p>
            <w:pPr>
              <w:ind w:left="220"/>
              <w:spacing w:after="0" w:line="170" w:lineRule="exact"/>
              <w:rPr>
                <w:sz w:val="20"/>
                <w:szCs w:val="20"/>
                <w:color w:val="auto"/>
              </w:rPr>
            </w:pPr>
            <w:r>
              <w:rPr>
                <w:rFonts w:ascii="Arial" w:cs="Arial" w:eastAsia="Arial" w:hAnsi="Arial"/>
                <w:sz w:val="17"/>
                <w:szCs w:val="17"/>
                <w:color w:val="auto"/>
              </w:rPr>
              <w:t>Higher education</w:t>
            </w:r>
          </w:p>
        </w:tc>
        <w:tc>
          <w:tcPr>
            <w:tcW w:w="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jc w:val="right"/>
              <w:ind w:right="81"/>
              <w:spacing w:after="0" w:line="170"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70" w:lineRule="exact"/>
              <w:rPr>
                <w:sz w:val="20"/>
                <w:szCs w:val="20"/>
                <w:color w:val="auto"/>
              </w:rPr>
            </w:pPr>
            <w:r>
              <w:rPr>
                <w:rFonts w:ascii="Arial" w:cs="Arial" w:eastAsia="Arial" w:hAnsi="Arial"/>
                <w:sz w:val="17"/>
                <w:szCs w:val="17"/>
                <w:color w:val="auto"/>
              </w:rPr>
              <w:t>50,650</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Test preparation</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(10,219)</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(12,676)</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Kaplan international</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3,423</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(682)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Kaplan ventures</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(1,261)</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(974)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Kaplan corporate</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(11,036)</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(11,618)</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40" w:type="dxa"/>
            <w:vAlign w:val="bottom"/>
            <w:gridSpan w:val="3"/>
          </w:tcPr>
          <w:p>
            <w:pPr>
              <w:ind w:left="220"/>
              <w:spacing w:after="0" w:line="186" w:lineRule="exact"/>
              <w:rPr>
                <w:sz w:val="20"/>
                <w:szCs w:val="20"/>
                <w:color w:val="auto"/>
              </w:rPr>
            </w:pPr>
            <w:r>
              <w:rPr>
                <w:rFonts w:ascii="Arial" w:cs="Arial" w:eastAsia="Arial" w:hAnsi="Arial"/>
                <w:sz w:val="17"/>
                <w:szCs w:val="17"/>
                <w:color w:val="auto"/>
              </w:rPr>
              <w:t>Amortization of intangible assets</w:t>
            </w:r>
          </w:p>
        </w:tc>
        <w:tc>
          <w:tcPr>
            <w:tcW w:w="380" w:type="dxa"/>
            <w:vAlign w:val="bottom"/>
          </w:tcPr>
          <w:p>
            <w:pPr>
              <w:spacing w:after="0"/>
              <w:rPr>
                <w:sz w:val="16"/>
                <w:szCs w:val="16"/>
                <w:color w:val="auto"/>
              </w:rPr>
            </w:pPr>
          </w:p>
        </w:tc>
        <w:tc>
          <w:tcPr>
            <w:tcW w:w="110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(3,243)</w:t>
            </w:r>
          </w:p>
        </w:tc>
        <w:tc>
          <w:tcPr>
            <w:tcW w:w="5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7"/>
                <w:szCs w:val="17"/>
                <w:color w:val="auto"/>
              </w:rPr>
              <w:t>(4,420)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440" w:type="dxa"/>
            <w:vAlign w:val="bottom"/>
            <w:gridSpan w:val="3"/>
          </w:tcPr>
          <w:p>
            <w:pPr>
              <w:ind w:left="220"/>
              <w:spacing w:after="0"/>
              <w:rPr>
                <w:sz w:val="20"/>
                <w:szCs w:val="20"/>
                <w:color w:val="auto"/>
              </w:rPr>
            </w:pPr>
            <w:r>
              <w:rPr>
                <w:rFonts w:ascii="Arial" w:cs="Arial" w:eastAsia="Arial" w:hAnsi="Arial"/>
                <w:sz w:val="17"/>
                <w:szCs w:val="17"/>
                <w:color w:val="auto"/>
              </w:rPr>
              <w:t>Intersegment elimination</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194</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(13,188)</w:t>
            </w:r>
          </w:p>
        </w:tc>
        <w:tc>
          <w:tcPr>
            <w:tcW w:w="500" w:type="dxa"/>
            <w:vAlign w:val="bottom"/>
            <w:tcBorders>
              <w:bottom w:val="single" w:sz="8" w:color="auto"/>
            </w:tcBorders>
          </w:tcPr>
          <w:p>
            <w:pPr>
              <w:jc w:val="right"/>
              <w:ind w:right="81"/>
              <w:spacing w:after="0" w:line="17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20,049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Kaplan sold Kaplan Learning Technologies in February 2012 and EduNeering in April 2012. Consequently, the education division’s operating results exclude these businesses. Also, Kaplan’s Colloquy and U.S. Pathways business moved from Kaplan Ventures to Kaplan International. The comparativ division results presented above reflect this change.</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 In the first qua 2012, KHE revenue declined 20% due to a decline in average enrollments, reflecting weaker market demand over the past year. Operating income decreased 82% due primarily to lower revenue, offset by expense reductions associated with lower enrollments and recent restructuring efforts.</w:t>
      </w:r>
    </w:p>
    <w:p>
      <w:pPr>
        <w:spacing w:after="0" w:line="17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Although revenues were down substantially compared to the first quarter of 2011, new student enrollments at Kaplan University and Kaplan Higher Education Campuses increased 5% in the first quarter of 2012. Student enrollments at March 31, 2012 were down 18% compared to March 31, 2011, increased 2% compared to December 31, 2011,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color w:val="auto"/>
              </w:rPr>
              <w:t>Student Enrollments As of</w:t>
            </w:r>
          </w:p>
        </w:tc>
        <w:tc>
          <w:tcPr>
            <w:tcW w:w="640" w:type="dxa"/>
            <w:vAlign w:val="bottom"/>
            <w:tcBorders>
              <w:bottom w:val="single" w:sz="8" w:color="auto"/>
            </w:tcBorders>
          </w:tcPr>
          <w:p>
            <w:pPr>
              <w:spacing w:after="0"/>
              <w:rPr>
                <w:sz w:val="13"/>
                <w:szCs w:val="13"/>
                <w:color w:val="auto"/>
              </w:rPr>
            </w:pPr>
          </w:p>
        </w:tc>
      </w:tr>
      <w:tr>
        <w:trPr>
          <w:trHeight w:val="177"/>
        </w:trPr>
        <w:tc>
          <w:tcPr>
            <w:tcW w:w="7200" w:type="dxa"/>
            <w:vAlign w:val="bottom"/>
          </w:tcPr>
          <w:p>
            <w:pPr>
              <w:spacing w:after="0"/>
              <w:rPr>
                <w:sz w:val="15"/>
                <w:szCs w:val="15"/>
                <w:color w:val="auto"/>
              </w:rPr>
            </w:pPr>
          </w:p>
        </w:tc>
        <w:tc>
          <w:tcPr>
            <w:tcW w:w="1280" w:type="dxa"/>
            <w:vAlign w:val="bottom"/>
          </w:tcPr>
          <w:p>
            <w:pPr>
              <w:jc w:val="right"/>
              <w:ind w:right="286"/>
              <w:spacing w:after="0"/>
              <w:rPr>
                <w:sz w:val="20"/>
                <w:szCs w:val="20"/>
                <w:color w:val="auto"/>
              </w:rPr>
            </w:pPr>
            <w:r>
              <w:rPr>
                <w:rFonts w:ascii="Arial" w:cs="Arial" w:eastAsia="Arial" w:hAnsi="Arial"/>
                <w:sz w:val="12"/>
                <w:szCs w:val="12"/>
                <w:b w:val="1"/>
                <w:bCs w:val="1"/>
                <w:color w:val="auto"/>
              </w:rPr>
              <w:t>March 31,</w:t>
            </w:r>
          </w:p>
        </w:tc>
        <w:tc>
          <w:tcPr>
            <w:tcW w:w="1820" w:type="dxa"/>
            <w:vAlign w:val="bottom"/>
          </w:tcPr>
          <w:p>
            <w:pPr>
              <w:jc w:val="center"/>
              <w:ind w:right="88"/>
              <w:spacing w:after="0"/>
              <w:rPr>
                <w:sz w:val="20"/>
                <w:szCs w:val="20"/>
                <w:color w:val="auto"/>
              </w:rPr>
            </w:pPr>
            <w:r>
              <w:rPr>
                <w:rFonts w:ascii="Arial" w:cs="Arial" w:eastAsia="Arial" w:hAnsi="Arial"/>
                <w:sz w:val="12"/>
                <w:szCs w:val="12"/>
                <w:color w:val="auto"/>
              </w:rPr>
              <w:t>December 31,</w:t>
            </w:r>
          </w:p>
        </w:tc>
        <w:tc>
          <w:tcPr>
            <w:tcW w:w="640" w:type="dxa"/>
            <w:vAlign w:val="bottom"/>
          </w:tcPr>
          <w:p>
            <w:pPr>
              <w:jc w:val="right"/>
              <w:spacing w:after="0"/>
              <w:rPr>
                <w:sz w:val="20"/>
                <w:szCs w:val="20"/>
                <w:color w:val="auto"/>
              </w:rPr>
            </w:pPr>
            <w:r>
              <w:rPr>
                <w:rFonts w:ascii="Arial" w:cs="Arial" w:eastAsia="Arial" w:hAnsi="Arial"/>
                <w:sz w:val="12"/>
                <w:szCs w:val="12"/>
                <w:color w:val="auto"/>
              </w:rPr>
              <w:t>March 3</w:t>
            </w:r>
          </w:p>
        </w:tc>
      </w:tr>
      <w:tr>
        <w:trPr>
          <w:trHeight w:val="175"/>
        </w:trPr>
        <w:tc>
          <w:tcPr>
            <w:tcW w:w="7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2012</w:t>
            </w:r>
          </w:p>
        </w:tc>
        <w:tc>
          <w:tcPr>
            <w:tcW w:w="182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8"/>
        </w:trPr>
        <w:tc>
          <w:tcPr>
            <w:tcW w:w="7200" w:type="dxa"/>
            <w:vAlign w:val="bottom"/>
          </w:tcPr>
          <w:p>
            <w:pPr>
              <w:spacing w:after="0" w:line="158" w:lineRule="exact"/>
              <w:rPr>
                <w:sz w:val="20"/>
                <w:szCs w:val="20"/>
                <w:color w:val="auto"/>
              </w:rPr>
            </w:pPr>
            <w:r>
              <w:rPr>
                <w:rFonts w:ascii="Arial" w:cs="Arial" w:eastAsia="Arial" w:hAnsi="Arial"/>
                <w:sz w:val="17"/>
                <w:szCs w:val="17"/>
                <w:color w:val="auto"/>
              </w:rPr>
              <w:t>Kaplan University</w:t>
            </w:r>
          </w:p>
        </w:tc>
        <w:tc>
          <w:tcPr>
            <w:tcW w:w="1280" w:type="dxa"/>
            <w:vAlign w:val="bottom"/>
          </w:tcPr>
          <w:p>
            <w:pPr>
              <w:jc w:val="right"/>
              <w:spacing w:after="0" w:line="158" w:lineRule="exact"/>
              <w:rPr>
                <w:sz w:val="20"/>
                <w:szCs w:val="20"/>
                <w:color w:val="auto"/>
              </w:rPr>
            </w:pPr>
            <w:r>
              <w:rPr>
                <w:rFonts w:ascii="Arial" w:cs="Arial" w:eastAsia="Arial" w:hAnsi="Arial"/>
                <w:sz w:val="17"/>
                <w:szCs w:val="17"/>
                <w:b w:val="1"/>
                <w:bCs w:val="1"/>
                <w:color w:val="auto"/>
              </w:rPr>
              <w:t>49,481</w:t>
            </w:r>
          </w:p>
        </w:tc>
        <w:tc>
          <w:tcPr>
            <w:tcW w:w="1820" w:type="dxa"/>
            <w:vAlign w:val="bottom"/>
          </w:tcPr>
          <w:p>
            <w:pPr>
              <w:jc w:val="right"/>
              <w:ind w:right="328"/>
              <w:spacing w:after="0" w:line="158" w:lineRule="exact"/>
              <w:rPr>
                <w:sz w:val="20"/>
                <w:szCs w:val="20"/>
                <w:color w:val="auto"/>
              </w:rPr>
            </w:pPr>
            <w:r>
              <w:rPr>
                <w:rFonts w:ascii="Arial" w:cs="Arial" w:eastAsia="Arial" w:hAnsi="Arial"/>
                <w:sz w:val="17"/>
                <w:szCs w:val="17"/>
                <w:color w:val="auto"/>
              </w:rPr>
              <w:t>50,190</w:t>
            </w:r>
          </w:p>
        </w:tc>
        <w:tc>
          <w:tcPr>
            <w:tcW w:w="640" w:type="dxa"/>
            <w:vAlign w:val="bottom"/>
          </w:tcPr>
          <w:p>
            <w:pPr>
              <w:jc w:val="right"/>
              <w:spacing w:after="0" w:line="158" w:lineRule="exact"/>
              <w:rPr>
                <w:sz w:val="20"/>
                <w:szCs w:val="20"/>
                <w:color w:val="auto"/>
              </w:rPr>
            </w:pPr>
            <w:r>
              <w:rPr>
                <w:rFonts w:ascii="Arial" w:cs="Arial" w:eastAsia="Arial" w:hAnsi="Arial"/>
                <w:sz w:val="17"/>
                <w:szCs w:val="17"/>
                <w:color w:val="auto"/>
              </w:rPr>
              <w:t>6</w:t>
            </w:r>
          </w:p>
        </w:tc>
      </w:tr>
      <w:tr>
        <w:trPr>
          <w:trHeight w:val="207"/>
        </w:trPr>
        <w:tc>
          <w:tcPr>
            <w:tcW w:w="7200" w:type="dxa"/>
            <w:vAlign w:val="bottom"/>
          </w:tcPr>
          <w:p>
            <w:pPr>
              <w:spacing w:after="0"/>
              <w:rPr>
                <w:sz w:val="20"/>
                <w:szCs w:val="20"/>
                <w:color w:val="auto"/>
              </w:rPr>
            </w:pPr>
            <w:r>
              <w:rPr>
                <w:rFonts w:ascii="Arial" w:cs="Arial" w:eastAsia="Arial" w:hAnsi="Arial"/>
                <w:sz w:val="17"/>
                <w:szCs w:val="17"/>
                <w:color w:val="auto"/>
              </w:rPr>
              <w:t>Kaplan Higher Education Campuses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26,503</w:t>
            </w:r>
          </w:p>
        </w:tc>
        <w:tc>
          <w:tcPr>
            <w:tcW w:w="1820" w:type="dxa"/>
            <w:vAlign w:val="bottom"/>
            <w:tcBorders>
              <w:bottom w:val="single" w:sz="8" w:color="auto"/>
            </w:tcBorders>
          </w:tcPr>
          <w:p>
            <w:pPr>
              <w:jc w:val="right"/>
              <w:ind w:right="328"/>
              <w:spacing w:after="0"/>
              <w:rPr>
                <w:sz w:val="20"/>
                <w:szCs w:val="20"/>
                <w:color w:val="auto"/>
              </w:rPr>
            </w:pPr>
            <w:r>
              <w:rPr>
                <w:rFonts w:ascii="Arial" w:cs="Arial" w:eastAsia="Arial" w:hAnsi="Arial"/>
                <w:sz w:val="17"/>
                <w:szCs w:val="17"/>
                <w:color w:val="auto"/>
              </w:rPr>
              <w:t>24,360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179"/>
        </w:trPr>
        <w:tc>
          <w:tcPr>
            <w:tcW w:w="7200" w:type="dxa"/>
            <w:vAlign w:val="bottom"/>
          </w:tcPr>
          <w:p>
            <w:pPr>
              <w:spacing w:after="0"/>
              <w:rPr>
                <w:sz w:val="15"/>
                <w:szCs w:val="15"/>
                <w:color w:val="auto"/>
              </w:rPr>
            </w:pPr>
          </w:p>
        </w:tc>
        <w:tc>
          <w:tcPr>
            <w:tcW w:w="12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75,984</w:t>
            </w:r>
          </w:p>
        </w:tc>
        <w:tc>
          <w:tcPr>
            <w:tcW w:w="1820" w:type="dxa"/>
            <w:vAlign w:val="bottom"/>
            <w:tcBorders>
              <w:bottom w:val="single" w:sz="8" w:color="auto"/>
            </w:tcBorders>
          </w:tcPr>
          <w:p>
            <w:pPr>
              <w:jc w:val="right"/>
              <w:ind w:right="328"/>
              <w:spacing w:after="0" w:line="179" w:lineRule="exact"/>
              <w:rPr>
                <w:sz w:val="20"/>
                <w:szCs w:val="20"/>
                <w:color w:val="auto"/>
              </w:rPr>
            </w:pPr>
            <w:r>
              <w:rPr>
                <w:rFonts w:ascii="Arial" w:cs="Arial" w:eastAsia="Arial" w:hAnsi="Arial"/>
                <w:sz w:val="17"/>
                <w:szCs w:val="17"/>
                <w:color w:val="auto"/>
              </w:rPr>
              <w:t>74,550</w:t>
            </w:r>
          </w:p>
        </w:tc>
        <w:tc>
          <w:tcPr>
            <w:tcW w:w="6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28" w:lineRule="auto"/>
        <w:rPr>
          <w:sz w:val="20"/>
          <w:szCs w:val="20"/>
          <w:color w:val="auto"/>
        </w:rPr>
      </w:pPr>
      <w:r>
        <w:rPr>
          <w:rFonts w:ascii="Arial" w:cs="Arial" w:eastAsia="Arial" w:hAnsi="Arial"/>
          <w:sz w:val="17"/>
          <w:szCs w:val="17"/>
          <w:color w:val="auto"/>
        </w:rPr>
        <w:t>Kaplan University enrollments included 5,979, 5,799 and 7,928 campus-based students as of March 31, 2012, December 31, 2011, and March 31, 20 respectively.</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6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7" w:name="page8"/>
    <w:bookmarkEnd w:id="7"/>
    <w:p>
      <w:pPr>
        <w:ind w:left="580"/>
        <w:spacing w:after="0"/>
        <w:rPr>
          <w:sz w:val="20"/>
          <w:szCs w:val="20"/>
          <w:color w:val="auto"/>
        </w:rPr>
      </w:pPr>
      <w:r>
        <w:rPr>
          <w:rFonts w:ascii="Arial" w:cs="Arial" w:eastAsia="Arial" w:hAnsi="Arial"/>
          <w:sz w:val="17"/>
          <w:szCs w:val="17"/>
          <w:color w:val="auto"/>
        </w:rPr>
        <w:t>Kaplan University and KHE Campuses enrollments at March 31, 2012, and March 31, 2011, by degree and certificate programs, are as follows:</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1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As of March 31,</w:t>
            </w:r>
          </w:p>
        </w:tc>
        <w:tc>
          <w:tcPr>
            <w:tcW w:w="380" w:type="dxa"/>
            <w:vAlign w:val="bottom"/>
            <w:tcBorders>
              <w:bottom w:val="single" w:sz="8" w:color="auto"/>
            </w:tcBorders>
          </w:tcPr>
          <w:p>
            <w:pPr>
              <w:spacing w:after="0"/>
              <w:rPr>
                <w:sz w:val="13"/>
                <w:szCs w:val="13"/>
                <w:color w:val="auto"/>
              </w:rPr>
            </w:pPr>
          </w:p>
        </w:tc>
      </w:tr>
      <w:tr>
        <w:trPr>
          <w:trHeight w:val="166"/>
        </w:trPr>
        <w:tc>
          <w:tcPr>
            <w:tcW w:w="84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1263"/>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8"/>
        </w:trPr>
        <w:tc>
          <w:tcPr>
            <w:tcW w:w="8460" w:type="dxa"/>
            <w:vAlign w:val="bottom"/>
          </w:tcPr>
          <w:p>
            <w:pPr>
              <w:spacing w:after="0" w:line="158" w:lineRule="exact"/>
              <w:rPr>
                <w:sz w:val="20"/>
                <w:szCs w:val="20"/>
                <w:color w:val="auto"/>
              </w:rPr>
            </w:pPr>
            <w:r>
              <w:rPr>
                <w:rFonts w:ascii="Arial" w:cs="Arial" w:eastAsia="Arial" w:hAnsi="Arial"/>
                <w:sz w:val="17"/>
                <w:szCs w:val="17"/>
                <w:color w:val="auto"/>
              </w:rPr>
              <w:t>Certificate</w:t>
            </w:r>
          </w:p>
        </w:tc>
        <w:tc>
          <w:tcPr>
            <w:tcW w:w="2100" w:type="dxa"/>
            <w:vAlign w:val="bottom"/>
          </w:tcPr>
          <w:p>
            <w:pPr>
              <w:jc w:val="right"/>
              <w:ind w:right="843"/>
              <w:spacing w:after="0" w:line="158" w:lineRule="exact"/>
              <w:rPr>
                <w:sz w:val="20"/>
                <w:szCs w:val="20"/>
                <w:color w:val="auto"/>
              </w:rPr>
            </w:pPr>
            <w:r>
              <w:rPr>
                <w:rFonts w:ascii="Arial" w:cs="Arial" w:eastAsia="Arial" w:hAnsi="Arial"/>
                <w:sz w:val="17"/>
                <w:szCs w:val="17"/>
                <w:b w:val="1"/>
                <w:bCs w:val="1"/>
                <w:color w:val="auto"/>
              </w:rPr>
              <w:t>25.2 %</w:t>
            </w:r>
          </w:p>
        </w:tc>
        <w:tc>
          <w:tcPr>
            <w:tcW w:w="380" w:type="dxa"/>
            <w:vAlign w:val="bottom"/>
          </w:tcPr>
          <w:p>
            <w:pPr>
              <w:jc w:val="right"/>
              <w:spacing w:after="0" w:line="158" w:lineRule="exact"/>
              <w:rPr>
                <w:sz w:val="20"/>
                <w:szCs w:val="20"/>
                <w:color w:val="auto"/>
              </w:rPr>
            </w:pPr>
            <w:r>
              <w:rPr>
                <w:rFonts w:ascii="Arial" w:cs="Arial" w:eastAsia="Arial" w:hAnsi="Arial"/>
                <w:sz w:val="17"/>
                <w:szCs w:val="17"/>
                <w:color w:val="auto"/>
              </w:rPr>
              <w:t>2</w:t>
            </w:r>
          </w:p>
        </w:tc>
      </w:tr>
      <w:tr>
        <w:trPr>
          <w:trHeight w:val="186"/>
        </w:trPr>
        <w:tc>
          <w:tcPr>
            <w:tcW w:w="8460" w:type="dxa"/>
            <w:vAlign w:val="bottom"/>
          </w:tcPr>
          <w:p>
            <w:pPr>
              <w:spacing w:after="0" w:line="186" w:lineRule="exact"/>
              <w:rPr>
                <w:sz w:val="20"/>
                <w:szCs w:val="20"/>
                <w:color w:val="auto"/>
              </w:rPr>
            </w:pPr>
            <w:r>
              <w:rPr>
                <w:rFonts w:ascii="Arial" w:cs="Arial" w:eastAsia="Arial" w:hAnsi="Arial"/>
                <w:sz w:val="17"/>
                <w:szCs w:val="17"/>
                <w:color w:val="auto"/>
              </w:rPr>
              <w:t>Associate’s</w:t>
            </w:r>
          </w:p>
        </w:tc>
        <w:tc>
          <w:tcPr>
            <w:tcW w:w="2100" w:type="dxa"/>
            <w:vAlign w:val="bottom"/>
          </w:tcPr>
          <w:p>
            <w:pPr>
              <w:jc w:val="right"/>
              <w:ind w:right="843"/>
              <w:spacing w:after="0" w:line="186" w:lineRule="exact"/>
              <w:rPr>
                <w:sz w:val="20"/>
                <w:szCs w:val="20"/>
                <w:color w:val="auto"/>
              </w:rPr>
            </w:pPr>
            <w:r>
              <w:rPr>
                <w:rFonts w:ascii="Arial" w:cs="Arial" w:eastAsia="Arial" w:hAnsi="Arial"/>
                <w:sz w:val="17"/>
                <w:szCs w:val="17"/>
                <w:b w:val="1"/>
                <w:bCs w:val="1"/>
                <w:color w:val="auto"/>
              </w:rPr>
              <w:t>29.7 %</w:t>
            </w: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r>
      <w:tr>
        <w:trPr>
          <w:trHeight w:val="186"/>
        </w:trPr>
        <w:tc>
          <w:tcPr>
            <w:tcW w:w="8460" w:type="dxa"/>
            <w:vAlign w:val="bottom"/>
          </w:tcPr>
          <w:p>
            <w:pPr>
              <w:spacing w:after="0" w:line="186" w:lineRule="exact"/>
              <w:rPr>
                <w:sz w:val="20"/>
                <w:szCs w:val="20"/>
                <w:color w:val="auto"/>
              </w:rPr>
            </w:pPr>
            <w:r>
              <w:rPr>
                <w:rFonts w:ascii="Arial" w:cs="Arial" w:eastAsia="Arial" w:hAnsi="Arial"/>
                <w:sz w:val="17"/>
                <w:szCs w:val="17"/>
                <w:color w:val="auto"/>
              </w:rPr>
              <w:t>Bachelor’s</w:t>
            </w:r>
          </w:p>
        </w:tc>
        <w:tc>
          <w:tcPr>
            <w:tcW w:w="2100" w:type="dxa"/>
            <w:vAlign w:val="bottom"/>
          </w:tcPr>
          <w:p>
            <w:pPr>
              <w:jc w:val="right"/>
              <w:ind w:right="843"/>
              <w:spacing w:after="0" w:line="186" w:lineRule="exact"/>
              <w:rPr>
                <w:sz w:val="20"/>
                <w:szCs w:val="20"/>
                <w:color w:val="auto"/>
              </w:rPr>
            </w:pPr>
            <w:r>
              <w:rPr>
                <w:rFonts w:ascii="Arial" w:cs="Arial" w:eastAsia="Arial" w:hAnsi="Arial"/>
                <w:sz w:val="17"/>
                <w:szCs w:val="17"/>
                <w:b w:val="1"/>
                <w:bCs w:val="1"/>
                <w:color w:val="auto"/>
              </w:rPr>
              <w:t>33.6 %</w:t>
            </w: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r>
      <w:tr>
        <w:trPr>
          <w:trHeight w:val="207"/>
        </w:trPr>
        <w:tc>
          <w:tcPr>
            <w:tcW w:w="8460" w:type="dxa"/>
            <w:vAlign w:val="bottom"/>
          </w:tcPr>
          <w:p>
            <w:pPr>
              <w:spacing w:after="0"/>
              <w:rPr>
                <w:sz w:val="20"/>
                <w:szCs w:val="20"/>
                <w:color w:val="auto"/>
              </w:rPr>
            </w:pPr>
            <w:r>
              <w:rPr>
                <w:rFonts w:ascii="Arial" w:cs="Arial" w:eastAsia="Arial" w:hAnsi="Arial"/>
                <w:sz w:val="17"/>
                <w:szCs w:val="17"/>
                <w:color w:val="auto"/>
              </w:rPr>
              <w:t>Master’s</w:t>
            </w:r>
          </w:p>
        </w:tc>
        <w:tc>
          <w:tcPr>
            <w:tcW w:w="2100" w:type="dxa"/>
            <w:vAlign w:val="bottom"/>
            <w:tcBorders>
              <w:bottom w:val="single" w:sz="8" w:color="auto"/>
            </w:tcBorders>
          </w:tcPr>
          <w:p>
            <w:pPr>
              <w:jc w:val="right"/>
              <w:ind w:right="843"/>
              <w:spacing w:after="0"/>
              <w:rPr>
                <w:sz w:val="20"/>
                <w:szCs w:val="20"/>
                <w:color w:val="auto"/>
              </w:rPr>
            </w:pPr>
            <w:r>
              <w:rPr>
                <w:rFonts w:ascii="Arial" w:cs="Arial" w:eastAsia="Arial" w:hAnsi="Arial"/>
                <w:sz w:val="17"/>
                <w:szCs w:val="17"/>
                <w:b w:val="1"/>
                <w:bCs w:val="1"/>
                <w:color w:val="auto"/>
              </w:rPr>
              <w:t>11.5 %</w:t>
            </w:r>
          </w:p>
        </w:tc>
        <w:tc>
          <w:tcPr>
            <w:tcW w:w="380" w:type="dxa"/>
            <w:vAlign w:val="bottom"/>
            <w:tcBorders>
              <w:bottom w:val="single" w:sz="8" w:color="auto"/>
            </w:tcBorders>
          </w:tcPr>
          <w:p>
            <w:pPr>
              <w:spacing w:after="0"/>
              <w:rPr>
                <w:sz w:val="17"/>
                <w:szCs w:val="17"/>
                <w:color w:val="auto"/>
              </w:rPr>
            </w:pPr>
          </w:p>
        </w:tc>
      </w:tr>
      <w:tr>
        <w:trPr>
          <w:trHeight w:val="179"/>
        </w:trPr>
        <w:tc>
          <w:tcPr>
            <w:tcW w:w="8460" w:type="dxa"/>
            <w:vAlign w:val="bottom"/>
          </w:tcPr>
          <w:p>
            <w:pPr>
              <w:spacing w:after="0"/>
              <w:rPr>
                <w:sz w:val="15"/>
                <w:szCs w:val="15"/>
                <w:color w:val="auto"/>
              </w:rPr>
            </w:pPr>
          </w:p>
        </w:tc>
        <w:tc>
          <w:tcPr>
            <w:tcW w:w="2100" w:type="dxa"/>
            <w:vAlign w:val="bottom"/>
            <w:tcBorders>
              <w:bottom w:val="single" w:sz="8" w:color="auto"/>
            </w:tcBorders>
          </w:tcPr>
          <w:p>
            <w:pPr>
              <w:jc w:val="right"/>
              <w:ind w:right="843"/>
              <w:spacing w:after="0" w:line="179" w:lineRule="exact"/>
              <w:rPr>
                <w:sz w:val="20"/>
                <w:szCs w:val="20"/>
                <w:color w:val="auto"/>
              </w:rPr>
            </w:pPr>
            <w:r>
              <w:rPr>
                <w:rFonts w:ascii="Arial" w:cs="Arial" w:eastAsia="Arial" w:hAnsi="Arial"/>
                <w:sz w:val="17"/>
                <w:szCs w:val="17"/>
                <w:b w:val="1"/>
                <w:bCs w:val="1"/>
                <w:color w:val="auto"/>
              </w:rPr>
              <w:t>100.0 %</w:t>
            </w:r>
          </w:p>
        </w:tc>
        <w:tc>
          <w:tcPr>
            <w:tcW w:w="3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10</w:t>
            </w:r>
          </w:p>
        </w:tc>
      </w:tr>
      <w:tr>
        <w:trPr>
          <w:trHeight w:val="20"/>
        </w:trPr>
        <w:tc>
          <w:tcPr>
            <w:tcW w:w="84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580"/>
        <w:spacing w:after="0" w:line="246" w:lineRule="auto"/>
        <w:rPr>
          <w:sz w:val="20"/>
          <w:szCs w:val="20"/>
          <w:color w:val="auto"/>
        </w:rPr>
      </w:pPr>
      <w:r>
        <w:rPr>
          <w:rFonts w:ascii="Arial" w:cs="Arial" w:eastAsia="Arial" w:hAnsi="Arial"/>
          <w:sz w:val="16"/>
          <w:szCs w:val="16"/>
          <w:color w:val="auto"/>
        </w:rPr>
        <w:t>Kaplan Test Preparation (KTP) includes Kaplan’s standardized test preparation and tutoring offerings and other businesses. KTP revenue declined 14 the first quarter of 2012. Enrollment increases of 11%, driven by strength in the medical and bar review programs, were offset by competitive pricing pressure and a shift in demand to lower priced online test preparation offerings. Revenues also declined from the prior year as changes in certain prog and the mix of courses resulted in an increase in average course length and related revenue recognition periods. Total sales bookings at KTP during t quarter of 2012 were down 2% compared to the first quarter of 2011. KTP operating results reflected lower operating expenses in the first quarter of 2 due to recent restructuring activities. The first quarter of 2011 also included $2.3 million in restructuring costs.</w:t>
      </w:r>
    </w:p>
    <w:p>
      <w:pPr>
        <w:spacing w:after="0" w:line="172" w:lineRule="exact"/>
        <w:rPr>
          <w:sz w:val="20"/>
          <w:szCs w:val="20"/>
          <w:color w:val="auto"/>
        </w:rPr>
      </w:pPr>
    </w:p>
    <w:p>
      <w:pPr>
        <w:jc w:val="both"/>
        <w:ind w:left="580"/>
        <w:spacing w:after="0" w:line="246" w:lineRule="auto"/>
        <w:rPr>
          <w:sz w:val="20"/>
          <w:szCs w:val="20"/>
          <w:color w:val="auto"/>
        </w:rPr>
      </w:pPr>
      <w:r>
        <w:rPr>
          <w:rFonts w:ascii="Arial" w:cs="Arial" w:eastAsia="Arial" w:hAnsi="Arial"/>
          <w:sz w:val="16"/>
          <w:szCs w:val="16"/>
          <w:color w:val="auto"/>
        </w:rPr>
        <w:t>Kaplan International includes professional training and postsecondary education businesses outside the United States and English-language program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 revenue increased 16% in 2012. Excluding revenue from acquired businesses, Kaplan International revenue increased 6% in the first quarter of 2012 largely to enrollment growth in the English-language and Singapore higher education programs. Kaplan International operating income increased in th quarter of 2012 due to strong results in Singapore and the English-language programs, offset by a combined loss from businesses acquired in 2011.</w:t>
      </w:r>
    </w:p>
    <w:p>
      <w:pPr>
        <w:spacing w:after="0" w:line="172" w:lineRule="exact"/>
        <w:rPr>
          <w:sz w:val="20"/>
          <w:szCs w:val="20"/>
          <w:color w:val="auto"/>
        </w:rPr>
      </w:pPr>
    </w:p>
    <w:p>
      <w:pPr>
        <w:jc w:val="both"/>
        <w:ind w:left="580"/>
        <w:spacing w:after="0" w:line="235" w:lineRule="auto"/>
        <w:rPr>
          <w:sz w:val="20"/>
          <w:szCs w:val="20"/>
          <w:color w:val="auto"/>
        </w:rPr>
      </w:pPr>
      <w:r>
        <w:rPr>
          <w:rFonts w:ascii="Arial" w:cs="Arial" w:eastAsia="Arial" w:hAnsi="Arial"/>
          <w:sz w:val="17"/>
          <w:szCs w:val="17"/>
          <w:color w:val="auto"/>
        </w:rPr>
        <w:t>Most of the businesses previously included in Kaplan Ventures have been sold or moved to other Kaplan divisions. Kaplan Ventures is exploring other alternatives with respect to its remaining businesses, including possible sales.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jc w:val="both"/>
        <w:ind w:left="580"/>
        <w:spacing w:after="0" w:line="233" w:lineRule="auto"/>
        <w:rPr>
          <w:sz w:val="20"/>
          <w:szCs w:val="20"/>
          <w:color w:val="auto"/>
        </w:rPr>
      </w:pPr>
      <w:r>
        <w:rPr>
          <w:rFonts w:ascii="Arial" w:cs="Arial" w:eastAsia="Arial" w:hAnsi="Arial"/>
          <w:sz w:val="17"/>
          <w:szCs w:val="17"/>
          <w:color w:val="auto"/>
        </w:rPr>
        <w:t>Cable television division revenue for the first quarter of 2012 was $190.2 million, flat compared to $190.3 million for the first quarter of 2011. The reven results reflect continued growth of the division’s internet and telephone service revenues, offset by an increase in promotional discounts and a decline basic video subscribers.</w:t>
      </w:r>
    </w:p>
    <w:p>
      <w:pPr>
        <w:spacing w:after="0" w:line="175" w:lineRule="exact"/>
        <w:rPr>
          <w:sz w:val="20"/>
          <w:szCs w:val="20"/>
          <w:color w:val="auto"/>
        </w:rPr>
      </w:pPr>
    </w:p>
    <w:p>
      <w:pPr>
        <w:jc w:val="both"/>
        <w:ind w:left="580" w:right="20"/>
        <w:spacing w:after="0" w:line="235" w:lineRule="auto"/>
        <w:rPr>
          <w:sz w:val="20"/>
          <w:szCs w:val="20"/>
          <w:color w:val="auto"/>
        </w:rPr>
      </w:pPr>
      <w:r>
        <w:rPr>
          <w:rFonts w:ascii="Arial" w:cs="Arial" w:eastAsia="Arial" w:hAnsi="Arial"/>
          <w:sz w:val="17"/>
          <w:szCs w:val="17"/>
          <w:color w:val="auto"/>
        </w:rPr>
        <w:t>Cable television division operating income decreased 13% to $32.8 million, from $37.7 million in the first quarter of 2011. The division’s operating inco declined primarily due to increased programming and sales costs.</w:t>
      </w:r>
    </w:p>
    <w:p>
      <w:pPr>
        <w:spacing w:after="0" w:line="176" w:lineRule="exact"/>
        <w:rPr>
          <w:sz w:val="20"/>
          <w:szCs w:val="20"/>
          <w:color w:val="auto"/>
        </w:rPr>
      </w:pPr>
    </w:p>
    <w:p>
      <w:pPr>
        <w:jc w:val="both"/>
        <w:ind w:left="580"/>
        <w:spacing w:after="0" w:line="235" w:lineRule="auto"/>
        <w:rPr>
          <w:sz w:val="20"/>
          <w:szCs w:val="20"/>
          <w:color w:val="auto"/>
        </w:rPr>
      </w:pPr>
      <w:r>
        <w:rPr>
          <w:rFonts w:ascii="Arial" w:cs="Arial" w:eastAsia="Arial" w:hAnsi="Arial"/>
          <w:sz w:val="17"/>
          <w:szCs w:val="17"/>
          <w:color w:val="auto"/>
        </w:rPr>
        <w:t>At March 31, 2012, Primary Service Units (PSUs) were up 1% from the prior year due to growth in high-speed data and telephony subscribers, offset b decrease in basic video subscribers. A summary of PSUs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Arial" w:cs="Arial" w:eastAsia="Arial" w:hAnsi="Arial"/>
                <w:sz w:val="12"/>
                <w:szCs w:val="12"/>
                <w:b w:val="1"/>
                <w:bCs w:val="1"/>
                <w:color w:val="auto"/>
              </w:rPr>
              <w:t>March 31,</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March 3</w:t>
            </w:r>
          </w:p>
        </w:tc>
      </w:tr>
      <w:tr>
        <w:trPr>
          <w:trHeight w:val="151"/>
        </w:trPr>
        <w:tc>
          <w:tcPr>
            <w:tcW w:w="580" w:type="dxa"/>
            <w:vAlign w:val="bottom"/>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686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2"/>
                <w:szCs w:val="12"/>
                <w:b w:val="1"/>
                <w:bCs w:val="1"/>
                <w:color w:val="auto"/>
              </w:rPr>
              <w:t>2012</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2011</w:t>
            </w:r>
          </w:p>
        </w:tc>
      </w:tr>
      <w:tr>
        <w:trPr>
          <w:trHeight w:val="195"/>
        </w:trPr>
        <w:tc>
          <w:tcPr>
            <w:tcW w:w="58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Basic video</w:t>
            </w:r>
          </w:p>
        </w:tc>
        <w:tc>
          <w:tcPr>
            <w:tcW w:w="6860" w:type="dxa"/>
            <w:vAlign w:val="bottom"/>
            <w:gridSpan w:val="2"/>
          </w:tcPr>
          <w:p>
            <w:pPr>
              <w:jc w:val="right"/>
              <w:ind w:right="228"/>
              <w:spacing w:after="0"/>
              <w:rPr>
                <w:sz w:val="20"/>
                <w:szCs w:val="20"/>
                <w:color w:val="auto"/>
              </w:rPr>
            </w:pPr>
            <w:r>
              <w:rPr>
                <w:rFonts w:ascii="Arial" w:cs="Arial" w:eastAsia="Arial" w:hAnsi="Arial"/>
                <w:sz w:val="17"/>
                <w:szCs w:val="17"/>
                <w:b w:val="1"/>
                <w:bCs w:val="1"/>
                <w:color w:val="auto"/>
              </w:rPr>
              <w:t>622,339</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64</w:t>
            </w:r>
          </w:p>
        </w:tc>
      </w:tr>
      <w:tr>
        <w:trPr>
          <w:trHeight w:val="211"/>
        </w:trPr>
        <w:tc>
          <w:tcPr>
            <w:tcW w:w="5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High-speed data</w:t>
            </w:r>
          </w:p>
        </w:tc>
        <w:tc>
          <w:tcPr>
            <w:tcW w:w="6860" w:type="dxa"/>
            <w:vAlign w:val="bottom"/>
            <w:gridSpan w:val="2"/>
          </w:tcPr>
          <w:p>
            <w:pPr>
              <w:jc w:val="right"/>
              <w:ind w:right="228"/>
              <w:spacing w:after="0"/>
              <w:rPr>
                <w:sz w:val="20"/>
                <w:szCs w:val="20"/>
                <w:color w:val="auto"/>
              </w:rPr>
            </w:pPr>
            <w:r>
              <w:rPr>
                <w:rFonts w:ascii="Arial" w:cs="Arial" w:eastAsia="Arial" w:hAnsi="Arial"/>
                <w:sz w:val="17"/>
                <w:szCs w:val="17"/>
                <w:b w:val="1"/>
                <w:bCs w:val="1"/>
                <w:color w:val="auto"/>
              </w:rPr>
              <w:t>463,443</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44</w:t>
            </w:r>
          </w:p>
        </w:tc>
      </w:tr>
      <w:tr>
        <w:trPr>
          <w:trHeight w:val="207"/>
        </w:trPr>
        <w:tc>
          <w:tcPr>
            <w:tcW w:w="58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Telephony</w:t>
            </w:r>
          </w:p>
        </w:tc>
        <w:tc>
          <w:tcPr>
            <w:tcW w:w="6860" w:type="dxa"/>
            <w:vAlign w:val="bottom"/>
            <w:gridSpan w:val="2"/>
          </w:tcPr>
          <w:p>
            <w:pPr>
              <w:jc w:val="right"/>
              <w:ind w:right="228"/>
              <w:spacing w:after="0"/>
              <w:rPr>
                <w:sz w:val="20"/>
                <w:szCs w:val="20"/>
                <w:color w:val="auto"/>
              </w:rPr>
            </w:pPr>
            <w:r>
              <w:rPr>
                <w:rFonts w:ascii="Arial" w:cs="Arial" w:eastAsia="Arial" w:hAnsi="Arial"/>
                <w:sz w:val="17"/>
                <w:szCs w:val="17"/>
                <w:b w:val="1"/>
                <w:bCs w:val="1"/>
                <w:color w:val="auto"/>
              </w:rPr>
              <w:t>186,009</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16</w:t>
            </w:r>
          </w:p>
        </w:tc>
      </w:tr>
      <w:tr>
        <w:trPr>
          <w:trHeight w:val="191"/>
        </w:trPr>
        <w:tc>
          <w:tcPr>
            <w:tcW w:w="580" w:type="dxa"/>
            <w:vAlign w:val="bottom"/>
          </w:tcPr>
          <w:p>
            <w:pPr>
              <w:spacing w:after="0"/>
              <w:rPr>
                <w:sz w:val="16"/>
                <w:szCs w:val="16"/>
                <w:color w:val="auto"/>
              </w:rPr>
            </w:pPr>
          </w:p>
        </w:tc>
        <w:tc>
          <w:tcPr>
            <w:tcW w:w="3340" w:type="dxa"/>
            <w:vAlign w:val="bottom"/>
          </w:tcPr>
          <w:p>
            <w:pPr>
              <w:ind w:left="220"/>
              <w:spacing w:after="0" w:line="191" w:lineRule="exact"/>
              <w:rPr>
                <w:sz w:val="20"/>
                <w:szCs w:val="20"/>
                <w:color w:val="auto"/>
              </w:rPr>
            </w:pPr>
            <w:r>
              <w:rPr>
                <w:rFonts w:ascii="Arial" w:cs="Arial" w:eastAsia="Arial" w:hAnsi="Arial"/>
                <w:sz w:val="17"/>
                <w:szCs w:val="17"/>
                <w:color w:val="auto"/>
              </w:rPr>
              <w:t>Total</w:t>
            </w:r>
          </w:p>
        </w:tc>
        <w:tc>
          <w:tcPr>
            <w:tcW w:w="534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228"/>
              <w:spacing w:after="0" w:line="191" w:lineRule="exact"/>
              <w:rPr>
                <w:sz w:val="20"/>
                <w:szCs w:val="20"/>
                <w:color w:val="auto"/>
              </w:rPr>
            </w:pPr>
            <w:r>
              <w:rPr>
                <w:rFonts w:ascii="Arial" w:cs="Arial" w:eastAsia="Arial" w:hAnsi="Arial"/>
                <w:sz w:val="17"/>
                <w:szCs w:val="17"/>
                <w:b w:val="1"/>
                <w:bCs w:val="1"/>
                <w:color w:val="auto"/>
              </w:rPr>
              <w:t>1,271,791</w:t>
            </w:r>
          </w:p>
        </w:tc>
        <w:tc>
          <w:tcPr>
            <w:tcW w:w="740" w:type="dxa"/>
            <w:vAlign w:val="bottom"/>
            <w:tcBorders>
              <w:top w:val="single" w:sz="8" w:color="auto"/>
              <w:bottom w:val="single" w:sz="8" w:color="auto"/>
            </w:tcBorders>
            <w:gridSpan w:val="2"/>
          </w:tcPr>
          <w:p>
            <w:pPr>
              <w:jc w:val="right"/>
              <w:spacing w:after="0" w:line="191" w:lineRule="exact"/>
              <w:rPr>
                <w:sz w:val="20"/>
                <w:szCs w:val="20"/>
                <w:color w:val="auto"/>
              </w:rPr>
            </w:pPr>
            <w:r>
              <w:rPr>
                <w:rFonts w:ascii="Arial" w:cs="Arial" w:eastAsia="Arial" w:hAnsi="Arial"/>
                <w:sz w:val="17"/>
                <w:szCs w:val="17"/>
                <w:color w:val="auto"/>
              </w:rPr>
              <w:t>1,25</w:t>
            </w: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5340" w:type="dxa"/>
            <w:vAlign w:val="bottom"/>
          </w:tcPr>
          <w:p>
            <w:pPr>
              <w:jc w:val="center"/>
              <w:ind w:right="541"/>
              <w:spacing w:after="0" w:line="174" w:lineRule="exact"/>
              <w:rPr>
                <w:sz w:val="20"/>
                <w:szCs w:val="20"/>
                <w:color w:val="auto"/>
              </w:rPr>
            </w:pPr>
            <w:r>
              <w:rPr>
                <w:rFonts w:ascii="Arial" w:cs="Arial" w:eastAsia="Arial" w:hAnsi="Arial"/>
                <w:sz w:val="17"/>
                <w:szCs w:val="17"/>
                <w:color w:val="auto"/>
                <w:w w:val="95"/>
              </w:rPr>
              <w:t>-more-</w:t>
            </w:r>
          </w:p>
        </w:tc>
        <w:tc>
          <w:tcPr>
            <w:tcW w:w="15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r>
      <w:tr>
        <w:trPr>
          <w:trHeight w:val="347"/>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340" w:type="dxa"/>
            <w:vAlign w:val="bottom"/>
          </w:tcPr>
          <w:p>
            <w:pPr>
              <w:jc w:val="right"/>
              <w:ind w:right="2841"/>
              <w:spacing w:after="0"/>
              <w:rPr>
                <w:sz w:val="20"/>
                <w:szCs w:val="20"/>
                <w:color w:val="auto"/>
              </w:rPr>
            </w:pPr>
            <w:r>
              <w:rPr>
                <w:rFonts w:ascii="Arial" w:cs="Arial" w:eastAsia="Arial" w:hAnsi="Arial"/>
                <w:sz w:val="17"/>
                <w:szCs w:val="17"/>
                <w:color w:val="auto"/>
              </w:rPr>
              <w:t>3</w:t>
            </w: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635" w:right="1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Newspaper publishing division revenue totaled $142.3 million for the first quarter of 2012, down 8% from revenue of $155.0 million for the first quarter 2011. Print advertising revenue at The Washington Post (the Post) in the first quarter of 2012 declined 17% to $52.7 million, from $63.2 million in the fi quarter of 2011. The decline is largely due to reductions in general, classified and preprint advertising. Revenue generated by the Company’s newspa online publishing activities, primarily washingtonpost.com and Slate, decreased 7% to $24.2 million for the first quarter of 2012, versus $26.2 million fo first quarter of 2011. Display online advertising revenue declined 11% for the first quarter of 2012. Online classified advertising revenue on washingtonpost.com decreased 1% for the first quarter of 2012.</w:t>
      </w:r>
    </w:p>
    <w:p>
      <w:pPr>
        <w:spacing w:after="0" w:line="17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For the first quarter of 2012, daily and Sunday circulation at the Post declined 9.8% and 5.2%, respectively, compared to the first quarter of 2011. For first quarter of 2012, average daily circulation at the Post totaled 492,600, and average Sunday circulation totaled 714,600.</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newspaper division reported an operating loss of $22.6 million in the first quarter of 2012, compared to an operating loss of $12.8 million in the firs quarter of 2011. These operating losses include noncash pension expense of $8.6 million and $6.7 million for the first quarter of 2012 and 2011, respectively. The decline in operating results is primarily due to the revenue reductions discussed above and $1.9 million in severance and early retire expenses, offset partially by a reduction in other operating expenses. Newsprint expense was down 11% for the first quarter of 2012 compared to the quarter of 2011, due to a decline in newsprint consumption.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Revenue for the television broadcasting division increased 13% in the first quarter of 2012 to $81.5 million, from $72.2 million in 2011; operating incom the first quarter of 2012 increased 58% to $31.0 million, from $19.6 million in 2011. The increase in revenue and operating income reflects improved advertising demand across many product categories, including a $2.2 million increase in political advertising revenue. Expense reductions from variou control initiatives also contributed to the improvement in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Other businesses includes the operating results of Avenue100 Media Solutions, the Company’s digital marketing business that sources leads for acad institutions and recruiting organizations, and other small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of Affiliates, Net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Company’s equity in earnings of affiliates, net, for the first quarter of 2012 was $3.9 million, compared to $3.7 million for the first quarter of 2011.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recorded other non-operating income, net, of $8.6 million for the first quarter of 2012, compared to other non-operating expense, net, of million for the first quarter of 2011. The first quarter 2012 non-operating income, net, included a $5.8 million gain on sales of cost method investments, million in unrealized foreign currency gains and other items.</w:t>
      </w:r>
    </w:p>
    <w:p>
      <w:pPr>
        <w:spacing w:after="0" w:line="175"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The first quarter 2011 non-operating expense, net, included a $30.7 million write-down of a marketable equity security (Corinthian Colleges, Inc.), offs $3.8 million gain on the sale of a cost method investment, $2.7 million in unrealized foreign currency gains and other items.</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28" w:right="1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 incurred net interest expense of $8.1 million for the first quarter of 2012, compared to $7.0 million for the first quarter of 2011. At March 2012, the Company had $456.4 million in borrowings outstanding at an average interest rate of 7.0%.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quarter of 2012 was 48.1%, compared to 37.2% for the first quarter of 2011. T higher effective tax rate in 2012 results primarily from losses in Australia for which no tax benefit is recorded.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sold EduNeering in April 2012, Kaplan Learning Technologies in February 2012, Kaplan Compliance Solutions in October 2011 and Kaplan Vir Education in July 2011. Consequently, the Company’s income from continuing operations excludes these businesses, which have been reclassified to discontinued operations, net of tax.</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sale of Kaplan Learning Technologies resulted in a pre-tax loss of $3.1 million that was recorded in the first quarter of 2012. The sale of EduNeeri resulted in an estimated pre-tax gain of $30 million, which will be recorded in the second quarter of 2012.</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each of the sales of the Company’s stock in EduNeering and Kaplan Learning Technologies, in the first quarter of 2012, the Compa recorded $23.2 million of income tax benefits related to the excess of the outside stock tax basis over the net book value of the net assets disposed.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calculation of diluted earnings per share for the first quarter of 2012 was based on 7,614,623 weighted average shares outstanding, compared to 8,119,373 for the first quarter of 2011. At March 31, 2012, there were 7,617,409 shares outstanding and the Company had remaining authorization fro Board of Directors to purchase up to 493,074 shares of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15" w:right="139" w:bottom="1440" w:gutter="0" w:footer="0" w:header="0"/>
        </w:sectPr>
      </w:pPr>
    </w:p>
    <w:bookmarkStart w:id="10" w:name="page11"/>
    <w:bookmarkEnd w:id="10"/>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left="1160"/>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2"/>
                <w:szCs w:val="12"/>
                <w:b w:val="1"/>
                <w:bCs w:val="1"/>
                <w:color w:val="auto"/>
              </w:rPr>
              <w:t>First Quarter</w:t>
            </w:r>
          </w:p>
        </w:tc>
        <w:tc>
          <w:tcPr>
            <w:tcW w:w="9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80" w:type="dxa"/>
            <w:vAlign w:val="bottom"/>
          </w:tcPr>
          <w:p>
            <w:pPr>
              <w:spacing w:after="0"/>
              <w:rPr>
                <w:sz w:val="12"/>
                <w:szCs w:val="12"/>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revenues</w:t>
            </w:r>
          </w:p>
        </w:tc>
        <w:tc>
          <w:tcPr>
            <w:tcW w:w="2260" w:type="dxa"/>
            <w:vAlign w:val="bottom"/>
            <w:gridSpan w:val="2"/>
          </w:tcPr>
          <w:p>
            <w:pPr>
              <w:jc w:val="right"/>
              <w:ind w:right="57"/>
              <w:spacing w:after="0" w:line="170"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972,476</w:t>
            </w:r>
          </w:p>
        </w:tc>
        <w:tc>
          <w:tcPr>
            <w:tcW w:w="460" w:type="dxa"/>
            <w:vAlign w:val="bottom"/>
          </w:tcPr>
          <w:p>
            <w:pPr>
              <w:jc w:val="right"/>
              <w:ind w:right="97"/>
              <w:spacing w:after="0" w:line="170"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70" w:lineRule="exact"/>
              <w:rPr>
                <w:sz w:val="20"/>
                <w:szCs w:val="20"/>
                <w:color w:val="auto"/>
              </w:rPr>
            </w:pPr>
            <w:r>
              <w:rPr>
                <w:rFonts w:ascii="Arial" w:cs="Arial" w:eastAsia="Arial" w:hAnsi="Arial"/>
                <w:sz w:val="17"/>
                <w:szCs w:val="17"/>
                <w:color w:val="auto"/>
              </w:rPr>
              <w:t>1,041,912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(888,569)</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(917,447)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(62,501)</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(62,196)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(3,937)</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17,469</w:t>
            </w:r>
          </w:p>
        </w:tc>
        <w:tc>
          <w:tcPr>
            <w:tcW w:w="46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7"/>
                <w:szCs w:val="17"/>
                <w:color w:val="auto"/>
              </w:rPr>
              <w:t>56,553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3,888</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3,737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1,069</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(9,163)</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(7,961)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8,588</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(24,032)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21,851</w:t>
            </w:r>
          </w:p>
        </w:tc>
        <w:tc>
          <w:tcPr>
            <w:tcW w:w="46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7"/>
                <w:szCs w:val="17"/>
                <w:color w:val="auto"/>
              </w:rPr>
              <w:t>29,279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10,500</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11,351</w:t>
            </w:r>
          </w:p>
        </w:tc>
        <w:tc>
          <w:tcPr>
            <w:tcW w:w="46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7"/>
                <w:szCs w:val="17"/>
                <w:color w:val="auto"/>
              </w:rPr>
              <w:t>18,379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20,217</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31,568</w:t>
            </w:r>
          </w:p>
        </w:tc>
        <w:tc>
          <w:tcPr>
            <w:tcW w:w="46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7"/>
                <w:szCs w:val="17"/>
                <w:color w:val="auto"/>
              </w:rPr>
              <w:t>15,629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(70)</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31,498</w:t>
            </w:r>
          </w:p>
        </w:tc>
        <w:tc>
          <w:tcPr>
            <w:tcW w:w="46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7"/>
                <w:szCs w:val="17"/>
                <w:color w:val="auto"/>
              </w:rPr>
              <w:t>15,615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(451)</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31,047</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4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15,154</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10,830</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Income from continuing operations</w:t>
            </w:r>
          </w:p>
        </w:tc>
        <w:tc>
          <w:tcPr>
            <w:tcW w:w="22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460" w:type="dxa"/>
            <w:vAlign w:val="bottom"/>
          </w:tcPr>
          <w:p>
            <w:pPr>
              <w:jc w:val="right"/>
              <w:ind w:right="97"/>
              <w:spacing w:after="0" w:line="180"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0" w:lineRule="exact"/>
              <w:rPr>
                <w:sz w:val="20"/>
                <w:szCs w:val="20"/>
                <w:color w:val="auto"/>
              </w:rPr>
            </w:pPr>
            <w:r>
              <w:rPr>
                <w:rFonts w:ascii="Arial" w:cs="Arial" w:eastAsia="Arial" w:hAnsi="Arial"/>
                <w:sz w:val="17"/>
                <w:szCs w:val="17"/>
                <w:color w:val="auto"/>
              </w:rPr>
              <w:t>17,904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20,217</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31,047</w:t>
            </w:r>
          </w:p>
        </w:tc>
        <w:tc>
          <w:tcPr>
            <w:tcW w:w="46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15,154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1.37</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460" w:type="dxa"/>
            <w:vAlign w:val="bottom"/>
          </w:tcPr>
          <w:p>
            <w:pPr>
              <w:jc w:val="right"/>
              <w:ind w:right="97"/>
              <w:spacing w:after="0" w:line="180"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0" w:lineRule="exact"/>
              <w:rPr>
                <w:sz w:val="20"/>
                <w:szCs w:val="20"/>
                <w:color w:val="auto"/>
              </w:rPr>
            </w:pPr>
            <w:r>
              <w:rPr>
                <w:rFonts w:ascii="Arial" w:cs="Arial" w:eastAsia="Arial" w:hAnsi="Arial"/>
                <w:sz w:val="17"/>
                <w:szCs w:val="17"/>
                <w:color w:val="auto"/>
              </w:rPr>
              <w:t>2.21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Basic income (loss)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2.70</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4.07</w:t>
            </w:r>
          </w:p>
        </w:tc>
        <w:tc>
          <w:tcPr>
            <w:tcW w:w="46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1.87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7,514</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8,046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continuing operations</w:t>
            </w:r>
          </w:p>
        </w:tc>
        <w:tc>
          <w:tcPr>
            <w:tcW w:w="2260" w:type="dxa"/>
            <w:vAlign w:val="bottom"/>
            <w:gridSpan w:val="2"/>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1.37</w:t>
            </w:r>
          </w:p>
        </w:tc>
        <w:tc>
          <w:tcPr>
            <w:tcW w:w="4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2.21</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(loss)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2.70</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4.07</w:t>
            </w:r>
          </w:p>
        </w:tc>
        <w:tc>
          <w:tcPr>
            <w:tcW w:w="46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1.87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7,615</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8,119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76" w:right="139" w:bottom="1440" w:gutter="0" w:footer="0" w:header="0"/>
        </w:sectPr>
      </w:pPr>
    </w:p>
    <w:bookmarkStart w:id="11" w:name="page12"/>
    <w:bookmarkEnd w:id="11"/>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BUSINESS SEGMENT INFORMATION</w:t>
      </w:r>
    </w:p>
    <w:p>
      <w:pPr>
        <w:jc w:val="center"/>
        <w:ind w:left="1160"/>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2"/>
                <w:szCs w:val="12"/>
                <w:b w:val="1"/>
                <w:bCs w:val="1"/>
                <w:color w:val="auto"/>
              </w:rPr>
              <w:t>First Quarter</w:t>
            </w:r>
          </w:p>
        </w:tc>
        <w:tc>
          <w:tcPr>
            <w:tcW w:w="9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8"/>
              <w:spacing w:after="0"/>
              <w:rPr>
                <w:sz w:val="20"/>
                <w:szCs w:val="20"/>
                <w:color w:val="auto"/>
              </w:rPr>
            </w:pPr>
            <w:r>
              <w:rPr>
                <w:rFonts w:ascii="Arial" w:cs="Arial" w:eastAsia="Arial" w:hAnsi="Arial"/>
                <w:sz w:val="12"/>
                <w:szCs w:val="12"/>
                <w:b w:val="1"/>
                <w:bCs w:val="1"/>
                <w:color w:val="auto"/>
              </w:rPr>
              <w:t>2012</w:t>
            </w: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60" w:type="dxa"/>
            <w:vAlign w:val="bottom"/>
          </w:tcPr>
          <w:p>
            <w:pPr>
              <w:spacing w:after="0" w:line="178" w:lineRule="exact"/>
              <w:rPr>
                <w:sz w:val="20"/>
                <w:szCs w:val="20"/>
                <w:color w:val="auto"/>
              </w:rPr>
            </w:pPr>
            <w:r>
              <w:rPr>
                <w:rFonts w:ascii="Arial" w:cs="Arial" w:eastAsia="Arial" w:hAnsi="Arial"/>
                <w:sz w:val="17"/>
                <w:szCs w:val="17"/>
                <w:b w:val="1"/>
                <w:bCs w:val="1"/>
                <w:color w:val="auto"/>
              </w:rPr>
              <w:t>Operating Revenues:</w:t>
            </w:r>
          </w:p>
        </w:tc>
        <w:tc>
          <w:tcPr>
            <w:tcW w:w="37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118"/>
              <w:spacing w:after="0"/>
              <w:rPr>
                <w:sz w:val="20"/>
                <w:szCs w:val="20"/>
                <w:color w:val="auto"/>
              </w:rPr>
            </w:pPr>
            <w:r>
              <w:rPr>
                <w:rFonts w:ascii="Arial" w:cs="Arial" w:eastAsia="Arial" w:hAnsi="Arial"/>
                <w:sz w:val="17"/>
                <w:szCs w:val="17"/>
                <w:b w:val="1"/>
                <w:bCs w:val="1"/>
                <w:color w:val="auto"/>
              </w:rPr>
              <w:t>553,401</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6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7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jc w:val="right"/>
              <w:ind w:right="97"/>
              <w:spacing w:after="0" w:line="166"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6" w:lineRule="exact"/>
              <w:rPr>
                <w:sz w:val="20"/>
                <w:szCs w:val="20"/>
                <w:color w:val="auto"/>
              </w:rPr>
            </w:pPr>
            <w:r>
              <w:rPr>
                <w:rFonts w:ascii="Arial" w:cs="Arial" w:eastAsia="Arial" w:hAnsi="Arial"/>
                <w:sz w:val="17"/>
                <w:szCs w:val="17"/>
                <w:color w:val="auto"/>
              </w:rPr>
              <w:t>618,929</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190,210</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190,280</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142,321</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154,997</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81,497</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72,183</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6,015</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6,662</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Corporate office</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Intersegment elimination</w:t>
            </w:r>
          </w:p>
        </w:tc>
        <w:tc>
          <w:tcPr>
            <w:tcW w:w="3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(968)</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(1,139)</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60" w:type="dxa"/>
            <w:vAlign w:val="bottom"/>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33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18"/>
              <w:spacing w:after="0" w:line="179" w:lineRule="exact"/>
              <w:rPr>
                <w:sz w:val="20"/>
                <w:szCs w:val="20"/>
                <w:color w:val="auto"/>
              </w:rPr>
            </w:pPr>
            <w:r>
              <w:rPr>
                <w:rFonts w:ascii="Arial" w:cs="Arial" w:eastAsia="Arial" w:hAnsi="Arial"/>
                <w:sz w:val="17"/>
                <w:szCs w:val="17"/>
                <w:b w:val="1"/>
                <w:bCs w:val="1"/>
                <w:color w:val="auto"/>
              </w:rPr>
              <w:t>972,476</w:t>
            </w:r>
          </w:p>
        </w:tc>
        <w:tc>
          <w:tcPr>
            <w:tcW w:w="48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1,041,912</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60" w:type="dxa"/>
            <w:vAlign w:val="bottom"/>
            <w:vMerge w:val="continue"/>
          </w:tcPr>
          <w:p>
            <w:pPr>
              <w:spacing w:after="0"/>
              <w:rPr>
                <w:sz w:val="15"/>
                <w:szCs w:val="15"/>
                <w:color w:val="auto"/>
              </w:rPr>
            </w:pPr>
          </w:p>
        </w:tc>
        <w:tc>
          <w:tcPr>
            <w:tcW w:w="37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118"/>
              <w:spacing w:after="0"/>
              <w:rPr>
                <w:sz w:val="20"/>
                <w:szCs w:val="20"/>
                <w:color w:val="auto"/>
              </w:rPr>
            </w:pPr>
            <w:r>
              <w:rPr>
                <w:rFonts w:ascii="Arial" w:cs="Arial" w:eastAsia="Arial" w:hAnsi="Arial"/>
                <w:sz w:val="17"/>
                <w:szCs w:val="17"/>
                <w:b w:val="1"/>
                <w:bCs w:val="1"/>
                <w:color w:val="auto"/>
              </w:rPr>
              <w:t>566,589</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6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7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jc w:val="right"/>
              <w:ind w:right="97"/>
              <w:spacing w:after="0" w:line="166"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6" w:lineRule="exact"/>
              <w:rPr>
                <w:sz w:val="20"/>
                <w:szCs w:val="20"/>
                <w:color w:val="auto"/>
              </w:rPr>
            </w:pPr>
            <w:r>
              <w:rPr>
                <w:rFonts w:ascii="Arial" w:cs="Arial" w:eastAsia="Arial" w:hAnsi="Arial"/>
                <w:sz w:val="17"/>
                <w:szCs w:val="17"/>
                <w:color w:val="auto"/>
              </w:rPr>
              <w:t>598,880</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157,433</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152,573</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164,881</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167,824</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50,498</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52,592</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11,266</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11,701</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Corporate office</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5,308</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2,928</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Intersegment elimination</w:t>
            </w:r>
          </w:p>
        </w:tc>
        <w:tc>
          <w:tcPr>
            <w:tcW w:w="3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(968)</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(1,139)</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60" w:type="dxa"/>
            <w:vAlign w:val="bottom"/>
            <w:vMerge w:val="restart"/>
          </w:tcPr>
          <w:p>
            <w:pPr>
              <w:spacing w:after="0"/>
              <w:rPr>
                <w:sz w:val="20"/>
                <w:szCs w:val="20"/>
                <w:color w:val="auto"/>
              </w:rPr>
            </w:pPr>
            <w:r>
              <w:rPr>
                <w:rFonts w:ascii="Arial" w:cs="Arial" w:eastAsia="Arial" w:hAnsi="Arial"/>
                <w:sz w:val="17"/>
                <w:szCs w:val="17"/>
                <w:b w:val="1"/>
                <w:bCs w:val="1"/>
                <w:color w:val="auto"/>
              </w:rPr>
              <w:t>Operating Income (Loss):</w:t>
            </w:r>
          </w:p>
        </w:tc>
        <w:tc>
          <w:tcPr>
            <w:tcW w:w="33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18"/>
              <w:spacing w:after="0" w:line="179" w:lineRule="exact"/>
              <w:rPr>
                <w:sz w:val="20"/>
                <w:szCs w:val="20"/>
                <w:color w:val="auto"/>
              </w:rPr>
            </w:pPr>
            <w:r>
              <w:rPr>
                <w:rFonts w:ascii="Arial" w:cs="Arial" w:eastAsia="Arial" w:hAnsi="Arial"/>
                <w:sz w:val="17"/>
                <w:szCs w:val="17"/>
                <w:b w:val="1"/>
                <w:bCs w:val="1"/>
                <w:color w:val="auto"/>
              </w:rPr>
              <w:t>955,007</w:t>
            </w:r>
          </w:p>
        </w:tc>
        <w:tc>
          <w:tcPr>
            <w:tcW w:w="48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985,359</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60" w:type="dxa"/>
            <w:vAlign w:val="bottom"/>
            <w:vMerge w:val="continue"/>
          </w:tcPr>
          <w:p>
            <w:pPr>
              <w:spacing w:after="0"/>
              <w:rPr>
                <w:sz w:val="15"/>
                <w:szCs w:val="15"/>
                <w:color w:val="auto"/>
              </w:rPr>
            </w:pPr>
          </w:p>
        </w:tc>
        <w:tc>
          <w:tcPr>
            <w:tcW w:w="37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118"/>
              <w:spacing w:after="0"/>
              <w:rPr>
                <w:sz w:val="20"/>
                <w:szCs w:val="20"/>
                <w:color w:val="auto"/>
              </w:rPr>
            </w:pPr>
            <w:r>
              <w:rPr>
                <w:rFonts w:ascii="Arial" w:cs="Arial" w:eastAsia="Arial" w:hAnsi="Arial"/>
                <w:sz w:val="17"/>
                <w:szCs w:val="17"/>
                <w:b w:val="1"/>
                <w:bCs w:val="1"/>
                <w:color w:val="auto"/>
              </w:rPr>
              <w:t>(13,188)</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6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7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jc w:val="right"/>
              <w:ind w:right="97"/>
              <w:spacing w:after="0" w:line="166"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6" w:lineRule="exact"/>
              <w:rPr>
                <w:sz w:val="20"/>
                <w:szCs w:val="20"/>
                <w:color w:val="auto"/>
              </w:rPr>
            </w:pPr>
            <w:r>
              <w:rPr>
                <w:rFonts w:ascii="Arial" w:cs="Arial" w:eastAsia="Arial" w:hAnsi="Arial"/>
                <w:sz w:val="17"/>
                <w:szCs w:val="17"/>
                <w:color w:val="auto"/>
              </w:rPr>
              <w:t>20,049</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32,777</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37,707</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(22,560)</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(12,827)</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30,999</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19,591</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(5,251)</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(5,039)</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Corporate office</w:t>
            </w:r>
          </w:p>
        </w:tc>
        <w:tc>
          <w:tcPr>
            <w:tcW w:w="3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(5,308)</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(2,928)</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60" w:type="dxa"/>
            <w:vAlign w:val="bottom"/>
            <w:vMerge w:val="restart"/>
          </w:tcPr>
          <w:p>
            <w:pPr>
              <w:spacing w:after="0"/>
              <w:rPr>
                <w:sz w:val="20"/>
                <w:szCs w:val="20"/>
                <w:color w:val="auto"/>
              </w:rPr>
            </w:pPr>
            <w:r>
              <w:rPr>
                <w:rFonts w:ascii="Arial" w:cs="Arial" w:eastAsia="Arial" w:hAnsi="Arial"/>
                <w:sz w:val="17"/>
                <w:szCs w:val="17"/>
                <w:b w:val="1"/>
                <w:bCs w:val="1"/>
                <w:color w:val="auto"/>
              </w:rPr>
              <w:t>Depreciation:</w:t>
            </w:r>
          </w:p>
        </w:tc>
        <w:tc>
          <w:tcPr>
            <w:tcW w:w="33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8"/>
              <w:spacing w:after="0" w:line="179" w:lineRule="exact"/>
              <w:rPr>
                <w:sz w:val="20"/>
                <w:szCs w:val="20"/>
                <w:color w:val="auto"/>
              </w:rPr>
            </w:pPr>
            <w:r>
              <w:rPr>
                <w:rFonts w:ascii="Arial" w:cs="Arial" w:eastAsia="Arial" w:hAnsi="Arial"/>
                <w:sz w:val="17"/>
                <w:szCs w:val="17"/>
                <w:b w:val="1"/>
                <w:bCs w:val="1"/>
                <w:color w:val="auto"/>
              </w:rPr>
              <w:t>17,469</w:t>
            </w: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56,553</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60" w:type="dxa"/>
            <w:vAlign w:val="bottom"/>
            <w:vMerge w:val="continue"/>
          </w:tcPr>
          <w:p>
            <w:pPr>
              <w:spacing w:after="0"/>
              <w:rPr>
                <w:sz w:val="15"/>
                <w:szCs w:val="15"/>
                <w:color w:val="auto"/>
              </w:rPr>
            </w:pPr>
          </w:p>
        </w:tc>
        <w:tc>
          <w:tcPr>
            <w:tcW w:w="37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118"/>
              <w:spacing w:after="0"/>
              <w:rPr>
                <w:sz w:val="20"/>
                <w:szCs w:val="20"/>
                <w:color w:val="auto"/>
              </w:rPr>
            </w:pPr>
            <w:r>
              <w:rPr>
                <w:rFonts w:ascii="Arial" w:cs="Arial" w:eastAsia="Arial" w:hAnsi="Arial"/>
                <w:sz w:val="17"/>
                <w:szCs w:val="17"/>
                <w:b w:val="1"/>
                <w:bCs w:val="1"/>
                <w:color w:val="auto"/>
              </w:rPr>
              <w:t>20,862</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6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7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jc w:val="right"/>
              <w:ind w:right="97"/>
              <w:spacing w:after="0" w:line="166"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6" w:lineRule="exact"/>
              <w:rPr>
                <w:sz w:val="20"/>
                <w:szCs w:val="20"/>
                <w:color w:val="auto"/>
              </w:rPr>
            </w:pPr>
            <w:r>
              <w:rPr>
                <w:rFonts w:ascii="Arial" w:cs="Arial" w:eastAsia="Arial" w:hAnsi="Arial"/>
                <w:sz w:val="17"/>
                <w:szCs w:val="17"/>
                <w:color w:val="auto"/>
              </w:rPr>
              <w:t>20,175</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32,197</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31,786</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6,236</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6,900</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3,125</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3,110</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81</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81</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Corporate office</w:t>
            </w:r>
          </w:p>
        </w:tc>
        <w:tc>
          <w:tcPr>
            <w:tcW w:w="3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60" w:type="dxa"/>
            <w:vAlign w:val="bottom"/>
            <w:vMerge w:val="restart"/>
          </w:tcPr>
          <w:p>
            <w:pPr>
              <w:spacing w:after="0"/>
              <w:rPr>
                <w:sz w:val="20"/>
                <w:szCs w:val="20"/>
                <w:color w:val="auto"/>
              </w:rPr>
            </w:pPr>
            <w:r>
              <w:rPr>
                <w:rFonts w:ascii="Arial" w:cs="Arial" w:eastAsia="Arial" w:hAnsi="Arial"/>
                <w:sz w:val="17"/>
                <w:szCs w:val="17"/>
                <w:b w:val="1"/>
                <w:bCs w:val="1"/>
                <w:color w:val="auto"/>
              </w:rPr>
              <w:t>Amortization of Intangible Assets:</w:t>
            </w:r>
          </w:p>
        </w:tc>
        <w:tc>
          <w:tcPr>
            <w:tcW w:w="33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18"/>
              <w:spacing w:after="0" w:line="179" w:lineRule="exact"/>
              <w:rPr>
                <w:sz w:val="20"/>
                <w:szCs w:val="20"/>
                <w:color w:val="auto"/>
              </w:rPr>
            </w:pPr>
            <w:r>
              <w:rPr>
                <w:rFonts w:ascii="Arial" w:cs="Arial" w:eastAsia="Arial" w:hAnsi="Arial"/>
                <w:sz w:val="17"/>
                <w:szCs w:val="17"/>
                <w:b w:val="1"/>
                <w:bCs w:val="1"/>
                <w:color w:val="auto"/>
              </w:rPr>
              <w:t>62,501</w:t>
            </w:r>
          </w:p>
        </w:tc>
        <w:tc>
          <w:tcPr>
            <w:tcW w:w="48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62,196</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60" w:type="dxa"/>
            <w:vAlign w:val="bottom"/>
            <w:vMerge w:val="continue"/>
          </w:tcPr>
          <w:p>
            <w:pPr>
              <w:spacing w:after="0"/>
              <w:rPr>
                <w:sz w:val="15"/>
                <w:szCs w:val="15"/>
                <w:color w:val="auto"/>
              </w:rPr>
            </w:pPr>
          </w:p>
        </w:tc>
        <w:tc>
          <w:tcPr>
            <w:tcW w:w="37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118"/>
              <w:spacing w:after="0"/>
              <w:rPr>
                <w:sz w:val="20"/>
                <w:szCs w:val="20"/>
                <w:color w:val="auto"/>
              </w:rPr>
            </w:pPr>
            <w:r>
              <w:rPr>
                <w:rFonts w:ascii="Arial" w:cs="Arial" w:eastAsia="Arial" w:hAnsi="Arial"/>
                <w:sz w:val="17"/>
                <w:szCs w:val="17"/>
                <w:b w:val="1"/>
                <w:bCs w:val="1"/>
                <w:color w:val="auto"/>
              </w:rPr>
              <w:t>3,243</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6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7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jc w:val="right"/>
              <w:ind w:right="97"/>
              <w:spacing w:after="0" w:line="166"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6" w:lineRule="exact"/>
              <w:rPr>
                <w:sz w:val="20"/>
                <w:szCs w:val="20"/>
                <w:color w:val="auto"/>
              </w:rPr>
            </w:pPr>
            <w:r>
              <w:rPr>
                <w:rFonts w:ascii="Arial" w:cs="Arial" w:eastAsia="Arial" w:hAnsi="Arial"/>
                <w:sz w:val="17"/>
                <w:szCs w:val="17"/>
                <w:color w:val="auto"/>
              </w:rPr>
              <w:t>4,420</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54</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73</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183</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290</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457</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933</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Corporate office</w:t>
            </w:r>
          </w:p>
        </w:tc>
        <w:tc>
          <w:tcPr>
            <w:tcW w:w="3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60" w:type="dxa"/>
            <w:vAlign w:val="bottom"/>
            <w:vMerge w:val="restart"/>
          </w:tcPr>
          <w:p>
            <w:pPr>
              <w:spacing w:after="0"/>
              <w:rPr>
                <w:sz w:val="20"/>
                <w:szCs w:val="20"/>
                <w:color w:val="auto"/>
              </w:rPr>
            </w:pPr>
            <w:r>
              <w:rPr>
                <w:rFonts w:ascii="Arial" w:cs="Arial" w:eastAsia="Arial" w:hAnsi="Arial"/>
                <w:sz w:val="17"/>
                <w:szCs w:val="17"/>
                <w:b w:val="1"/>
                <w:bCs w:val="1"/>
                <w:color w:val="auto"/>
              </w:rPr>
              <w:t>Pension (Expense) Credit:</w:t>
            </w:r>
          </w:p>
        </w:tc>
        <w:tc>
          <w:tcPr>
            <w:tcW w:w="33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18"/>
              <w:spacing w:after="0" w:line="179" w:lineRule="exact"/>
              <w:rPr>
                <w:sz w:val="20"/>
                <w:szCs w:val="20"/>
                <w:color w:val="auto"/>
              </w:rPr>
            </w:pPr>
            <w:r>
              <w:rPr>
                <w:rFonts w:ascii="Arial" w:cs="Arial" w:eastAsia="Arial" w:hAnsi="Arial"/>
                <w:sz w:val="17"/>
                <w:szCs w:val="17"/>
                <w:b w:val="1"/>
                <w:bCs w:val="1"/>
                <w:color w:val="auto"/>
              </w:rPr>
              <w:t>3,937</w:t>
            </w:r>
          </w:p>
        </w:tc>
        <w:tc>
          <w:tcPr>
            <w:tcW w:w="48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5,716</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60" w:type="dxa"/>
            <w:vAlign w:val="bottom"/>
            <w:vMerge w:val="continue"/>
          </w:tcPr>
          <w:p>
            <w:pPr>
              <w:spacing w:after="0"/>
              <w:rPr>
                <w:sz w:val="15"/>
                <w:szCs w:val="15"/>
                <w:color w:val="auto"/>
              </w:rPr>
            </w:pPr>
          </w:p>
        </w:tc>
        <w:tc>
          <w:tcPr>
            <w:tcW w:w="37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118"/>
              <w:spacing w:after="0"/>
              <w:rPr>
                <w:sz w:val="20"/>
                <w:szCs w:val="20"/>
                <w:color w:val="auto"/>
              </w:rPr>
            </w:pPr>
            <w:r>
              <w:rPr>
                <w:rFonts w:ascii="Arial" w:cs="Arial" w:eastAsia="Arial" w:hAnsi="Arial"/>
                <w:sz w:val="17"/>
                <w:szCs w:val="17"/>
                <w:b w:val="1"/>
                <w:bCs w:val="1"/>
                <w:color w:val="auto"/>
              </w:rPr>
              <w:t>(2,391)</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6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7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jc w:val="right"/>
              <w:ind w:right="97"/>
              <w:spacing w:after="0" w:line="166"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6" w:lineRule="exact"/>
              <w:rPr>
                <w:sz w:val="20"/>
                <w:szCs w:val="20"/>
                <w:color w:val="auto"/>
              </w:rPr>
            </w:pPr>
            <w:r>
              <w:rPr>
                <w:rFonts w:ascii="Arial" w:cs="Arial" w:eastAsia="Arial" w:hAnsi="Arial"/>
                <w:sz w:val="17"/>
                <w:szCs w:val="17"/>
                <w:color w:val="auto"/>
              </w:rPr>
              <w:t>(1,552)</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(530)</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(518)</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(8,611)</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(6,705)</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(960)</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(646)</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6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18"/>
              <w:spacing w:after="0" w:line="186" w:lineRule="exact"/>
              <w:rPr>
                <w:sz w:val="20"/>
                <w:szCs w:val="20"/>
                <w:color w:val="auto"/>
              </w:rPr>
            </w:pPr>
            <w:r>
              <w:rPr>
                <w:rFonts w:ascii="Arial" w:cs="Arial" w:eastAsia="Arial" w:hAnsi="Arial"/>
                <w:sz w:val="17"/>
                <w:szCs w:val="17"/>
                <w:b w:val="1"/>
                <w:bCs w:val="1"/>
                <w:color w:val="auto"/>
              </w:rPr>
              <w:t>(19)</w:t>
            </w:r>
          </w:p>
        </w:tc>
        <w:tc>
          <w:tcPr>
            <w:tcW w:w="48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(17)</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Corporate office</w:t>
            </w:r>
          </w:p>
        </w:tc>
        <w:tc>
          <w:tcPr>
            <w:tcW w:w="3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9,298</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9,297</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18"/>
              <w:spacing w:after="0" w:line="179" w:lineRule="exact"/>
              <w:rPr>
                <w:sz w:val="20"/>
                <w:szCs w:val="20"/>
                <w:color w:val="auto"/>
              </w:rPr>
            </w:pPr>
            <w:r>
              <w:rPr>
                <w:rFonts w:ascii="Arial" w:cs="Arial" w:eastAsia="Arial" w:hAnsi="Arial"/>
                <w:sz w:val="17"/>
                <w:szCs w:val="17"/>
                <w:b w:val="1"/>
                <w:bCs w:val="1"/>
                <w:color w:val="auto"/>
              </w:rPr>
              <w:t>(3,213)</w:t>
            </w:r>
          </w:p>
        </w:tc>
        <w:tc>
          <w:tcPr>
            <w:tcW w:w="48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(141)</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380" w:type="dxa"/>
            <w:vAlign w:val="bottom"/>
          </w:tcPr>
          <w:p>
            <w:pPr>
              <w:jc w:val="center"/>
              <w:ind w:right="17"/>
              <w:spacing w:after="0" w:line="189" w:lineRule="exact"/>
              <w:rPr>
                <w:sz w:val="20"/>
                <w:szCs w:val="20"/>
                <w:color w:val="auto"/>
              </w:rPr>
            </w:pPr>
            <w:r>
              <w:rPr>
                <w:rFonts w:ascii="Arial" w:cs="Arial" w:eastAsia="Arial" w:hAnsi="Arial"/>
                <w:sz w:val="17"/>
                <w:szCs w:val="17"/>
                <w:color w:val="auto"/>
                <w:w w:val="95"/>
              </w:rPr>
              <w:t>-more-</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80" w:type="dxa"/>
            <w:vAlign w:val="bottom"/>
          </w:tcPr>
          <w:p>
            <w:pPr>
              <w:jc w:val="right"/>
              <w:ind w:right="1597"/>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76" w:right="1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NON-GAAP FINANCIAL INFORMATION</w:t>
      </w:r>
    </w:p>
    <w:p>
      <w:pPr>
        <w:spacing w:after="0" w:line="228" w:lineRule="auto"/>
        <w:rPr>
          <w:sz w:val="20"/>
          <w:szCs w:val="20"/>
          <w:color w:val="auto"/>
        </w:rPr>
      </w:pPr>
      <w:r>
        <w:rPr>
          <w:rFonts w:ascii="Arial" w:cs="Arial" w:eastAsia="Arial" w:hAnsi="Arial"/>
          <w:sz w:val="17"/>
          <w:szCs w:val="17"/>
          <w:color w:val="auto"/>
        </w:rPr>
        <w:t>THE WASHINGTON POST COMPANY</w:t>
      </w:r>
    </w:p>
    <w:p>
      <w:pPr>
        <w:spacing w:after="0"/>
        <w:rPr>
          <w:sz w:val="20"/>
          <w:szCs w:val="20"/>
          <w:color w:val="auto"/>
        </w:rPr>
      </w:pPr>
      <w:r>
        <w:rPr>
          <w:rFonts w:ascii="Arial" w:cs="Arial" w:eastAsia="Arial" w:hAnsi="Arial"/>
          <w:sz w:val="17"/>
          <w:szCs w:val="17"/>
          <w:color w:val="auto"/>
        </w:rPr>
        <w:t>(Unaudited)</w:t>
      </w:r>
    </w:p>
    <w:p>
      <w:pPr>
        <w:spacing w:after="0" w:line="15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addition to the results reported in accordance with accounting principles generally accepted in the United States (“GAAP”) included in this press rele the Company has provided information regarding income from continuing operations and net income excluding certain items described below reconcil the most directly comparable GAAP measures. Management believes these non-GAAP measures, when read in conjunction with the company‘s GAA financials, provide useful information to investors by offering:</w:t>
      </w:r>
    </w:p>
    <w:p>
      <w:pPr>
        <w:spacing w:after="0" w:line="88" w:lineRule="exact"/>
        <w:rPr>
          <w:sz w:val="20"/>
          <w:szCs w:val="20"/>
          <w:color w:val="auto"/>
        </w:rPr>
      </w:pPr>
    </w:p>
    <w:p>
      <w:pPr>
        <w:ind w:left="420" w:hanging="131"/>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make meaningful period-to-period comparisons of the Company’s ongoing results;</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identify trends in the Company’s underlying business; and</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better understanding of how management plans and measures the Company’s underlying business.</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Income from continuing operations excluding certain items and net income excluding certain items should not be considered substitutes or alternatives computations calculated in accordance with and required by GAAP. These non-GAAP financial measures should be read only in conjunction with finan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non-GAAP financial measures to the most directly comparable GAAP measures: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right"/>
              <w:ind w:right="427"/>
              <w:spacing w:after="0"/>
              <w:rPr>
                <w:sz w:val="20"/>
                <w:szCs w:val="20"/>
                <w:color w:val="auto"/>
              </w:rPr>
            </w:pPr>
            <w:r>
              <w:rPr>
                <w:rFonts w:ascii="Arial" w:cs="Arial" w:eastAsia="Arial" w:hAnsi="Arial"/>
                <w:sz w:val="12"/>
                <w:szCs w:val="12"/>
                <w:b w:val="1"/>
                <w:bCs w:val="1"/>
                <w:color w:val="auto"/>
              </w:rPr>
              <w:t>First Quarter</w:t>
            </w:r>
          </w:p>
        </w:tc>
        <w:tc>
          <w:tcPr>
            <w:tcW w:w="0" w:type="dxa"/>
            <w:vAlign w:val="bottom"/>
          </w:tcPr>
          <w:p>
            <w:pPr>
              <w:spacing w:after="0"/>
              <w:rPr>
                <w:sz w:val="1"/>
                <w:szCs w:val="1"/>
                <w:color w:val="auto"/>
              </w:rPr>
            </w:pPr>
          </w:p>
        </w:tc>
      </w:tr>
      <w:tr>
        <w:trPr>
          <w:trHeight w:val="129"/>
        </w:trPr>
        <w:tc>
          <w:tcPr>
            <w:tcW w:w="87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07"/>
              <w:spacing w:after="0" w:line="129" w:lineRule="exact"/>
              <w:rPr>
                <w:sz w:val="20"/>
                <w:szCs w:val="20"/>
                <w:color w:val="auto"/>
              </w:rPr>
            </w:pPr>
            <w:r>
              <w:rPr>
                <w:rFonts w:ascii="Arial" w:cs="Arial" w:eastAsia="Arial" w:hAnsi="Arial"/>
                <w:sz w:val="12"/>
                <w:szCs w:val="12"/>
                <w:b w:val="1"/>
                <w:bCs w:val="1"/>
                <w:color w:val="auto"/>
              </w:rPr>
              <w:t>2012</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8"/>
        </w:trPr>
        <w:tc>
          <w:tcPr>
            <w:tcW w:w="8700" w:type="dxa"/>
            <w:vAlign w:val="bottom"/>
          </w:tcPr>
          <w:p>
            <w:pPr>
              <w:spacing w:after="0" w:line="168" w:lineRule="exact"/>
              <w:rPr>
                <w:sz w:val="20"/>
                <w:szCs w:val="20"/>
                <w:color w:val="auto"/>
              </w:rPr>
            </w:pPr>
            <w:r>
              <w:rPr>
                <w:rFonts w:ascii="Arial" w:cs="Arial" w:eastAsia="Arial" w:hAnsi="Arial"/>
                <w:sz w:val="15"/>
                <w:szCs w:val="15"/>
                <w:b w:val="1"/>
                <w:bCs w:val="1"/>
                <w:color w:val="auto"/>
              </w:rPr>
              <w:t>Amounts Attributable to The Washington Post Company Common Stockholders:</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rPr>
              <w:t>10,830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tcPr>
          <w:p>
            <w:pPr>
              <w:spacing w:after="0"/>
              <w:rPr>
                <w:sz w:val="20"/>
                <w:szCs w:val="20"/>
                <w:color w:val="auto"/>
              </w:rPr>
            </w:pPr>
            <w:r>
              <w:rPr>
                <w:rFonts w:ascii="Arial" w:cs="Arial" w:eastAsia="Arial" w:hAnsi="Arial"/>
                <w:sz w:val="15"/>
                <w:szCs w:val="15"/>
                <w:color w:val="auto"/>
              </w:rPr>
              <w:t>Income from continuing operations, as reported</w:t>
            </w:r>
          </w:p>
        </w:tc>
        <w:tc>
          <w:tcPr>
            <w:tcW w:w="3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700" w:type="dxa"/>
            <w:vAlign w:val="bottom"/>
          </w:tcPr>
          <w:p>
            <w:pPr>
              <w:spacing w:after="0" w:line="167" w:lineRule="exact"/>
              <w:rPr>
                <w:sz w:val="20"/>
                <w:szCs w:val="20"/>
                <w:color w:val="auto"/>
              </w:rPr>
            </w:pPr>
            <w:r>
              <w:rPr>
                <w:rFonts w:ascii="Arial" w:cs="Arial" w:eastAsia="Arial" w:hAnsi="Arial"/>
                <w:sz w:val="15"/>
                <w:szCs w:val="15"/>
                <w:color w:val="auto"/>
              </w:rPr>
              <w:t>Net income, as reported</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31,047</w:t>
            </w:r>
          </w:p>
        </w:tc>
        <w:tc>
          <w:tcPr>
            <w:tcW w:w="900" w:type="dxa"/>
            <w:vAlign w:val="bottom"/>
            <w:tcBorders>
              <w:bottom w:val="single" w:sz="8" w:color="auto"/>
            </w:tcBorders>
          </w:tcPr>
          <w:p>
            <w:pPr>
              <w:jc w:val="right"/>
              <w:ind w:right="607"/>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Severance and restructuring charges</w:t>
            </w:r>
          </w:p>
        </w:tc>
        <w:tc>
          <w:tcPr>
            <w:tcW w:w="3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b w:val="1"/>
                <w:bCs w:val="1"/>
                <w:color w:val="auto"/>
              </w:rPr>
              <w:t>1,193</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Gain on sales of cost method investments</w:t>
            </w:r>
          </w:p>
        </w:tc>
        <w:tc>
          <w:tcPr>
            <w:tcW w:w="3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b w:val="1"/>
                <w:bCs w:val="1"/>
                <w:color w:val="auto"/>
              </w:rPr>
              <w:t>(3,657)</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Marketable equity securities write-down</w:t>
            </w:r>
          </w:p>
        </w:tc>
        <w:tc>
          <w:tcPr>
            <w:tcW w:w="3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700" w:type="dxa"/>
            <w:vAlign w:val="bottom"/>
          </w:tcPr>
          <w:p>
            <w:pPr>
              <w:ind w:left="460"/>
              <w:spacing w:after="0"/>
              <w:rPr>
                <w:sz w:val="20"/>
                <w:szCs w:val="20"/>
                <w:color w:val="auto"/>
              </w:rPr>
            </w:pPr>
            <w:r>
              <w:rPr>
                <w:rFonts w:ascii="Arial" w:cs="Arial" w:eastAsia="Arial" w:hAnsi="Arial"/>
                <w:sz w:val="15"/>
                <w:szCs w:val="15"/>
                <w:color w:val="auto"/>
              </w:rPr>
              <w:t>Foreign currency gain</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(1,676)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700" w:type="dxa"/>
            <w:vAlign w:val="bottom"/>
          </w:tcPr>
          <w:p>
            <w:pPr>
              <w:spacing w:after="0" w:line="167" w:lineRule="exact"/>
              <w:rPr>
                <w:sz w:val="20"/>
                <w:szCs w:val="20"/>
                <w:color w:val="auto"/>
              </w:rPr>
            </w:pPr>
            <w:r>
              <w:rPr>
                <w:rFonts w:ascii="Arial" w:cs="Arial" w:eastAsia="Arial" w:hAnsi="Arial"/>
                <w:sz w:val="15"/>
                <w:szCs w:val="15"/>
                <w:color w:val="auto"/>
              </w:rPr>
              <w:t>Income from continuing operations, adjusted (non-GAAP)</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6,690</w:t>
            </w:r>
          </w:p>
        </w:tc>
        <w:tc>
          <w:tcPr>
            <w:tcW w:w="900" w:type="dxa"/>
            <w:vAlign w:val="bottom"/>
            <w:tcBorders>
              <w:bottom w:val="single" w:sz="8" w:color="auto"/>
            </w:tcBorders>
          </w:tcPr>
          <w:p>
            <w:pPr>
              <w:jc w:val="right"/>
              <w:ind w:right="607"/>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700" w:type="dxa"/>
            <w:vAlign w:val="bottom"/>
          </w:tcPr>
          <w:p>
            <w:pPr>
              <w:spacing w:after="0" w:line="167" w:lineRule="exact"/>
              <w:rPr>
                <w:sz w:val="20"/>
                <w:szCs w:val="20"/>
                <w:color w:val="auto"/>
              </w:rPr>
            </w:pPr>
            <w:r>
              <w:rPr>
                <w:rFonts w:ascii="Arial" w:cs="Arial" w:eastAsia="Arial" w:hAnsi="Arial"/>
                <w:sz w:val="15"/>
                <w:szCs w:val="15"/>
                <w:color w:val="auto"/>
              </w:rPr>
              <w:t>Net income, adjusted (non-GAAP)</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26,907</w:t>
            </w:r>
          </w:p>
        </w:tc>
        <w:tc>
          <w:tcPr>
            <w:tcW w:w="900" w:type="dxa"/>
            <w:vAlign w:val="bottom"/>
            <w:tcBorders>
              <w:bottom w:val="single" w:sz="8" w:color="auto"/>
            </w:tcBorders>
          </w:tcPr>
          <w:p>
            <w:pPr>
              <w:jc w:val="right"/>
              <w:ind w:right="607"/>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6"/>
        </w:trPr>
        <w:tc>
          <w:tcPr>
            <w:tcW w:w="870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The Washington Post Company Common Stockholders:</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rPr>
              <w:t>1.37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70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 as reported</w:t>
            </w:r>
          </w:p>
        </w:tc>
        <w:tc>
          <w:tcPr>
            <w:tcW w:w="3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70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 as reported</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4.07</w:t>
            </w:r>
          </w:p>
        </w:tc>
        <w:tc>
          <w:tcPr>
            <w:tcW w:w="900" w:type="dxa"/>
            <w:vAlign w:val="bottom"/>
            <w:tcBorders>
              <w:bottom w:val="single" w:sz="8" w:color="auto"/>
            </w:tcBorders>
          </w:tcPr>
          <w:p>
            <w:pPr>
              <w:jc w:val="right"/>
              <w:ind w:right="607"/>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Severance and restructuring charges</w:t>
            </w:r>
          </w:p>
        </w:tc>
        <w:tc>
          <w:tcPr>
            <w:tcW w:w="3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b w:val="1"/>
                <w:bCs w:val="1"/>
                <w:color w:val="auto"/>
              </w:rPr>
              <w:t>0.16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Gain on sales of cost method investments</w:t>
            </w:r>
          </w:p>
        </w:tc>
        <w:tc>
          <w:tcPr>
            <w:tcW w:w="3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b w:val="1"/>
                <w:bCs w:val="1"/>
                <w:color w:val="auto"/>
              </w:rPr>
              <w:t>(0.48)</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Marketable equity securities write-down</w:t>
            </w:r>
          </w:p>
        </w:tc>
        <w:tc>
          <w:tcPr>
            <w:tcW w:w="3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700" w:type="dxa"/>
            <w:vAlign w:val="bottom"/>
          </w:tcPr>
          <w:p>
            <w:pPr>
              <w:ind w:left="460"/>
              <w:spacing w:after="0"/>
              <w:rPr>
                <w:sz w:val="20"/>
                <w:szCs w:val="20"/>
                <w:color w:val="auto"/>
              </w:rPr>
            </w:pPr>
            <w:r>
              <w:rPr>
                <w:rFonts w:ascii="Arial" w:cs="Arial" w:eastAsia="Arial" w:hAnsi="Arial"/>
                <w:sz w:val="15"/>
                <w:szCs w:val="15"/>
                <w:color w:val="auto"/>
              </w:rPr>
              <w:t>Foreign currency gain</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(0.22)</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700" w:type="dxa"/>
            <w:vAlign w:val="bottom"/>
          </w:tcPr>
          <w:p>
            <w:pPr>
              <w:spacing w:after="0" w:line="167" w:lineRule="exact"/>
              <w:rPr>
                <w:sz w:val="20"/>
                <w:szCs w:val="20"/>
                <w:color w:val="auto"/>
              </w:rPr>
            </w:pPr>
            <w:r>
              <w:rPr>
                <w:rFonts w:ascii="Arial" w:cs="Arial" w:eastAsia="Arial" w:hAnsi="Arial"/>
                <w:sz w:val="15"/>
                <w:szCs w:val="15"/>
                <w:color w:val="auto"/>
              </w:rPr>
              <w:t>Diluted income per common share from continuing operations, adjusted (non-GAAP)</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0.83</w:t>
            </w:r>
          </w:p>
        </w:tc>
        <w:tc>
          <w:tcPr>
            <w:tcW w:w="900" w:type="dxa"/>
            <w:vAlign w:val="bottom"/>
            <w:tcBorders>
              <w:bottom w:val="single" w:sz="8" w:color="auto"/>
            </w:tcBorders>
          </w:tcPr>
          <w:p>
            <w:pPr>
              <w:jc w:val="right"/>
              <w:ind w:right="607"/>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70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 adjusted (non-GAAP)</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3.53</w:t>
            </w:r>
          </w:p>
        </w:tc>
        <w:tc>
          <w:tcPr>
            <w:tcW w:w="900" w:type="dxa"/>
            <w:vAlign w:val="bottom"/>
            <w:tcBorders>
              <w:bottom w:val="single" w:sz="8" w:color="auto"/>
            </w:tcBorders>
          </w:tcPr>
          <w:p>
            <w:pPr>
              <w:jc w:val="right"/>
              <w:ind w:right="607"/>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3"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183515</wp:posOffset>
            </wp:positionV>
            <wp:extent cx="727837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76" w:right="1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2019-12-09T08:29:18Z</dcterms:created>
  <dcterms:modified xsi:type="dcterms:W3CDTF">2019-12-09T08:29:18Z</dcterms:modified>
</cp:coreProperties>
</file>