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Goldberg David Bruce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360 WEST 4800 NORTH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Graham Holdings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PROVO</w:t>
            </w:r>
          </w:p>
        </w:tc>
        <w:tc>
          <w:tcPr>
            <w:tcW w:w="1180" w:type="dxa"/>
            <w:vAlign w:val="bottom"/>
          </w:tcPr>
          <w:p>
            <w:pPr>
              <w:ind w:left="340"/>
              <w:spacing w:after="0"/>
              <w:rPr>
                <w:sz w:val="20"/>
                <w:szCs w:val="20"/>
                <w:color w:val="auto"/>
              </w:rPr>
            </w:pPr>
            <w:r>
              <w:rPr>
                <w:rFonts w:ascii="Arial" w:cs="Arial" w:eastAsia="Arial" w:hAnsi="Arial"/>
                <w:sz w:val="18"/>
                <w:szCs w:val="18"/>
                <w:color w:val="0000FF"/>
              </w:rPr>
              <w:t>UT</w:t>
            </w:r>
          </w:p>
        </w:tc>
        <w:tc>
          <w:tcPr>
            <w:tcW w:w="1680" w:type="dxa"/>
            <w:vAlign w:val="bottom"/>
          </w:tcPr>
          <w:p>
            <w:pPr>
              <w:ind w:left="420"/>
              <w:spacing w:after="0"/>
              <w:rPr>
                <w:sz w:val="20"/>
                <w:szCs w:val="20"/>
                <w:color w:val="auto"/>
              </w:rPr>
            </w:pPr>
            <w:r>
              <w:rPr>
                <w:rFonts w:ascii="Arial" w:cs="Arial" w:eastAsia="Arial" w:hAnsi="Arial"/>
                <w:sz w:val="18"/>
                <w:szCs w:val="18"/>
                <w:color w:val="0000FF"/>
              </w:rPr>
              <w:t>84604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00" w:type="dxa"/>
            <w:vAlign w:val="bottom"/>
            <w:gridSpan w:val="2"/>
            <w:vMerge w:val="restart"/>
          </w:tcPr>
          <w:p>
            <w:pPr>
              <w:ind w:left="660"/>
              <w:spacing w:after="0"/>
              <w:rPr>
                <w:sz w:val="20"/>
                <w:szCs w:val="20"/>
                <w:color w:val="auto"/>
              </w:rPr>
            </w:pPr>
            <w:r>
              <w:rPr>
                <w:rFonts w:ascii="Arial" w:cs="Arial" w:eastAsia="Arial" w:hAnsi="Arial"/>
                <w:sz w:val="18"/>
                <w:szCs w:val="18"/>
                <w:color w:val="0000FF"/>
              </w:rPr>
              <w:t>05/09/2014</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298"/>
              <w:spacing w:after="0"/>
              <w:rPr>
                <w:sz w:val="20"/>
                <w:szCs w:val="20"/>
                <w:color w:val="auto"/>
              </w:rPr>
            </w:pPr>
            <w:r>
              <w:rPr>
                <w:rFonts w:ascii="Arial" w:cs="Arial" w:eastAsia="Arial" w:hAnsi="Arial"/>
                <w:sz w:val="14"/>
                <w:szCs w:val="14"/>
                <w:color w:val="0000FF"/>
                <w:w w:val="85"/>
              </w:rPr>
              <w:t>P</w:t>
            </w:r>
          </w:p>
        </w:tc>
        <w:tc>
          <w:tcPr>
            <w:tcW w:w="760" w:type="dxa"/>
            <w:vAlign w:val="bottom"/>
            <w:vMerge w:val="restart"/>
          </w:tcPr>
          <w:p>
            <w:pPr>
              <w:ind w:left="280"/>
              <w:spacing w:after="0"/>
              <w:rPr>
                <w:sz w:val="20"/>
                <w:szCs w:val="20"/>
                <w:color w:val="auto"/>
              </w:rPr>
            </w:pPr>
            <w:r>
              <w:rPr>
                <w:rFonts w:ascii="Arial" w:cs="Arial" w:eastAsia="Arial" w:hAnsi="Arial"/>
                <w:sz w:val="18"/>
                <w:szCs w:val="18"/>
                <w:color w:val="0000FF"/>
              </w:rPr>
              <w:t>410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663.29</w:t>
            </w:r>
            <w:r>
              <w:rPr>
                <w:rFonts w:ascii="Arial" w:cs="Arial" w:eastAsia="Arial" w:hAnsi="Arial"/>
                <w:sz w:val="22"/>
                <w:szCs w:val="22"/>
                <w:color w:val="008000"/>
                <w:w w:val="91"/>
                <w:vertAlign w:val="superscript"/>
              </w:rPr>
              <w:t>(1)</w:t>
            </w:r>
          </w:p>
        </w:tc>
        <w:tc>
          <w:tcPr>
            <w:tcW w:w="360" w:type="dxa"/>
            <w:vAlign w:val="bottom"/>
          </w:tcPr>
          <w:p>
            <w:pPr>
              <w:spacing w:after="0"/>
              <w:rPr>
                <w:sz w:val="22"/>
                <w:szCs w:val="22"/>
                <w:color w:val="auto"/>
              </w:rPr>
            </w:pPr>
          </w:p>
        </w:tc>
        <w:tc>
          <w:tcPr>
            <w:tcW w:w="860" w:type="dxa"/>
            <w:vAlign w:val="bottom"/>
            <w:vMerge w:val="restart"/>
          </w:tcPr>
          <w:p>
            <w:pPr>
              <w:jc w:val="center"/>
              <w:ind w:right="332"/>
              <w:spacing w:after="0"/>
              <w:rPr>
                <w:sz w:val="20"/>
                <w:szCs w:val="20"/>
                <w:color w:val="auto"/>
              </w:rPr>
            </w:pPr>
            <w:r>
              <w:rPr>
                <w:rFonts w:ascii="Arial" w:cs="Arial" w:eastAsia="Arial" w:hAnsi="Arial"/>
                <w:sz w:val="18"/>
                <w:szCs w:val="18"/>
                <w:color w:val="0000FF"/>
                <w:w w:val="86"/>
              </w:rPr>
              <w:t>410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00" w:type="dxa"/>
            <w:vAlign w:val="bottom"/>
            <w:gridSpan w:val="2"/>
            <w:vMerge w:val="restart"/>
          </w:tcPr>
          <w:p>
            <w:pPr>
              <w:ind w:left="660"/>
              <w:spacing w:after="0"/>
              <w:rPr>
                <w:sz w:val="20"/>
                <w:szCs w:val="20"/>
                <w:color w:val="auto"/>
              </w:rPr>
            </w:pPr>
            <w:r>
              <w:rPr>
                <w:rFonts w:ascii="Arial" w:cs="Arial" w:eastAsia="Arial" w:hAnsi="Arial"/>
                <w:sz w:val="18"/>
                <w:szCs w:val="18"/>
                <w:color w:val="0000FF"/>
              </w:rPr>
              <w:t>05/09/2014</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298"/>
              <w:spacing w:after="0"/>
              <w:rPr>
                <w:sz w:val="20"/>
                <w:szCs w:val="20"/>
                <w:color w:val="auto"/>
              </w:rPr>
            </w:pPr>
            <w:r>
              <w:rPr>
                <w:rFonts w:ascii="Arial" w:cs="Arial" w:eastAsia="Arial" w:hAnsi="Arial"/>
                <w:sz w:val="14"/>
                <w:szCs w:val="14"/>
                <w:color w:val="0000FF"/>
                <w:w w:val="85"/>
              </w:rPr>
              <w:t>P</w:t>
            </w:r>
          </w:p>
        </w:tc>
        <w:tc>
          <w:tcPr>
            <w:tcW w:w="760" w:type="dxa"/>
            <w:vAlign w:val="bottom"/>
            <w:vMerge w:val="restart"/>
          </w:tcPr>
          <w:p>
            <w:pPr>
              <w:ind w:left="280"/>
              <w:spacing w:after="0"/>
              <w:rPr>
                <w:sz w:val="20"/>
                <w:szCs w:val="20"/>
                <w:color w:val="auto"/>
              </w:rPr>
            </w:pPr>
            <w:r>
              <w:rPr>
                <w:rFonts w:ascii="Arial" w:cs="Arial" w:eastAsia="Arial" w:hAnsi="Arial"/>
                <w:sz w:val="18"/>
                <w:szCs w:val="18"/>
                <w:color w:val="0000FF"/>
              </w:rPr>
              <w:t>300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665.64</w:t>
            </w:r>
            <w:r>
              <w:rPr>
                <w:rFonts w:ascii="Arial" w:cs="Arial" w:eastAsia="Arial" w:hAnsi="Arial"/>
                <w:sz w:val="22"/>
                <w:szCs w:val="22"/>
                <w:color w:val="008000"/>
                <w:w w:val="91"/>
                <w:vertAlign w:val="superscript"/>
              </w:rPr>
              <w:t>(2)</w:t>
            </w:r>
          </w:p>
        </w:tc>
        <w:tc>
          <w:tcPr>
            <w:tcW w:w="360" w:type="dxa"/>
            <w:vAlign w:val="bottom"/>
          </w:tcPr>
          <w:p>
            <w:pPr>
              <w:spacing w:after="0"/>
              <w:rPr>
                <w:sz w:val="22"/>
                <w:szCs w:val="22"/>
                <w:color w:val="auto"/>
              </w:rPr>
            </w:pPr>
          </w:p>
        </w:tc>
        <w:tc>
          <w:tcPr>
            <w:tcW w:w="860" w:type="dxa"/>
            <w:vAlign w:val="bottom"/>
            <w:vMerge w:val="restart"/>
          </w:tcPr>
          <w:p>
            <w:pPr>
              <w:jc w:val="center"/>
              <w:ind w:right="332"/>
              <w:spacing w:after="0"/>
              <w:rPr>
                <w:sz w:val="20"/>
                <w:szCs w:val="20"/>
                <w:color w:val="auto"/>
              </w:rPr>
            </w:pPr>
            <w:r>
              <w:rPr>
                <w:rFonts w:ascii="Arial" w:cs="Arial" w:eastAsia="Arial" w:hAnsi="Arial"/>
                <w:sz w:val="18"/>
                <w:szCs w:val="18"/>
                <w:color w:val="0000FF"/>
                <w:w w:val="86"/>
              </w:rPr>
              <w:t>710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00" w:type="dxa"/>
            <w:vAlign w:val="bottom"/>
            <w:gridSpan w:val="2"/>
            <w:vMerge w:val="restart"/>
          </w:tcPr>
          <w:p>
            <w:pPr>
              <w:ind w:left="660"/>
              <w:spacing w:after="0"/>
              <w:rPr>
                <w:sz w:val="20"/>
                <w:szCs w:val="20"/>
                <w:color w:val="auto"/>
              </w:rPr>
            </w:pPr>
            <w:r>
              <w:rPr>
                <w:rFonts w:ascii="Arial" w:cs="Arial" w:eastAsia="Arial" w:hAnsi="Arial"/>
                <w:sz w:val="18"/>
                <w:szCs w:val="18"/>
                <w:color w:val="0000FF"/>
              </w:rPr>
              <w:t>05/09/2014</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298"/>
              <w:spacing w:after="0"/>
              <w:rPr>
                <w:sz w:val="20"/>
                <w:szCs w:val="20"/>
                <w:color w:val="auto"/>
              </w:rPr>
            </w:pPr>
            <w:r>
              <w:rPr>
                <w:rFonts w:ascii="Arial" w:cs="Arial" w:eastAsia="Arial" w:hAnsi="Arial"/>
                <w:sz w:val="14"/>
                <w:szCs w:val="14"/>
                <w:color w:val="0000FF"/>
                <w:w w:val="85"/>
              </w:rPr>
              <w:t>P</w:t>
            </w:r>
          </w:p>
        </w:tc>
        <w:tc>
          <w:tcPr>
            <w:tcW w:w="760" w:type="dxa"/>
            <w:vAlign w:val="bottom"/>
            <w:vMerge w:val="restart"/>
          </w:tcPr>
          <w:p>
            <w:pPr>
              <w:ind w:left="280"/>
              <w:spacing w:after="0"/>
              <w:rPr>
                <w:sz w:val="20"/>
                <w:szCs w:val="20"/>
                <w:color w:val="auto"/>
              </w:rPr>
            </w:pPr>
            <w:r>
              <w:rPr>
                <w:rFonts w:ascii="Arial" w:cs="Arial" w:eastAsia="Arial" w:hAnsi="Arial"/>
                <w:sz w:val="18"/>
                <w:szCs w:val="18"/>
                <w:color w:val="0000FF"/>
              </w:rPr>
              <w:t>290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666.35</w:t>
            </w:r>
            <w:r>
              <w:rPr>
                <w:rFonts w:ascii="Arial" w:cs="Arial" w:eastAsia="Arial" w:hAnsi="Arial"/>
                <w:sz w:val="22"/>
                <w:szCs w:val="22"/>
                <w:color w:val="008000"/>
                <w:w w:val="91"/>
                <w:vertAlign w:val="superscript"/>
              </w:rPr>
              <w:t>(3)</w:t>
            </w:r>
          </w:p>
        </w:tc>
        <w:tc>
          <w:tcPr>
            <w:tcW w:w="360" w:type="dxa"/>
            <w:vAlign w:val="bottom"/>
          </w:tcPr>
          <w:p>
            <w:pPr>
              <w:spacing w:after="0"/>
              <w:rPr>
                <w:sz w:val="22"/>
                <w:szCs w:val="22"/>
                <w:color w:val="auto"/>
              </w:rPr>
            </w:pPr>
          </w:p>
        </w:tc>
        <w:tc>
          <w:tcPr>
            <w:tcW w:w="86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8"/>
              </w:rPr>
              <w:t>1,000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jc w:val="center"/>
              <w:ind w:left="48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$663.00 to $663.82, inclusive. The reporting person undertakes to provide to Graham Holdings Company, any security holder of Graham Holdings Company, or the staff of the Securities and Exchange Commission, upon request, full information regarding the number of shares purchased at each separate price within the ranges set forth in footnotes (1),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$665.24 to $665.99,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$666.08 to $666.49,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Veronica Dillon for David</w:t>
            </w:r>
          </w:p>
        </w:tc>
        <w:tc>
          <w:tcPr>
            <w:tcW w:w="12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05/13/2014</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Goldberg</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u w:val="single" w:color="auto"/>
          <w:color w:val="auto"/>
        </w:rPr>
        <w:t>Power of Attorney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Reports Under Section 16(a)</w:t>
      </w:r>
    </w:p>
    <w:p>
      <w:pPr>
        <w:jc w:val="center"/>
        <w:ind w:right="-19"/>
        <w:spacing w:after="0"/>
        <w:rPr>
          <w:sz w:val="20"/>
          <w:szCs w:val="20"/>
          <w:color w:val="auto"/>
        </w:rPr>
      </w:pPr>
      <w:r>
        <w:rPr>
          <w:rFonts w:ascii="Arial" w:cs="Arial" w:eastAsia="Arial" w:hAnsi="Arial"/>
          <w:sz w:val="18"/>
          <w:szCs w:val="18"/>
          <w:u w:val="single" w:color="auto"/>
          <w:color w:val="auto"/>
        </w:rPr>
        <w:t>of the Securities Exchange Act of 1934</w:t>
      </w:r>
    </w:p>
    <w:p>
      <w:pPr>
        <w:spacing w:after="0" w:line="200" w:lineRule="exact"/>
        <w:rPr>
          <w:sz w:val="20"/>
          <w:szCs w:val="20"/>
          <w:color w:val="auto"/>
        </w:rPr>
      </w:pPr>
    </w:p>
    <w:p>
      <w:pPr>
        <w:spacing w:after="0" w:line="28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KNOW ALL MEN BY THESE PRESENTS that the undersigned, a director, executive officer or beneficial owner of more than ten percent of the equity securities of The Washington Post Company, a Delaware corporation (hereinafter called the “Company”), hereby appoints VERONICA DILLON, WALLACE COONEY, HAL S. JONES and DANIEL J. LYNCH, and each of them, the undersigned’s true and lawful attorneys-in-fact and agents with full power to act without the other and with full power of substitution and re-substitution, to execute, deliver and file, for the undersigned and in the undersigned’s name, place and stead, any and all statements, reports and forms, and any and all amendments and supplements thereto, required to be filed with the Securities and Exchange Commission under Section 16(a) of the Securities Exchange Act of 1934 and the rules and regulations adopted thereunder, in each case as the same may be amended from time to time, with respect to the ownership and changes in ownership of equity securities of the Company and derivatives of such equity securities, hereby granting to said attorneys-in-fact and agents, and each of them, full power and authority to do and perform each and every act and thing requisite and necessary to be done in and about the premises as fully and to all intents and purposes as the undersigned might or could do in person, hereby ratifying and confirming all that said attorneys-in-fact or agents or any of them, or their substitute or substitutes, may lawfully do or cause to be done by virtue hereof.</w:t>
      </w:r>
    </w:p>
    <w:p>
      <w:pPr>
        <w:spacing w:after="0" w:line="23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0"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(i) earlier revoked by the undersigned in a signed writing delivered to the foregoing attorneys-in-fact, or (ii) with respect to each individual attorney-in-fact, upon their retirement or termination of employment with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13, 2012</w:t>
      </w:r>
    </w:p>
    <w:p>
      <w:pPr>
        <w:spacing w:after="0" w:line="200" w:lineRule="exact"/>
        <w:rPr>
          <w:sz w:val="20"/>
          <w:szCs w:val="20"/>
          <w:color w:val="auto"/>
        </w:rPr>
      </w:pPr>
    </w:p>
    <w:p>
      <w:pPr>
        <w:spacing w:after="0" w:line="28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/s/ David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-1905</wp:posOffset>
            </wp:positionV>
            <wp:extent cx="19297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29765" cy="17145"/>
                    </a:xfrm>
                    <a:prstGeom prst="rect">
                      <a:avLst/>
                    </a:prstGeom>
                    <a:noFill/>
                  </pic:spPr>
                </pic:pic>
              </a:graphicData>
            </a:graphic>
          </wp:anchor>
        </w:drawing>
      </w:r>
    </w:p>
    <w:p>
      <w:pPr>
        <w:spacing w:after="0" w:line="3"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David Goldberg</w:t>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2933"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2019-12-17T06:24:36Z</dcterms:created>
  <dcterms:modified xsi:type="dcterms:W3CDTF">2019-12-17T06:24:36Z</dcterms:modified>
</cp:coreProperties>
</file>