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23, 2018</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158"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537210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23, 2018, Graham Holdings Company issued a press release announcing the Company’s earnings for the fourth quarter and year ended December 31, 2017.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February 23,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rPr>
          <w:sz w:val="20"/>
          <w:szCs w:val="20"/>
          <w:color w:val="auto"/>
        </w:rPr>
      </w:pPr>
      <w:r>
        <w:rPr>
          <w:rFonts w:ascii="Arial" w:cs="Arial" w:eastAsia="Arial" w:hAnsi="Arial"/>
          <w:sz w:val="18"/>
          <w:szCs w:val="18"/>
          <w:color w:val="auto"/>
        </w:rPr>
        <w:t>Senior Vice President–Finance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469265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February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500" w:type="dxa"/>
            <w:vAlign w:val="bottom"/>
            <w:gridSpan w:val="2"/>
          </w:tcPr>
          <w:p>
            <w:pPr>
              <w:ind w:left="150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3220" w:type="dxa"/>
            <w:vAlign w:val="bottom"/>
          </w:tcPr>
          <w:p>
            <w:pPr>
              <w:jc w:val="right"/>
              <w:ind w:right="592"/>
              <w:spacing w:after="0"/>
              <w:rPr>
                <w:sz w:val="20"/>
                <w:szCs w:val="20"/>
                <w:color w:val="auto"/>
              </w:rPr>
            </w:pPr>
            <w:r>
              <w:rPr>
                <w:rFonts w:ascii="Arial" w:cs="Arial" w:eastAsia="Arial" w:hAnsi="Arial"/>
                <w:sz w:val="18"/>
                <w:szCs w:val="18"/>
                <w:color w:val="auto"/>
                <w:w w:val="98"/>
              </w:rPr>
              <w:t>Contact:Wallace R. Cooney</w:t>
            </w:r>
          </w:p>
        </w:tc>
        <w:tc>
          <w:tcPr>
            <w:tcW w:w="566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For Immediate Release</w:t>
            </w:r>
          </w:p>
        </w:tc>
        <w:tc>
          <w:tcPr>
            <w:tcW w:w="620" w:type="dxa"/>
            <w:vAlign w:val="bottom"/>
          </w:tcPr>
          <w:p>
            <w:pPr>
              <w:spacing w:after="0"/>
              <w:rPr>
                <w:sz w:val="24"/>
                <w:szCs w:val="24"/>
                <w:color w:val="auto"/>
              </w:rPr>
            </w:pPr>
          </w:p>
        </w:tc>
      </w:tr>
      <w:tr>
        <w:trPr>
          <w:trHeight w:val="291"/>
        </w:trPr>
        <w:tc>
          <w:tcPr>
            <w:tcW w:w="3220" w:type="dxa"/>
            <w:vAlign w:val="bottom"/>
          </w:tcPr>
          <w:p>
            <w:pPr>
              <w:jc w:val="right"/>
              <w:ind w:right="892"/>
              <w:spacing w:after="0"/>
              <w:rPr>
                <w:sz w:val="20"/>
                <w:szCs w:val="20"/>
                <w:color w:val="auto"/>
              </w:rPr>
            </w:pPr>
            <w:r>
              <w:rPr>
                <w:rFonts w:ascii="Arial" w:cs="Arial" w:eastAsia="Arial" w:hAnsi="Arial"/>
                <w:sz w:val="18"/>
                <w:szCs w:val="18"/>
                <w:color w:val="auto"/>
              </w:rPr>
              <w:t>(703) 345-6470</w:t>
            </w:r>
          </w:p>
        </w:tc>
        <w:tc>
          <w:tcPr>
            <w:tcW w:w="5660" w:type="dxa"/>
            <w:vAlign w:val="bottom"/>
          </w:tcPr>
          <w:p>
            <w:pPr>
              <w:spacing w:after="0"/>
              <w:rPr>
                <w:sz w:val="24"/>
                <w:szCs w:val="24"/>
                <w:color w:val="auto"/>
              </w:rPr>
            </w:pPr>
          </w:p>
        </w:tc>
        <w:tc>
          <w:tcPr>
            <w:tcW w:w="2500" w:type="dxa"/>
            <w:vAlign w:val="bottom"/>
            <w:gridSpan w:val="2"/>
          </w:tcPr>
          <w:p>
            <w:pPr>
              <w:jc w:val="center"/>
              <w:ind w:right="580"/>
              <w:spacing w:after="0"/>
              <w:rPr>
                <w:sz w:val="20"/>
                <w:szCs w:val="20"/>
                <w:color w:val="auto"/>
              </w:rPr>
            </w:pPr>
            <w:r>
              <w:rPr>
                <w:rFonts w:ascii="Arial" w:cs="Arial" w:eastAsia="Arial" w:hAnsi="Arial"/>
                <w:sz w:val="18"/>
                <w:szCs w:val="18"/>
                <w:color w:val="auto"/>
              </w:rPr>
              <w:t>February 23, 2018</w:t>
            </w:r>
          </w:p>
        </w:tc>
      </w:tr>
      <w:tr>
        <w:trPr>
          <w:trHeight w:val="513"/>
        </w:trPr>
        <w:tc>
          <w:tcPr>
            <w:tcW w:w="3220" w:type="dxa"/>
            <w:vAlign w:val="bottom"/>
          </w:tcPr>
          <w:p>
            <w:pPr>
              <w:spacing w:after="0"/>
              <w:rPr>
                <w:sz w:val="24"/>
                <w:szCs w:val="24"/>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w w:val="99"/>
              </w:rPr>
              <w:t>GRAHAM HOLDINGS COMPANY REPORTS</w:t>
            </w:r>
          </w:p>
        </w:tc>
      </w:tr>
      <w:tr>
        <w:trPr>
          <w:trHeight w:val="270"/>
        </w:trPr>
        <w:tc>
          <w:tcPr>
            <w:tcW w:w="3220" w:type="dxa"/>
            <w:vAlign w:val="bottom"/>
          </w:tcPr>
          <w:p>
            <w:pPr>
              <w:spacing w:after="0"/>
              <w:rPr>
                <w:sz w:val="23"/>
                <w:szCs w:val="23"/>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rPr>
              <w:t>2017 AND FOURTH QUARTER EARNINGS</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$302.0 million</w:t>
      </w:r>
    </w:p>
    <w:p>
      <w:pPr>
        <w:ind w:right="300"/>
        <w:spacing w:after="0" w:line="227" w:lineRule="auto"/>
        <w:rPr>
          <w:sz w:val="20"/>
          <w:szCs w:val="20"/>
          <w:color w:val="auto"/>
        </w:rPr>
      </w:pPr>
      <w:r>
        <w:rPr>
          <w:rFonts w:ascii="Arial" w:cs="Arial" w:eastAsia="Arial" w:hAnsi="Arial"/>
          <w:sz w:val="18"/>
          <w:szCs w:val="18"/>
          <w:color w:val="auto"/>
        </w:rPr>
        <w:t>($53.89 per share) for the year ended December 31, 2017, compared to $168.6 million ($29.80 per share) for the year ended December 31, 2016. For the fourth quarter of 2017, the Company reported net income attributable to common shares of $214.2 million ($38.52 per share), compared to $36.9 million ($6.57 per share) for the same period of 2016. The Company’s results for 2017 and the fourth quarter of 2017 include a significant net deferred income tax benefit related to the Tax Cuts and Jobs Act legislation enacted in December 2017.</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results for 2017 and 2016 were affected by a number of items as described in the following paragraphs. Excluding these items, net income attributable to common shares was $128.6 million ($22.93 per share) for 2017, compared to $167.6 million ($ 29.66 per share) for 2016. Excluding these items, net income attributable to common shares was $43.2 million ($7.77 per share) for the fourth quarter of 2017, compared to $54.4 million ($9.68 per share) for the fourth quarter of 2016. (Refer to the Non-GAAP Financial Information schedule attached to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2017 are listed below, and fourth quarter activity, if any, is highlighted for each item:</w:t>
      </w:r>
    </w:p>
    <w:p>
      <w:pPr>
        <w:spacing w:after="0" w:line="90" w:lineRule="exact"/>
        <w:rPr>
          <w:sz w:val="20"/>
          <w:szCs w:val="20"/>
          <w:color w:val="auto"/>
        </w:rPr>
      </w:pPr>
    </w:p>
    <w:p>
      <w:pPr>
        <w:ind w:left="180" w:right="4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million in restructuring charges at the education division (after-tax impact of $6.3 million, or $1.12 per share); $7.2 million of these charges were recorded in the fourth quarter (after-tax impact of $4.5 million, or $0.81 per share);</w:t>
      </w:r>
    </w:p>
    <w:p>
      <w:pPr>
        <w:spacing w:after="0" w:line="67"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03"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 $3.3 million in losses were recorded in the fourth quarter (after-tax impact of $2.1 million or $0.37 per share);</w:t>
      </w:r>
    </w:p>
    <w:p>
      <w:pPr>
        <w:spacing w:after="0" w:line="13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$177.5 million in fourth quarter net deferred tax benefits related to the enactment of the Tax Cuts and Jobs Act in December 2017 ($31.68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2016 are listed below, and fourth quarter activity, if any, is highlighted for each item:</w:t>
      </w:r>
    </w:p>
    <w:p>
      <w:pPr>
        <w:spacing w:after="0" w:line="144" w:lineRule="exact"/>
        <w:rPr>
          <w:sz w:val="20"/>
          <w:szCs w:val="20"/>
          <w:color w:val="auto"/>
        </w:rPr>
      </w:pPr>
    </w:p>
    <w:p>
      <w:pPr>
        <w:ind w:left="180" w:right="5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$18.0 million fourth quarter gain related to a bulk lump sum pension program offering (after-tax impact of $10.8 million, or $1.92 per share);</w:t>
      </w:r>
    </w:p>
    <w:p>
      <w:pPr>
        <w:spacing w:after="0" w:line="67" w:lineRule="exact"/>
        <w:rPr>
          <w:rFonts w:ascii="Arial" w:cs="Arial" w:eastAsia="Arial" w:hAnsi="Arial"/>
          <w:sz w:val="18"/>
          <w:szCs w:val="18"/>
          <w:color w:val="auto"/>
        </w:rPr>
      </w:pPr>
    </w:p>
    <w:p>
      <w:pPr>
        <w:ind w:left="180" w:right="480" w:hanging="172"/>
        <w:spacing w:after="0" w:line="246"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 $7.0 million of these charges were recorded in the fourth quarter (after-tax impact of $4.5 million, or $0.81 per share);</w:t>
      </w:r>
    </w:p>
    <w:p>
      <w:pPr>
        <w:spacing w:after="0" w:line="75" w:lineRule="exact"/>
        <w:rPr>
          <w:rFonts w:ascii="Arial" w:cs="Arial" w:eastAsia="Arial" w:hAnsi="Arial"/>
          <w:sz w:val="18"/>
          <w:szCs w:val="18"/>
          <w:color w:val="auto"/>
        </w:rPr>
      </w:pPr>
    </w:p>
    <w:p>
      <w:pPr>
        <w:ind w:left="180" w:right="14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$16.8 million in net non-operating gains from the sales of assets and write-downs of cost and equity method investments (after tax impact of $9.5 million, or $1.62 per share); $30.7 million in losses were recorded in the fourth quarter (after-tax impact of $19.5 million, or $3.47 per share);</w:t>
      </w:r>
    </w:p>
    <w:p>
      <w:pPr>
        <w:spacing w:after="0" w:line="82" w:lineRule="exact"/>
        <w:rPr>
          <w:rFonts w:ascii="Arial" w:cs="Arial" w:eastAsia="Arial" w:hAnsi="Arial"/>
          <w:sz w:val="18"/>
          <w:szCs w:val="18"/>
          <w:color w:val="auto"/>
        </w:rPr>
      </w:pPr>
    </w:p>
    <w:p>
      <w:pPr>
        <w:ind w:left="180" w:right="54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 $6.6 million in losses were recorded in the fourth quarter (after-tax impact of $4.2 million, or $0.75 per share); and</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net nonrecurring $13.9 million deferred tax benefit related to Kaplan ($2.47 per share).</w:t>
      </w:r>
    </w:p>
    <w:p>
      <w:pPr>
        <w:spacing w:after="0" w:line="90"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Revenue for 2017 was $2,591.8 million, up 4% from $2,481.9 million in 2016. Revenues increased in other businesses, offset by a decline at the education division. The Company reported operating income for 2017 of $ 209.1 million, a decrease of 31%, from $303.5 million in 2016. Operating results declined at the television broadcasting and education divisions and in other businesses.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For the fourth quarter of 2017, revenue was $675.8 million, up 7% from $629.6 million in 2016. Revenues increased in other businesses and at the television broadcasting division, offset by a decline at the education division. The Company reported operating income of $67.1 million in the fourth quarter of 2017, compared to $109.5 million 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2016. Operating results declined at the education and television broadcasting divisions, offset by an increase in other businesses.</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affiliated with Purdue University (Purdue) in exchange for a Transition and Operations Support Agreement (TOSA) to provide key non-academic operations support to the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the Higher Learning Commission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 approval will be obtained; however, a decision is not expected to be received until later in the first quarter of 2018. If the transaction is not consummated by April 30, 2018, either party may terminate the Transfer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Education division revenue in 2017 totaled $1,516.8 million, down 5% from $1,598.5 million in 2016. For the fourth quarter of 2017, education division revenue totaled $380.6 million, down 3% from $391.2 million for the same period of 2016.</w:t>
      </w:r>
    </w:p>
    <w:p>
      <w:pPr>
        <w:spacing w:after="0" w:line="135"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Kaplan reported operating income of $75.2 million for 2017, a 20% decrease from $93.6 million in 2016; Kaplan reported operating income for the fourth quarter of 2017 of $19.8 million, a 34% decrease from $29.9 million in the fourth quarter of 2016. In 2017, operating results declined at Kaplan Higher Education (KHE), partially offset by improved results at Kaplan Test Preparation (KTP) and Kaplan International.</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2017 and 2016, with the objective of establishing lower cost levels in future periods. Across all businesses, restructuring costs totaled $10.0 million in 2017 and $11.9 million in 2016. Restructuring costs totaled $7.2 million in the fourth quarter of 2017 and $7.0 million in the fourth quarter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54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409"/>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2016</w:t>
            </w:r>
          </w:p>
        </w:tc>
        <w:tc>
          <w:tcPr>
            <w:tcW w:w="15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2016</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130,291</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144,916</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(10)</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547,264</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617,047</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60,320</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62,454</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273,298</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286,556</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190,431</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184,294</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697,999</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696,362</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174</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294</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214</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(641)</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(2,079)</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380,575</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391,236</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1,516,776</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9"/>
              </w:rPr>
              <w:t>1,598,461</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5,153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16,595</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(69)</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44,277</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66,632</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1,300</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(3,715)</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11,507</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9,599</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21,721</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25,461</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50,730</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48,398</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(7,167)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(6,084)</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(26,326)</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(23,452)</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(1,364)</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(2,358)</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(5,162)</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(7,516)</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179</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143</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19,822</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29,919</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75,169</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93,632</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In 2017 and the fourth quarter of 2017, KHE revenue declined 11% and 10%, respectively, due to declines in average enrollments at Kaplan University. KHE operating income declined in 2017 and the fourth quarter of 2017 due primarily to lower enrollment at Kaplan University, partially offset by lower restructuring costs. Restructuring</w:t>
      </w:r>
    </w:p>
    <w:p>
      <w:pPr>
        <w:sectPr>
          <w:pgSz w:w="11900" w:h="16838" w:orient="portrait"/>
          <w:cols w:equalWidth="0" w:num="1">
            <w:col w:w="11420"/>
          </w:cols>
          <w:pgMar w:left="240" w:top="368" w:right="2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8" w:right="239" w:bottom="1440" w:gutter="0" w:footer="0" w:header="0"/>
          <w:type w:val="continuous"/>
        </w:sectPr>
      </w:pPr>
    </w:p>
    <w:bookmarkStart w:id="6" w:name="page7"/>
    <w:bookmarkEnd w:id="6"/>
    <w:p>
      <w:pPr>
        <w:ind w:right="100"/>
        <w:spacing w:after="0" w:line="235" w:lineRule="auto"/>
        <w:rPr>
          <w:sz w:val="20"/>
          <w:szCs w:val="20"/>
          <w:color w:val="auto"/>
        </w:rPr>
      </w:pPr>
      <w:r>
        <w:rPr>
          <w:rFonts w:ascii="Arial" w:cs="Arial" w:eastAsia="Arial" w:hAnsi="Arial"/>
          <w:sz w:val="18"/>
          <w:szCs w:val="18"/>
          <w:color w:val="auto"/>
        </w:rPr>
        <w:t>costs at KHE were $1.8 million and $1.2 million for 2017 and the fourth quarter of 2017, respectively, compared to $7.2 million and $5.5 million for 2016 and the fourth quarter of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4% in 2017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28,718 at December 31, 2017, down 11% from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2016</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9.5%</w:t>
            </w: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16.5%</w:t>
            </w: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KTP includes Kaplan’s standardized test preparation and new economy skills training programs. KTP revenue declined 5% in 2017 and 3% for the fourth quarter of 2017. Enrollments, excluding the new economy skills training offerings, were up 4% in 2017; however, unit prices were generally lower. In comparison to 2016, KTP operating results improved in 2017 due primarily to operating cost efficiencies. Operating losses for the new economy skills training programs were $16.7 million and $13.0 million for 2017 and 2016, respectively, including restructuring costs incurred in connection with the closing of Dev Bootcamp that was completed in the second half of 2017. Dev Bootcamp made up the majority of KTP’s new economy skills training programs.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slightly in 2017, and on a constant currency basis, revenue increased 2%, primarily due to growth in Pathways enrollments. Revenue was up in the fourth quarter of 2017; however, on a constant currency basis, revenue decreased 1%, largely due to timing of class starts at Pathways in the fourth quarter of 2017. Kaplan International operating income increased 5% in 2017, due largely to improved Pathways program results, partially offset by a decline in Singapore. Operating income decreased 15% in the fourth quarter of 2017 largely due to timing of class starts at Pathways. Restructuring costs at Kaplan International totaled $3.8 million and $4.7 million in 2017 and 2016, respectively.</w:t>
      </w:r>
    </w:p>
    <w:p>
      <w:pPr>
        <w:spacing w:after="0" w:line="13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Revenue at the television broadcasting division increased slightly to $409.9 million in 2017, from $409.7 million in 2016. Excluding revenue from the two newly acquired stations, revenue declined 6% due to a $28.7 million decrease in political advertising revenue, $13.1 million in 2016 incremental summer Olympics-related advertising revenue at the Company’s NBC affiliates, lower network revenue and the adverse impact from hurricanes Harvey and Irma in the third quarter of 2017, partially offset by $20.7 million in increased retransmission revenues. As previously disclosed, the Company’s NBC affiliates in Houston and Detroit are operating under a new contract with NBC effective January 1, 2017 that has resulted in a significant increase in network fees in 2017, compared to 2016. Operating income for 2017 was down 32% to $137.2 million, from $200.5 million in 2016 due to lower revenues, the significantly higher network fees and increased amortization of intangibles expense.</w:t>
      </w:r>
    </w:p>
    <w:p>
      <w:pPr>
        <w:spacing w:after="0" w:line="13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For the fourth quarter of 2017, revenue increased 2% to $111.0 million, from $108.8 million in 2016. Excluding revenue from the two newly acquired stations, revenue declined 4% due to a $15.3 million decrease in political advertising revenue and lower network revenue, partially offset by $5.9 million in higher retransmission revenues and an increase in advertising revenue in several key sectors. Operating income for the fourth quarter of 2017 was down 30% to $39.0 million, from $55.9 million in the same period of 2016, due to the significantly higher network fees and increased amortization of intangible assets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640"/>
        <w:spacing w:after="0" w:line="229"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supplier of products and systems that control and monitor combustion processes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8" w:right="239" w:bottom="1440" w:gutter="0" w:footer="0" w:header="0"/>
        </w:sectPr>
      </w:pPr>
    </w:p>
    <w:bookmarkStart w:id="7" w:name="page8"/>
    <w:bookmarkEnd w:id="7"/>
    <w:p>
      <w:pPr>
        <w:jc w:val="both"/>
        <w:ind w:right="60"/>
        <w:spacing w:after="0" w:line="229" w:lineRule="auto"/>
        <w:rPr>
          <w:sz w:val="20"/>
          <w:szCs w:val="20"/>
          <w:color w:val="auto"/>
        </w:rPr>
      </w:pPr>
      <w:r>
        <w:rPr>
          <w:rFonts w:ascii="Arial" w:cs="Arial" w:eastAsia="Arial" w:hAnsi="Arial"/>
          <w:sz w:val="18"/>
          <w:szCs w:val="18"/>
          <w:color w:val="auto"/>
        </w:rPr>
        <w:t>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(ECA), a manufacturer of power, data and electrical solutions for the office furniture industry.</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2017 due to the Hoover acquisition and growth and improved results at Dekko, including the ECA acquisition, offset by a decline in results at Forney, which included $1.2 million in expense related to a separation incentive program implemented in the third quarter of 2017 that was mostly funded from the assets of the Company’s pension plan.</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 At the end of June 2017, GHG acquired Hometown Home Health and Hospice, a Lapeer, MI-based healthcare services provider. Healthcare revenues increased 5% in 2017, while operating results were down, due largely to increased bad debt expenses and higher information systems and other integration costs.</w:t>
      </w:r>
    </w:p>
    <w:p>
      <w:pPr>
        <w:spacing w:after="0" w:line="137"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GHG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income (expense), net.</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5% in 2017 and 1% in the fourth quarter of 2017, due to continued growth in digital advertising service revenues. SocialCode reported an operating loss of $3.7 million and operating income of $4.5 million in 2017 and the fourth quarter of 2017, respectively, compared to an operating loss of $12.4 million and operating income of $2.9 million in 2016 and the fourth quarter of 2016, respectively. SocialCode’s operating results included incentive accruals of $1.4 million and $0.2 million related to phantom equity appreciation plans in 2017 and the fourth quarter of 2017, respectively; whereas 2016 results included incentive accruals of $12.8 million and $0.8 million related to phantom equity plans for the relevant periods.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2017 adversely affected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fourth quarter of 2016, the Company recorded an $18.0 million gain related to a bulk lump sum pension program offering.</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Excluding the pension gain, the total pension credit for the Company’s traditional defined benefit plan was $72.9 million and $64.1 million for 2017 and 2016, respectively.</w:t>
      </w:r>
    </w:p>
    <w:p>
      <w:pPr>
        <w:spacing w:after="0" w:line="135" w:lineRule="exact"/>
        <w:rPr>
          <w:sz w:val="20"/>
          <w:szCs w:val="20"/>
          <w:color w:val="auto"/>
        </w:rPr>
      </w:pPr>
    </w:p>
    <w:p>
      <w:pPr>
        <w:ind w:right="840"/>
        <w:spacing w:after="0" w:line="407" w:lineRule="auto"/>
        <w:rPr>
          <w:sz w:val="20"/>
          <w:szCs w:val="20"/>
          <w:color w:val="auto"/>
        </w:rPr>
      </w:pPr>
      <w:r>
        <w:rPr>
          <w:rFonts w:ascii="Arial" w:cs="Arial" w:eastAsia="Arial" w:hAnsi="Arial"/>
          <w:sz w:val="18"/>
          <w:szCs w:val="18"/>
          <w:color w:val="auto"/>
        </w:rPr>
        <w:t xml:space="preserve">Excluding the pension credit, corporate office expenses increased slightly in 2017 due primarily to higher professional services costs. </w:t>
      </w:r>
      <w:r>
        <w:rPr>
          <w:rFonts w:ascii="Arial" w:cs="Arial" w:eastAsia="Arial" w:hAnsi="Arial"/>
          <w:sz w:val="18"/>
          <w:szCs w:val="18"/>
          <w:b w:val="1"/>
          <w:bCs w:val="1"/>
          <w:u w:val="single" w:color="auto"/>
          <w:color w:val="auto"/>
        </w:rPr>
        <w:t>Equity in Losses of Affiliates</w:t>
      </w:r>
    </w:p>
    <w:p>
      <w:pPr>
        <w:ind w:right="40"/>
        <w:spacing w:after="0" w:line="225" w:lineRule="auto"/>
        <w:rPr>
          <w:sz w:val="20"/>
          <w:szCs w:val="20"/>
          <w:color w:val="auto"/>
        </w:rPr>
      </w:pPr>
      <w:r>
        <w:rPr>
          <w:rFonts w:ascii="Arial" w:cs="Arial" w:eastAsia="Arial" w:hAnsi="Arial"/>
          <w:sz w:val="18"/>
          <w:szCs w:val="18"/>
          <w:color w:val="auto"/>
        </w:rPr>
        <w:t>At December 31, 2017, the Company held interests in a number of home health and hospice joint ventures, and interests in several other affiliates. During 2017, the Company acquired approximately 11% of Intersection Holdings, LLC, a company that provides digital marketing and advertising services and products for cities, transit systems, airports, and other public and private spaces. The Company recorded equity in losses of affiliates of $3.2 million for 2017, compared to $7.9 million in 2016. In the fourth quarter of 2016, the Company recorded an $8.4 million write-down on its investment in HomeHero, a company that managed an online senior home care marketplace.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 Company recorded total other non-operating income, net, of $4.2 million in 2017, compared to non-operating expense, net, of $12.6 million in 2016. For the fourth quarter of 2017, the Company recorded other non-operating expense, net, of $2.6 million, compared to $28.5 million for the fourth quarter of 2016.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8" w:name="page9"/>
    <w:bookmarkEnd w:id="8"/>
    <w:p>
      <w:pPr>
        <w:ind w:right="60"/>
        <w:spacing w:after="0" w:line="225" w:lineRule="auto"/>
        <w:rPr>
          <w:sz w:val="20"/>
          <w:szCs w:val="20"/>
          <w:color w:val="auto"/>
        </w:rPr>
      </w:pPr>
      <w:r>
        <w:rPr>
          <w:rFonts w:ascii="Arial" w:cs="Arial" w:eastAsia="Arial" w:hAnsi="Arial"/>
          <w:sz w:val="18"/>
          <w:szCs w:val="18"/>
          <w:color w:val="auto"/>
        </w:rPr>
        <w:t>The 2017 non-operating income, net, included $3.3 million in foreign currency gains ($ 3.3 million in foreign currency losses in the fourth quarter) and other items. The 2016 non-operating expense, net, included $39.9 million in foreign currency losses ($6.6 million in foreign currency losses in the fourth quarter); $29.4 million in cost method investment write-downs ($14.2 million in the fourth quarter); and $1.8 million in net losses on the sales of marketable securities ($8.0 million loss in the fourth quarter), partially offset by a $34.1 million gain on the sale of land; an $18.9 million gain on the sale of a business; a $3.2 million gain on the Residential joint venture transaction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420"/>
        <w:spacing w:after="0" w:line="225" w:lineRule="auto"/>
        <w:rPr>
          <w:sz w:val="20"/>
          <w:szCs w:val="20"/>
          <w:color w:val="auto"/>
        </w:rPr>
      </w:pPr>
      <w:r>
        <w:rPr>
          <w:rFonts w:ascii="Arial" w:cs="Arial" w:eastAsia="Arial" w:hAnsi="Arial"/>
          <w:sz w:val="18"/>
          <w:szCs w:val="18"/>
          <w:color w:val="auto"/>
        </w:rPr>
        <w:t>The Company incurred net interest expense of $27.3 million in 2017, compared to $32.3 million in 2016; net interest expense totaled $4.9 million and $9.8 million for the fourth quarters of 2017 and 2016, respectively. At December 31, 2017, the Company had $493.3 million in borrowings outstanding at an average interest rate of 6.3%, and cash, marketable securities and other investments of $964.7 million. At December 31, 2016, the Company had $491.8 million in borrowings outstanding at an average interest rate of 6.3%, and cash, marketable securities and other investments of $1,119.1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is reporting an income tax benefit of $119.7 million for 2017, which was 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for 2016 was 32.4%. 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calculation of diluted earnings per share for 2017 and the fourth quarter of 2017 was based on 5,552,163 and 5,508,530 weighted average shares, respectively, compared to 5,588,733 and 5,555,510 weighted average shares, respectively, for 2016 and the fourth quarter of 2016. At December 31, 2017, there were 5,504,494 shares outstanding. On November 9, 2017, the Board of Directors authorized the Company to acquire up to 500,000 shares of Class B common stock; the Company has remaining authorization for 472,678 shares as of December 31,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675,817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629,579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579,742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495,259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15,984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15,717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12,897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7,511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67,116</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109,489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0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(4,697)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(7,042)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3,184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1,041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(8,103)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(2,640)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before income taxes</w:t>
            </w:r>
          </w:p>
        </w:tc>
        <w:tc>
          <w:tcPr>
            <w:tcW w:w="20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54,860</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64,118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(159,700)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214,560</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36,918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(382)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214,178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38.76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5,473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5,527</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38.52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5,509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5,556</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44" w:right="239" w:bottom="1440" w:gutter="0" w:footer="0" w:header="0"/>
        </w:sectPr>
      </w:pPr>
    </w:p>
    <w:bookmarkStart w:id="10" w:name="page11"/>
    <w:bookmarkEnd w:id="10"/>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2,591,846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2,481,890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2,269,434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2,085,462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62,509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64,620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41,187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26,671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9,614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209,102</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303,534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(3,249)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(33,886)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(35,390)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4,241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182,789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250,658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(Benefit from) 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302,489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169,458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302,044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168,590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5,559</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5,589</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4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380,575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391,236</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1,516,776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1,598,461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111,023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108,791</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409,916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409,718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184,270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129,552</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665,205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473,850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675,817</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629,579</w:t>
            </w: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2,591,846</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2,481,890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360,753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361,317</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1,441,607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1,504,829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72,001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52,915</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272,713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209,248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180,519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130,061</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687,969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495,952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(4,521)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(24,203)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(19,494)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(31,534)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(38)</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608,701</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520,090</w:t>
            </w:r>
          </w:p>
        </w:tc>
        <w:tc>
          <w:tcPr>
            <w:tcW w:w="100" w:type="dxa"/>
            <w:vAlign w:val="bottom"/>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2,382,744</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2,178,356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19,822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29,919</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75,169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93,632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39,022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55,876</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137,203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200,470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3,751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(22,764)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(22,102)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4,521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24,203</w:t>
            </w:r>
          </w:p>
        </w:tc>
        <w:tc>
          <w:tcPr>
            <w:tcW w:w="100" w:type="dxa"/>
            <w:vAlign w:val="bottom"/>
          </w:tcPr>
          <w:p>
            <w:pPr>
              <w:spacing w:after="0"/>
              <w:rPr>
                <w:sz w:val="24"/>
                <w:szCs w:val="24"/>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19,494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31,534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(38)</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67,116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109,489</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209,102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303,534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7,912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9,865</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32,906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41,187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3,476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12,179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9,942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4,338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2,986</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16,306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12,375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4"/>
                <w:szCs w:val="24"/>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15,717</w:t>
            </w:r>
          </w:p>
        </w:tc>
        <w:tc>
          <w:tcPr>
            <w:tcW w:w="100" w:type="dxa"/>
            <w:vAlign w:val="bottom"/>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62,509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64,620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7,516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3,406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6,349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8,205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6,694</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39,290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20,507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12,975</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9,114</w:t>
            </w:r>
          </w:p>
        </w:tc>
        <w:tc>
          <w:tcPr>
            <w:tcW w:w="100" w:type="dxa"/>
            <w:vAlign w:val="bottom"/>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50,801</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28,274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2,838</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10,613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485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1,942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1,714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2,722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(18,123)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(33,929)</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(72,491)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(13,865)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(30,383)</w:t>
            </w:r>
          </w:p>
        </w:tc>
        <w:tc>
          <w:tcPr>
            <w:tcW w:w="100" w:type="dxa"/>
            <w:vAlign w:val="bottom"/>
            <w:tcBorders>
              <w:bottom w:val="single" w:sz="8" w:color="auto"/>
            </w:tcBorders>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(57,214)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(67,097)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(15)</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4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130,291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144,916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547,264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617,047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60,320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62,454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273,298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286,556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190,431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184,294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697,999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696,362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(2,079)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380,575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391,236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1,516,776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1,598,461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125,138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128,321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502,987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550,415</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59,020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66,169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261,791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276,957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168,710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158,833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647,269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647,964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7,341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6,108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26,620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23,666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2,358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7,516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(2,222)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360,753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361,317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1,441,607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1,504,829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5,153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16,595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(69)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44,277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66,632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1,300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11,507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9,599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21,721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25,461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50,730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48,398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(7,167)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(26,326)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(23,452)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(1,364)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(5,162)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(7,516)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29,919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75,169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93,632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4,497</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16,822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1,206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5,286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6,287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3,821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17,523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(15)</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9,865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32,906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41,187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1,546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7,620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2,755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3,072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959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(38)</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3,324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11,803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44"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r>
      <w:tr>
        <w:trPr>
          <w:trHeight w:val="276"/>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Arial" w:cs="Arial" w:eastAsia="Arial" w:hAnsi="Arial"/>
                <w:sz w:val="14"/>
                <w:szCs w:val="14"/>
                <w:color w:val="auto"/>
              </w:rPr>
              <w:t>%</w:t>
            </w:r>
          </w:p>
        </w:tc>
      </w:tr>
      <w:tr>
        <w:trPr>
          <w:trHeight w:val="26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w w:val="96"/>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116,029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64,696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414,193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241,604</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71</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38,610</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36,894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154,202</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146,962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20,151</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19,890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62,077</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58,851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9,480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8,072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34,733</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26,433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184,270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129,552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665,205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473,850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107,285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59,742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400,178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228,887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75</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41,557</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36,875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156,771</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144,163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15,673</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17,035</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65,751</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71,258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16,004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16,409</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65,269</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51,644</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180,519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130,061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687,969</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495,952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8,744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4,954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14,015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12,717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(2,947)</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(2,569)</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2,799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4,478</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2,855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(3,674)</w:t>
            </w:r>
          </w:p>
        </w:tc>
        <w:tc>
          <w:tcPr>
            <w:tcW w:w="4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(12,407)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(6,524)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(30,536)</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(22,764)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(22,102)</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2,544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9,173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7,251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1,154</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4,583</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63</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251</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1,004</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389</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1,546</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4,338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16,306</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12,375</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w:t>
            </w:r>
          </w:p>
        </w:tc>
      </w:tr>
      <w:tr>
        <w:trPr>
          <w:trHeight w:val="184"/>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5,935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3,397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75</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31,052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12,119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2,187</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1,673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7,905</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6,701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333</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8,205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6,694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39,290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92</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1,011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167</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665</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148</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593</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2,722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54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7"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02"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399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13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Income before</w:t>
            </w:r>
          </w:p>
        </w:tc>
        <w:tc>
          <w:tcPr>
            <w:tcW w:w="11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Income</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18"/>
                <w:szCs w:val="18"/>
                <w:color w:val="auto"/>
              </w:rPr>
            </w:pPr>
          </w:p>
        </w:tc>
        <w:tc>
          <w:tcPr>
            <w:tcW w:w="880" w:type="dxa"/>
            <w:vAlign w:val="bottom"/>
          </w:tcPr>
          <w:p>
            <w:pPr>
              <w:jc w:val="center"/>
              <w:ind w:right="159"/>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8"/>
                <w:szCs w:val="18"/>
                <w:color w:val="auto"/>
              </w:rPr>
            </w:pPr>
          </w:p>
        </w:tc>
        <w:tc>
          <w:tcPr>
            <w:tcW w:w="940" w:type="dxa"/>
            <w:vAlign w:val="bottom"/>
            <w:vMerge w:val="restart"/>
          </w:tcPr>
          <w:p>
            <w:pPr>
              <w:jc w:val="right"/>
              <w:ind w:right="28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4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vMerge w:val="restart"/>
          </w:tcPr>
          <w:p>
            <w:pPr>
              <w:jc w:val="center"/>
              <w:ind w:right="13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15"/>
        </w:trPr>
        <w:tc>
          <w:tcPr>
            <w:tcW w:w="4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income taxes</w:t>
            </w:r>
          </w:p>
        </w:tc>
        <w:tc>
          <w:tcPr>
            <w:tcW w:w="112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0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80"/>
              <w:spacing w:after="0"/>
              <w:rPr>
                <w:sz w:val="20"/>
                <w:szCs w:val="20"/>
                <w:color w:val="auto"/>
              </w:rPr>
            </w:pPr>
            <w:r>
              <w:rPr>
                <w:rFonts w:ascii="Arial" w:cs="Arial" w:eastAsia="Arial" w:hAnsi="Arial"/>
                <w:sz w:val="16"/>
                <w:szCs w:val="16"/>
                <w:b w:val="1"/>
                <w:bCs w:val="1"/>
                <w:color w:val="auto"/>
              </w:rPr>
              <w:t>Common Stockholders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54,860</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 (159,700)</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214,560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64,118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27,200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83"/>
        </w:trPr>
        <w:tc>
          <w:tcPr>
            <w:tcW w:w="4420" w:type="dxa"/>
            <w:vAlign w:val="bottom"/>
          </w:tcPr>
          <w:p>
            <w:pPr>
              <w:ind w:left="20"/>
              <w:spacing w:after="0"/>
              <w:rPr>
                <w:sz w:val="20"/>
                <w:szCs w:val="20"/>
                <w:color w:val="auto"/>
              </w:rPr>
            </w:pPr>
            <w:r>
              <w:rPr>
                <w:rFonts w:ascii="Arial" w:cs="Arial" w:eastAsia="Arial" w:hAnsi="Arial"/>
                <w:sz w:val="16"/>
                <w:szCs w:val="16"/>
                <w:color w:val="auto"/>
              </w:rPr>
              <w:t>Attributable to noncontrolling interests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Attributable to Graham Holdings Company Stockholders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214,178</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36,918</w:t>
            </w:r>
          </w:p>
        </w:tc>
        <w:tc>
          <w:tcPr>
            <w:tcW w:w="0" w:type="dxa"/>
            <w:vAlign w:val="bottom"/>
          </w:tcPr>
          <w:p>
            <w:pPr>
              <w:spacing w:after="0"/>
              <w:rPr>
                <w:sz w:val="1"/>
                <w:szCs w:val="1"/>
                <w:color w:val="auto"/>
              </w:rPr>
            </w:pPr>
          </w:p>
        </w:tc>
      </w:tr>
      <w:tr>
        <w:trPr>
          <w:trHeight w:val="270"/>
        </w:trPr>
        <w:tc>
          <w:tcPr>
            <w:tcW w:w="442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7,181</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rPr>
              <w:t>2,657</w:t>
            </w: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4,524</w:t>
            </w:r>
          </w:p>
        </w:tc>
        <w:tc>
          <w:tcPr>
            <w:tcW w:w="3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6,973</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2,441</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Settlement gain related to a bulk lump sum pension</w:t>
            </w:r>
          </w:p>
        </w:tc>
        <w:tc>
          <w:tcPr>
            <w:tcW w:w="120" w:type="dxa"/>
            <w:vAlign w:val="bottom"/>
          </w:tcPr>
          <w:p>
            <w:pPr>
              <w:spacing w:after="0"/>
              <w:rPr>
                <w:sz w:val="20"/>
                <w:szCs w:val="20"/>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20" w:type="dxa"/>
            <w:vAlign w:val="bottom"/>
          </w:tcPr>
          <w:p>
            <w:pPr>
              <w:ind w:left="420"/>
              <w:spacing w:after="0"/>
              <w:rPr>
                <w:sz w:val="20"/>
                <w:szCs w:val="20"/>
                <w:color w:val="auto"/>
              </w:rPr>
            </w:pPr>
            <w:r>
              <w:rPr>
                <w:rFonts w:ascii="Arial" w:cs="Arial" w:eastAsia="Arial" w:hAnsi="Arial"/>
                <w:sz w:val="16"/>
                <w:szCs w:val="16"/>
                <w:color w:val="auto"/>
              </w:rPr>
              <w:t>offering</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24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(7,197)</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Loss from the sales of marketable securities</w:t>
            </w:r>
          </w:p>
        </w:tc>
        <w:tc>
          <w:tcPr>
            <w:tcW w:w="12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8,135</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3,091</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5,044</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Write-downs of cost method and equity method</w:t>
            </w:r>
          </w:p>
        </w:tc>
        <w:tc>
          <w:tcPr>
            <w:tcW w:w="120" w:type="dxa"/>
            <w:vAlign w:val="bottom"/>
          </w:tcPr>
          <w:p>
            <w:pPr>
              <w:spacing w:after="0"/>
              <w:rPr>
                <w:sz w:val="20"/>
                <w:szCs w:val="20"/>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20" w:type="dxa"/>
            <w:vAlign w:val="bottom"/>
          </w:tcPr>
          <w:p>
            <w:pPr>
              <w:ind w:left="42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22,592</w:t>
            </w:r>
          </w:p>
        </w:tc>
        <w:tc>
          <w:tcPr>
            <w:tcW w:w="240" w:type="dxa"/>
            <w:vAlign w:val="bottom"/>
          </w:tcPr>
          <w:p>
            <w:pPr>
              <w:spacing w:after="0"/>
              <w:rPr>
                <w:sz w:val="16"/>
                <w:szCs w:val="16"/>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8,133</w:t>
            </w: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14,459</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Foreign currency loss</w:t>
            </w:r>
          </w:p>
        </w:tc>
        <w:tc>
          <w:tcPr>
            <w:tcW w:w="12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3,298</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rPr>
              <w:t>1,220</w:t>
            </w: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2,078</w:t>
            </w:r>
          </w:p>
        </w:tc>
        <w:tc>
          <w:tcPr>
            <w:tcW w:w="3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6,567</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2,364</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4,203</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Net deferred tax benefits related to the enactment of the</w:t>
            </w:r>
          </w:p>
        </w:tc>
        <w:tc>
          <w:tcPr>
            <w:tcW w:w="120" w:type="dxa"/>
            <w:vAlign w:val="bottom"/>
          </w:tcPr>
          <w:p>
            <w:pPr>
              <w:spacing w:after="0"/>
              <w:rPr>
                <w:sz w:val="20"/>
                <w:szCs w:val="20"/>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177,532</w:t>
            </w: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(177,532)</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420"/>
              <w:spacing w:after="0"/>
              <w:rPr>
                <w:sz w:val="20"/>
                <w:szCs w:val="20"/>
                <w:color w:val="auto"/>
              </w:rPr>
            </w:pPr>
            <w:r>
              <w:rPr>
                <w:rFonts w:ascii="Arial" w:cs="Arial" w:eastAsia="Arial" w:hAnsi="Arial"/>
                <w:sz w:val="16"/>
                <w:szCs w:val="16"/>
                <w:color w:val="auto"/>
              </w:rPr>
              <w:t>Tax Cuts and Jobs Act</w:t>
            </w: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6"/>
                <w:szCs w:val="16"/>
                <w:color w:val="auto"/>
              </w:rPr>
              <w:t>Net Income,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43,248</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54,360</w:t>
            </w:r>
          </w:p>
        </w:tc>
        <w:tc>
          <w:tcPr>
            <w:tcW w:w="0" w:type="dxa"/>
            <w:vAlign w:val="bottom"/>
          </w:tcPr>
          <w:p>
            <w:pPr>
              <w:spacing w:after="0"/>
              <w:rPr>
                <w:sz w:val="1"/>
                <w:szCs w:val="1"/>
                <w:color w:val="auto"/>
              </w:rPr>
            </w:pPr>
          </w:p>
        </w:tc>
      </w:tr>
      <w:tr>
        <w:trPr>
          <w:trHeight w:val="441"/>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80"/>
              <w:spacing w:after="0"/>
              <w:rPr>
                <w:sz w:val="20"/>
                <w:szCs w:val="20"/>
                <w:color w:val="auto"/>
              </w:rPr>
            </w:pPr>
            <w:r>
              <w:rPr>
                <w:rFonts w:ascii="Arial" w:cs="Arial" w:eastAsia="Arial" w:hAnsi="Arial"/>
                <w:sz w:val="16"/>
                <w:szCs w:val="16"/>
                <w:b w:val="1"/>
                <w:bCs w:val="1"/>
                <w:color w:val="auto"/>
              </w:rPr>
              <w:t>Company Common Stockholders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20" w:type="dxa"/>
            <w:vAlign w:val="bottom"/>
          </w:tcPr>
          <w:p>
            <w:pPr>
              <w:ind w:left="20"/>
              <w:spacing w:after="0"/>
              <w:rPr>
                <w:sz w:val="20"/>
                <w:szCs w:val="20"/>
                <w:color w:val="auto"/>
              </w:rPr>
            </w:pPr>
            <w:r>
              <w:rPr>
                <w:rFonts w:ascii="Arial" w:cs="Arial" w:eastAsia="Arial" w:hAnsi="Arial"/>
                <w:sz w:val="16"/>
                <w:szCs w:val="16"/>
                <w:color w:val="auto"/>
              </w:rPr>
              <w:t>Diluted income per common share, as reported</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38.52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7"/>
        </w:trPr>
        <w:tc>
          <w:tcPr>
            <w:tcW w:w="442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0.81</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Settlement gain related to a bulk lump sum pension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20" w:type="dxa"/>
            <w:vAlign w:val="bottom"/>
          </w:tcPr>
          <w:p>
            <w:pPr>
              <w:ind w:left="420"/>
              <w:spacing w:after="0"/>
              <w:rPr>
                <w:sz w:val="20"/>
                <w:szCs w:val="20"/>
                <w:color w:val="auto"/>
              </w:rPr>
            </w:pPr>
            <w:r>
              <w:rPr>
                <w:rFonts w:ascii="Arial" w:cs="Arial" w:eastAsia="Arial" w:hAnsi="Arial"/>
                <w:sz w:val="16"/>
                <w:szCs w:val="16"/>
                <w:color w:val="auto"/>
              </w:rPr>
              <w:t>offering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Loss from the sales of marketable securities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Write-downs of cost method and equity method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20" w:type="dxa"/>
            <w:vAlign w:val="bottom"/>
          </w:tcPr>
          <w:p>
            <w:pPr>
              <w:ind w:left="42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6"/>
                <w:szCs w:val="16"/>
                <w:color w:val="auto"/>
              </w:rPr>
              <w:t>Foreign currency loss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0.37</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38"/>
        </w:trPr>
        <w:tc>
          <w:tcPr>
            <w:tcW w:w="4420" w:type="dxa"/>
            <w:vAlign w:val="bottom"/>
          </w:tcPr>
          <w:p>
            <w:pPr>
              <w:ind w:left="260"/>
              <w:spacing w:after="0"/>
              <w:rPr>
                <w:sz w:val="20"/>
                <w:szCs w:val="20"/>
                <w:color w:val="auto"/>
              </w:rPr>
            </w:pPr>
            <w:r>
              <w:rPr>
                <w:rFonts w:ascii="Arial" w:cs="Arial" w:eastAsia="Arial" w:hAnsi="Arial"/>
                <w:sz w:val="16"/>
                <w:szCs w:val="16"/>
                <w:color w:val="auto"/>
              </w:rPr>
              <w:t>Net deferred tax benefits related to the enactment of the</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(31.93)</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420"/>
              <w:spacing w:after="0"/>
              <w:rPr>
                <w:sz w:val="20"/>
                <w:szCs w:val="20"/>
                <w:color w:val="auto"/>
              </w:rPr>
            </w:pPr>
            <w:r>
              <w:rPr>
                <w:rFonts w:ascii="Arial" w:cs="Arial" w:eastAsia="Arial" w:hAnsi="Arial"/>
                <w:sz w:val="16"/>
                <w:szCs w:val="16"/>
                <w:color w:val="auto"/>
              </w:rPr>
              <w:t>Tax Cuts and Jobs Act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6"/>
                <w:szCs w:val="16"/>
                <w:color w:val="auto"/>
              </w:rPr>
              <w:t>Diluted income per common share,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7.77</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98" w:right="259" w:bottom="1440" w:gutter="0" w:footer="0" w:header="0"/>
        </w:sectPr>
      </w:pPr>
    </w:p>
    <w:bookmarkStart w:id="15" w:name="page16"/>
    <w:bookmarkEnd w:id="15"/>
    <w:p>
      <w:pPr>
        <w:ind w:left="6640"/>
        <w:spacing w:after="0"/>
        <w:rPr>
          <w:sz w:val="20"/>
          <w:szCs w:val="20"/>
          <w:color w:val="auto"/>
        </w:rPr>
      </w:pPr>
      <w:r>
        <w:rPr>
          <w:rFonts w:ascii="Arial" w:cs="Arial" w:eastAsia="Arial" w:hAnsi="Arial"/>
          <w:sz w:val="16"/>
          <w:szCs w:val="16"/>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4253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Income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before</w:t>
            </w:r>
          </w:p>
        </w:tc>
        <w:tc>
          <w:tcPr>
            <w:tcW w:w="1020" w:type="dxa"/>
            <w:vAlign w:val="bottom"/>
          </w:tcPr>
          <w:p>
            <w:pPr>
              <w:jc w:val="right"/>
              <w:ind w:right="200"/>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6"/>
                <w:szCs w:val="16"/>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6"/>
                <w:szCs w:val="16"/>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16"/>
                <w:szCs w:val="16"/>
                <w:color w:val="auto"/>
              </w:rPr>
            </w:pPr>
          </w:p>
        </w:tc>
        <w:tc>
          <w:tcPr>
            <w:tcW w:w="940" w:type="dxa"/>
            <w:vAlign w:val="bottom"/>
          </w:tcPr>
          <w:p>
            <w:pPr>
              <w:jc w:val="right"/>
              <w:ind w:right="28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6"/>
                <w:szCs w:val="1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9"/>
              </w:rPr>
              <w:t>income</w:t>
            </w:r>
          </w:p>
        </w:tc>
        <w:tc>
          <w:tcPr>
            <w:tcW w:w="102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19"/>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0"/>
                <w:szCs w:val="10"/>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7"/>
              </w:rPr>
              <w:t>taxes</w:t>
            </w: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taxes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b w:val="1"/>
                <w:bCs w:val="1"/>
                <w:color w:val="auto"/>
              </w:rPr>
              <w:t>Common 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182,789</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(119,700)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302,489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250,658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81,200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 noncontrolling interests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 Graham Holdings Company Stockholders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302,044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168,590</w:t>
            </w:r>
          </w:p>
        </w:tc>
        <w:tc>
          <w:tcPr>
            <w:tcW w:w="0" w:type="dxa"/>
            <w:vAlign w:val="bottom"/>
          </w:tcPr>
          <w:p>
            <w:pPr>
              <w:spacing w:after="0"/>
              <w:rPr>
                <w:sz w:val="1"/>
                <w:szCs w:val="1"/>
                <w:color w:val="auto"/>
              </w:rPr>
            </w:pPr>
          </w:p>
        </w:tc>
      </w:tr>
      <w:tr>
        <w:trPr>
          <w:trHeight w:val="270"/>
        </w:trPr>
        <w:tc>
          <w:tcPr>
            <w:tcW w:w="46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9,958</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3,684</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6,274</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11,852</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4,148</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9,224</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3,413</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5,811</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Settlement gain related to a bulk lump sum pension offering</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(17,993)</w:t>
            </w:r>
          </w:p>
        </w:tc>
        <w:tc>
          <w:tcPr>
            <w:tcW w:w="24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(7,197)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Net gain from the sales of land and marketable securities</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(32,193)</w:t>
            </w:r>
          </w:p>
        </w:tc>
        <w:tc>
          <w:tcPr>
            <w:tcW w:w="24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(12,233)</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(19,960)</w:t>
            </w:r>
          </w:p>
        </w:tc>
        <w:tc>
          <w:tcPr>
            <w:tcW w:w="0" w:type="dxa"/>
            <w:vAlign w:val="bottom"/>
          </w:tcPr>
          <w:p>
            <w:pPr>
              <w:spacing w:after="0"/>
              <w:rPr>
                <w:sz w:val="1"/>
                <w:szCs w:val="1"/>
                <w:color w:val="auto"/>
              </w:rPr>
            </w:pPr>
          </w:p>
        </w:tc>
      </w:tr>
      <w:tr>
        <w:trPr>
          <w:trHeight w:val="238"/>
        </w:trPr>
        <w:tc>
          <w:tcPr>
            <w:tcW w:w="4660" w:type="dxa"/>
            <w:vAlign w:val="bottom"/>
          </w:tcPr>
          <w:p>
            <w:pPr>
              <w:ind w:left="260"/>
              <w:spacing w:after="0"/>
              <w:rPr>
                <w:sz w:val="20"/>
                <w:szCs w:val="20"/>
                <w:color w:val="auto"/>
              </w:rPr>
            </w:pPr>
            <w:r>
              <w:rPr>
                <w:rFonts w:ascii="Arial" w:cs="Arial" w:eastAsia="Arial" w:hAnsi="Arial"/>
                <w:sz w:val="16"/>
                <w:szCs w:val="16"/>
                <w:color w:val="auto"/>
              </w:rPr>
              <w:t>Gains from the sale of a business and the formation of a</w:t>
            </w:r>
          </w:p>
        </w:tc>
        <w:tc>
          <w:tcPr>
            <w:tcW w:w="180" w:type="dxa"/>
            <w:vAlign w:val="bottom"/>
          </w:tcPr>
          <w:p>
            <w:pPr>
              <w:spacing w:after="0"/>
              <w:rPr>
                <w:sz w:val="20"/>
                <w:szCs w:val="20"/>
                <w:color w:val="auto"/>
              </w:rPr>
            </w:pP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420"/>
              <w:spacing w:after="0"/>
              <w:rPr>
                <w:sz w:val="20"/>
                <w:szCs w:val="20"/>
                <w:color w:val="auto"/>
              </w:rPr>
            </w:pPr>
            <w:r>
              <w:rPr>
                <w:rFonts w:ascii="Arial" w:cs="Arial" w:eastAsia="Arial" w:hAnsi="Arial"/>
                <w:sz w:val="16"/>
                <w:szCs w:val="16"/>
                <w:color w:val="auto"/>
              </w:rPr>
              <w:t>joint venture</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(22,163)</w:t>
            </w:r>
          </w:p>
        </w:tc>
        <w:tc>
          <w:tcPr>
            <w:tcW w:w="24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(8,582)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(13,581)</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Write-downs of cost method and equity method investment</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37,592</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13,533</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24,059</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Foreign currency (gain) loss</w:t>
            </w:r>
          </w:p>
        </w:tc>
        <w:tc>
          <w:tcPr>
            <w:tcW w:w="18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(3,310)</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(1,225)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(2,085)</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39,890</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14,360</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25,530</w:t>
            </w:r>
          </w:p>
        </w:tc>
        <w:tc>
          <w:tcPr>
            <w:tcW w:w="0" w:type="dxa"/>
            <w:vAlign w:val="bottom"/>
          </w:tcPr>
          <w:p>
            <w:pPr>
              <w:spacing w:after="0"/>
              <w:rPr>
                <w:sz w:val="1"/>
                <w:szCs w:val="1"/>
                <w:color w:val="auto"/>
              </w:rPr>
            </w:pPr>
          </w:p>
        </w:tc>
      </w:tr>
      <w:tr>
        <w:trPr>
          <w:trHeight w:val="238"/>
        </w:trPr>
        <w:tc>
          <w:tcPr>
            <w:tcW w:w="4660" w:type="dxa"/>
            <w:vAlign w:val="bottom"/>
          </w:tcPr>
          <w:p>
            <w:pPr>
              <w:ind w:left="260"/>
              <w:spacing w:after="0"/>
              <w:rPr>
                <w:sz w:val="20"/>
                <w:szCs w:val="20"/>
                <w:color w:val="auto"/>
              </w:rPr>
            </w:pPr>
            <w:r>
              <w:rPr>
                <w:rFonts w:ascii="Arial" w:cs="Arial" w:eastAsia="Arial" w:hAnsi="Arial"/>
                <w:sz w:val="16"/>
                <w:szCs w:val="16"/>
                <w:color w:val="auto"/>
              </w:rPr>
              <w:t>Net deferred tax benefits related to the enactment of the Tax</w:t>
            </w:r>
          </w:p>
        </w:tc>
        <w:tc>
          <w:tcPr>
            <w:tcW w:w="180" w:type="dxa"/>
            <w:vAlign w:val="bottom"/>
          </w:tcPr>
          <w:p>
            <w:pPr>
              <w:spacing w:after="0"/>
              <w:rPr>
                <w:sz w:val="20"/>
                <w:szCs w:val="20"/>
                <w:color w:val="auto"/>
              </w:rPr>
            </w:pP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177,532</w:t>
            </w:r>
          </w:p>
        </w:tc>
        <w:tc>
          <w:tcPr>
            <w:tcW w:w="1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(177,532)</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420"/>
              <w:spacing w:after="0"/>
              <w:rPr>
                <w:sz w:val="20"/>
                <w:szCs w:val="20"/>
                <w:color w:val="auto"/>
              </w:rPr>
            </w:pPr>
            <w:r>
              <w:rPr>
                <w:rFonts w:ascii="Arial" w:cs="Arial" w:eastAsia="Arial" w:hAnsi="Arial"/>
                <w:sz w:val="16"/>
                <w:szCs w:val="16"/>
                <w:color w:val="auto"/>
              </w:rPr>
              <w:t>Cuts and Jobs Act</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5,933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(5,933)</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Nonrecurring deferred tax benefit</w:t>
            </w:r>
          </w:p>
        </w:tc>
        <w:tc>
          <w:tcPr>
            <w:tcW w:w="180" w:type="dxa"/>
            <w:vAlign w:val="bottom"/>
          </w:tcPr>
          <w:p>
            <w:pPr>
              <w:spacing w:after="0"/>
              <w:rPr>
                <w:sz w:val="23"/>
                <w:szCs w:val="23"/>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8,286</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283"/>
        </w:trPr>
        <w:tc>
          <w:tcPr>
            <w:tcW w:w="4660" w:type="dxa"/>
            <w:vAlign w:val="bottom"/>
          </w:tcPr>
          <w:p>
            <w:pPr>
              <w:ind w:left="260"/>
              <w:spacing w:after="0"/>
              <w:rPr>
                <w:sz w:val="20"/>
                <w:szCs w:val="20"/>
                <w:color w:val="auto"/>
              </w:rPr>
            </w:pPr>
            <w:r>
              <w:rPr>
                <w:rFonts w:ascii="Arial" w:cs="Arial" w:eastAsia="Arial" w:hAnsi="Arial"/>
                <w:sz w:val="16"/>
                <w:szCs w:val="16"/>
                <w:color w:val="auto"/>
              </w:rPr>
              <w:t>Favorable out of period deferred tax adjustment</w:t>
            </w:r>
          </w:p>
        </w:tc>
        <w:tc>
          <w:tcPr>
            <w:tcW w:w="180" w:type="dxa"/>
            <w:vAlign w:val="bottom"/>
          </w:tcPr>
          <w:p>
            <w:pPr>
              <w:spacing w:after="0"/>
              <w:rPr>
                <w:sz w:val="24"/>
                <w:szCs w:val="24"/>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5,631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6"/>
                <w:szCs w:val="16"/>
                <w:color w:val="auto"/>
              </w:rPr>
              <w:t>Net Income, adjusted (non-GAAP)</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128,579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167,629</w:t>
            </w:r>
          </w:p>
        </w:tc>
        <w:tc>
          <w:tcPr>
            <w:tcW w:w="0" w:type="dxa"/>
            <w:vAlign w:val="bottom"/>
          </w:tcPr>
          <w:p>
            <w:pPr>
              <w:spacing w:after="0"/>
              <w:rPr>
                <w:sz w:val="1"/>
                <w:szCs w:val="1"/>
                <w:color w:val="auto"/>
              </w:rPr>
            </w:pPr>
          </w:p>
        </w:tc>
      </w:tr>
      <w:tr>
        <w:trPr>
          <w:trHeight w:val="441"/>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b w:val="1"/>
                <w:bCs w:val="1"/>
                <w:color w:val="auto"/>
              </w:rPr>
              <w:t>Company Common 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Arial" w:cs="Arial" w:eastAsia="Arial" w:hAnsi="Arial"/>
                <w:sz w:val="16"/>
                <w:szCs w:val="16"/>
                <w:color w:val="auto"/>
              </w:rPr>
              <w:t>Diluted income per common share, as reported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53.89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37"/>
        </w:trPr>
        <w:tc>
          <w:tcPr>
            <w:tcW w:w="46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1.12</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1.03</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Settlement gain related to a bulk lump sum pension offering</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Net gain from the sales of land and marketable securities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38"/>
        </w:trPr>
        <w:tc>
          <w:tcPr>
            <w:tcW w:w="4660" w:type="dxa"/>
            <w:vAlign w:val="bottom"/>
          </w:tcPr>
          <w:p>
            <w:pPr>
              <w:ind w:left="260"/>
              <w:spacing w:after="0"/>
              <w:rPr>
                <w:sz w:val="20"/>
                <w:szCs w:val="20"/>
                <w:color w:val="auto"/>
              </w:rPr>
            </w:pPr>
            <w:r>
              <w:rPr>
                <w:rFonts w:ascii="Arial" w:cs="Arial" w:eastAsia="Arial" w:hAnsi="Arial"/>
                <w:sz w:val="16"/>
                <w:szCs w:val="16"/>
                <w:color w:val="auto"/>
              </w:rPr>
              <w:t>Gains from the sale of a business and the formation of a</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420"/>
              <w:spacing w:after="0"/>
              <w:rPr>
                <w:sz w:val="20"/>
                <w:szCs w:val="20"/>
                <w:color w:val="auto"/>
              </w:rPr>
            </w:pPr>
            <w:r>
              <w:rPr>
                <w:rFonts w:ascii="Arial" w:cs="Arial" w:eastAsia="Arial" w:hAnsi="Arial"/>
                <w:sz w:val="16"/>
                <w:szCs w:val="16"/>
                <w:color w:val="auto"/>
              </w:rPr>
              <w:t>joint venture</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Write-downs of cost method and equity method investment</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Foreign currency (gain) loss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(0.37)</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8"/>
        </w:trPr>
        <w:tc>
          <w:tcPr>
            <w:tcW w:w="4660" w:type="dxa"/>
            <w:vAlign w:val="bottom"/>
          </w:tcPr>
          <w:p>
            <w:pPr>
              <w:ind w:left="260"/>
              <w:spacing w:after="0"/>
              <w:rPr>
                <w:sz w:val="20"/>
                <w:szCs w:val="20"/>
                <w:color w:val="auto"/>
              </w:rPr>
            </w:pPr>
            <w:r>
              <w:rPr>
                <w:rFonts w:ascii="Arial" w:cs="Arial" w:eastAsia="Arial" w:hAnsi="Arial"/>
                <w:sz w:val="16"/>
                <w:szCs w:val="16"/>
                <w:color w:val="auto"/>
              </w:rPr>
              <w:t>Net deferred tax benefits related to the enactment of the Tax</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(31.68)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420"/>
              <w:spacing w:after="0"/>
              <w:rPr>
                <w:sz w:val="20"/>
                <w:szCs w:val="20"/>
                <w:color w:val="auto"/>
              </w:rPr>
            </w:pPr>
            <w:r>
              <w:rPr>
                <w:rFonts w:ascii="Arial" w:cs="Arial" w:eastAsia="Arial" w:hAnsi="Arial"/>
                <w:sz w:val="16"/>
                <w:szCs w:val="16"/>
                <w:color w:val="auto"/>
              </w:rPr>
              <w:t>Cuts and Jobs Act</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Nonrecurring deferred tax benefit</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83"/>
        </w:trPr>
        <w:tc>
          <w:tcPr>
            <w:tcW w:w="4660" w:type="dxa"/>
            <w:vAlign w:val="bottom"/>
          </w:tcPr>
          <w:p>
            <w:pPr>
              <w:ind w:left="260"/>
              <w:spacing w:after="0"/>
              <w:rPr>
                <w:sz w:val="20"/>
                <w:szCs w:val="20"/>
                <w:color w:val="auto"/>
              </w:rPr>
            </w:pPr>
            <w:r>
              <w:rPr>
                <w:rFonts w:ascii="Arial" w:cs="Arial" w:eastAsia="Arial" w:hAnsi="Arial"/>
                <w:sz w:val="16"/>
                <w:szCs w:val="16"/>
                <w:color w:val="auto"/>
              </w:rPr>
              <w:t>Favorable out of period deferred tax adjustment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6"/>
                <w:szCs w:val="16"/>
                <w:color w:val="auto"/>
              </w:rPr>
              <w:t>Diluted income per common share, adjusted (non-GAAP)</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22.93</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29.66</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 #</w:t>
      </w:r>
    </w:p>
    <w:sectPr>
      <w:pgSz w:w="11900" w:h="16838" w:orient="portrait"/>
      <w:cols w:equalWidth="0" w:num="1">
        <w:col w:w="11360"/>
      </w:cols>
      <w:pgMar w:left="280" w:top="74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2019-12-29T01:23:37Z</dcterms:created>
  <dcterms:modified xsi:type="dcterms:W3CDTF">2019-12-29T01:23:37Z</dcterms:modified>
</cp:coreProperties>
</file>