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4, 2015</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November 4, 2015, Graham Holdings Company issued a press release announcing the Company’s earnings for the third quarter ended September 30, 2015.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November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240" w:top="832" w:right="5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Graham Holdings Company</w:t>
            </w:r>
          </w:p>
        </w:tc>
        <w:tc>
          <w:tcPr>
            <w:tcW w:w="46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jc w:val="center"/>
              <w:ind w:right="4860"/>
              <w:spacing w:after="0"/>
              <w:rPr>
                <w:sz w:val="20"/>
                <w:szCs w:val="20"/>
                <w:color w:val="auto"/>
              </w:rPr>
            </w:pPr>
            <w:r>
              <w:rPr>
                <w:rFonts w:ascii="Arial" w:cs="Arial" w:eastAsia="Arial" w:hAnsi="Arial"/>
                <w:sz w:val="18"/>
                <w:szCs w:val="18"/>
                <w:color w:val="auto"/>
                <w:w w:val="99"/>
              </w:rPr>
              <w:t>(Registrant)</w:t>
            </w:r>
          </w:p>
        </w:tc>
      </w:tr>
      <w:tr>
        <w:trPr>
          <w:trHeight w:val="824"/>
        </w:trPr>
        <w:tc>
          <w:tcPr>
            <w:tcW w:w="440" w:type="dxa"/>
            <w:vAlign w:val="bottom"/>
            <w:gridSpan w:val="2"/>
          </w:tcPr>
          <w:p>
            <w:pPr>
              <w:spacing w:after="0"/>
              <w:rPr>
                <w:sz w:val="20"/>
                <w:szCs w:val="20"/>
                <w:color w:val="auto"/>
              </w:rPr>
            </w:pPr>
            <w:r>
              <w:rPr>
                <w:rFonts w:ascii="Arial" w:cs="Arial" w:eastAsia="Arial" w:hAnsi="Arial"/>
                <w:sz w:val="18"/>
                <w:szCs w:val="18"/>
                <w:color w:val="auto"/>
              </w:rPr>
              <w:t>Date</w:t>
            </w:r>
          </w:p>
        </w:tc>
        <w:tc>
          <w:tcPr>
            <w:tcW w:w="2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November 5, 2015</w:t>
            </w:r>
          </w:p>
        </w:tc>
        <w:tc>
          <w:tcPr>
            <w:tcW w:w="1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/s/ Hal S. Jones</w:t>
            </w:r>
          </w:p>
        </w:tc>
        <w:tc>
          <w:tcPr>
            <w:tcW w:w="4740" w:type="dxa"/>
            <w:vAlign w:val="bottom"/>
            <w:gridSpan w:val="2"/>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ind w:left="540"/>
              <w:spacing w:after="0"/>
              <w:rPr>
                <w:sz w:val="20"/>
                <w:szCs w:val="20"/>
                <w:color w:val="auto"/>
              </w:rPr>
            </w:pPr>
            <w:r>
              <w:rPr>
                <w:rFonts w:ascii="Arial" w:cs="Arial" w:eastAsia="Arial" w:hAnsi="Arial"/>
                <w:sz w:val="18"/>
                <w:szCs w:val="18"/>
                <w:color w:val="auto"/>
              </w:rPr>
              <w:t>Hal S. Jones</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80" w:type="dxa"/>
            <w:vAlign w:val="bottom"/>
            <w:gridSpan w:val="5"/>
          </w:tcPr>
          <w:p>
            <w:pPr>
              <w:jc w:val="center"/>
              <w:ind w:right="3240"/>
              <w:spacing w:after="0"/>
              <w:rPr>
                <w:sz w:val="20"/>
                <w:szCs w:val="20"/>
                <w:color w:val="auto"/>
              </w:rPr>
            </w:pPr>
            <w:r>
              <w:rPr>
                <w:rFonts w:ascii="Arial" w:cs="Arial" w:eastAsia="Arial" w:hAnsi="Arial"/>
                <w:sz w:val="18"/>
                <w:szCs w:val="18"/>
                <w:color w:val="auto"/>
              </w:rPr>
              <w:t>Senior Vice President–Finance</w:t>
            </w: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716"/>
        </w:trPr>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40" w:type="dxa"/>
            <w:vAlign w:val="bottom"/>
            <w:gridSpan w:val="3"/>
          </w:tcPr>
          <w:p>
            <w:pPr>
              <w:jc w:val="right"/>
              <w:ind w:right="8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620" w:type="dxa"/>
            <w:vAlign w:val="bottom"/>
          </w:tcPr>
          <w:p>
            <w:pPr>
              <w:spacing w:after="0"/>
              <w:rPr>
                <w:sz w:val="18"/>
                <w:szCs w:val="18"/>
                <w:color w:val="auto"/>
              </w:rPr>
            </w:pPr>
          </w:p>
        </w:tc>
      </w:tr>
    </w:tbl>
    <w:p>
      <w:pPr>
        <w:sectPr>
          <w:pgSz w:w="11900" w:h="16838" w:orient="portrait"/>
          <w:cols w:equalWidth="0" w:num="1">
            <w:col w:w="11400"/>
          </w:cols>
          <w:pgMar w:left="240" w:top="83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tab/>
        <w:t>Graham Holdings Company Earnings Release dated November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For Immediate</w:t>
            </w:r>
          </w:p>
        </w:tc>
        <w:tc>
          <w:tcPr>
            <w:tcW w:w="680" w:type="dxa"/>
            <w:vAlign w:val="bottom"/>
          </w:tcPr>
          <w:p>
            <w:pPr>
              <w:ind w:left="20"/>
              <w:spacing w:after="0"/>
              <w:rPr>
                <w:sz w:val="20"/>
                <w:szCs w:val="20"/>
                <w:color w:val="auto"/>
              </w:rPr>
            </w:pPr>
            <w:r>
              <w:rPr>
                <w:rFonts w:ascii="Arial" w:cs="Arial" w:eastAsia="Arial" w:hAnsi="Arial"/>
                <w:sz w:val="18"/>
                <w:szCs w:val="18"/>
                <w:color w:val="auto"/>
                <w:w w:val="96"/>
              </w:rPr>
              <w:t>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(703) 345-6370</w:t>
            </w:r>
          </w:p>
        </w:tc>
        <w:tc>
          <w:tcPr>
            <w:tcW w:w="2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November 4,</w:t>
            </w: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2015</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THIRD QUARTER EARNINGS</w:t>
      </w:r>
    </w:p>
    <w:p>
      <w:pPr>
        <w:spacing w:after="0" w:line="14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ARLINGTON, VA – Graham Holdings Company (NYSE: GHC) today reported a loss from continuing operations attributable to common shares of $231.2 million ($40.32 per share) for the third quarter of 2015, compared to income of $10.1 million ($ 1.73 per share) for the third quarter of 2014. Net loss attributable to common shares was $ 230.8 million ($ 40.25 per share) for the third quarter ended September 30, 2015, compared to income of $76.4 million ($13.12 per share) for the third quarter of last year. Net (loss) income includes $0.4 million ($0.07 per share) and $66.2 million ($11.39 per share) in income from discontinued operations for the third quarter of 2015 and 2014, respectively. (Refer to “Discontinued Operations” discussion below.)</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As a result of continued declines in student enrollments at Kaplan Higher Education (KHE) and the challenging industry operating environment, Kaplan completed an interim impairment review of KHE's goodwill in the third quarter of 2015 that resulted in a preliminary $248.6 million goodwill impairment charge. Due to the complexity and effort required to estimate the fair value of KHE, the Company derived the fair value estimate based on preliminary assumptions and analysis that are subject to change. Any adjustment to the estimated impairment charge will be recorded in the fourth quarter of 2015.</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results for the third quarter of 2015 and 2014 were affected by the goodwill impairment charge and a number of other items as described in the following paragraphs. Excluding these items, income from continuing operations attributable to common shares was $35.6 million ($6.05 per share) for the third quarter of 2015, compared to $25.6 million ($4.39 per share) for the third quarter of 2014.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third quarter of 2015:</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$248.6 million preliminary goodwill impairment charge related to the KHE business (after-tax impact of $217.1 million, or $37.85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$9.5 million in restructuring charges at the education division (after-tax impact of $5.8 million, or $1.00 per share);</w:t>
      </w:r>
    </w:p>
    <w:p>
      <w:pPr>
        <w:spacing w:after="0" w:line="144"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$18.8 million in expense related to the modification of stock options awards related to the cable spin-off (after-tax impact of $11.6 million, or $1.99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$26.3 million in net non-operating losses arising from the sales of two businesses (after-tax impact of $24.3 million, or $4.16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$13.0 million in non-operating unrealized foreign currency losses (after-tax impact of $8.0 million, or $1.37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2014:</w:t>
      </w:r>
    </w:p>
    <w:p>
      <w:pPr>
        <w:spacing w:after="0" w:line="144" w:lineRule="exact"/>
        <w:rPr>
          <w:sz w:val="20"/>
          <w:szCs w:val="20"/>
          <w:color w:val="auto"/>
        </w:rPr>
      </w:pPr>
    </w:p>
    <w:p>
      <w:pPr>
        <w:ind w:left="180" w:right="2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$13.6 million in restructuring charges at the education division and early retirement program expense and related charges at the corporate office (after-tax impact of $8.7 million, or $1.50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$10.6 million in non-operating unrealized foreign currency losses (after-tax impact of $6.8 million, or $1.16 per share).</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third quarter of 2015 was $ 641.4 million, down 9% from $703.2 million in the third quarter of 2014. Revenues declined at the education division and in other businesses, offset by an increase at the television broadcasting division. The Company reported an operating loss of $213.7 million for the third quarter of 2015, compared to operating income of $41.2 million for the third quarter of 2014. Operating results were down at the education and television broadcasting divisions, offset by improvement in other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2015, the Company reported a loss from continuing operations attributable to common shares of $194.6 million</w:t>
      </w:r>
    </w:p>
    <w:p>
      <w:pPr>
        <w:ind w:right="100"/>
        <w:spacing w:after="0" w:line="229" w:lineRule="auto"/>
        <w:rPr>
          <w:sz w:val="20"/>
          <w:szCs w:val="20"/>
          <w:color w:val="auto"/>
        </w:rPr>
      </w:pPr>
      <w:r>
        <w:rPr>
          <w:rFonts w:ascii="Arial" w:cs="Arial" w:eastAsia="Arial" w:hAnsi="Arial"/>
          <w:sz w:val="18"/>
          <w:szCs w:val="18"/>
          <w:color w:val="auto"/>
        </w:rPr>
        <w:t>($34.18 per share), compared to income of $459.4 million ($66.52 per share) for the first nine months of 2014. Net loss attributable to common shares was $152.5 million ($26.19 per share) for the first nine months of 2015, compared to income of $958.6 million ($138.79 per share) for the same period of 2014. Net (loss)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right="120"/>
        <w:spacing w:after="0" w:line="235" w:lineRule="auto"/>
        <w:rPr>
          <w:sz w:val="20"/>
          <w:szCs w:val="20"/>
          <w:color w:val="auto"/>
        </w:rPr>
      </w:pPr>
      <w:r>
        <w:rPr>
          <w:rFonts w:ascii="Arial" w:cs="Arial" w:eastAsia="Arial" w:hAnsi="Arial"/>
          <w:sz w:val="18"/>
          <w:szCs w:val="18"/>
          <w:color w:val="auto"/>
        </w:rPr>
        <w:t>income includes $42.2 million ($7.99 per share) and $499.2 million ($72.27 per share) in income from discontinued operations for the first nine months of 2015 and 2014, respectively. (Refer to “Discontinued Operations” discussion below.)</w:t>
      </w:r>
    </w:p>
    <w:p>
      <w:pPr>
        <w:spacing w:after="0" w:line="148"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results for the first nine months of 2015 and 2014 were affected by a number of significant items as described in the following paragraphs. Excluding these items, income from continuing operations attributable to common shares was $ 87.6 million ($14.95 per share) for the first nine months of 2015, compared to $72.6 million ($10.52 per share) for the first nine months of 2014. (Refer to the Non-GAAP Financial Information schedule at the end of this release for additional details.)</w:t>
      </w:r>
    </w:p>
    <w:p>
      <w:pPr>
        <w:spacing w:after="0" w:line="191"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15% fewer diluted shares outstanding in the first nine months of 2015, versus the same period in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first nine months of 2015:</w:t>
      </w:r>
    </w:p>
    <w:p>
      <w:pPr>
        <w:spacing w:after="0" w:line="144" w:lineRule="exact"/>
        <w:rPr>
          <w:sz w:val="20"/>
          <w:szCs w:val="20"/>
          <w:color w:val="auto"/>
        </w:rPr>
      </w:pPr>
    </w:p>
    <w:p>
      <w:pPr>
        <w:ind w:left="180" w:right="18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$255.5 million preliminary goodwill and long-lived asset impairment charges related to the KHE business (after-tax impact of $221.5 million, or $38.57 per share);</w:t>
      </w:r>
    </w:p>
    <w:p>
      <w:pPr>
        <w:spacing w:after="0" w:line="134" w:lineRule="exact"/>
        <w:rPr>
          <w:rFonts w:ascii="Arial" w:cs="Arial" w:eastAsia="Arial" w:hAnsi="Arial"/>
          <w:sz w:val="18"/>
          <w:szCs w:val="18"/>
          <w:color w:val="auto"/>
        </w:rPr>
      </w:pPr>
    </w:p>
    <w:p>
      <w:pPr>
        <w:ind w:left="180" w:right="28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$36.8 million in restructuring charges and accelerated depreciation at the education division (after-tax impact of $23.3 million, or $4.01 per share);</w:t>
      </w:r>
    </w:p>
    <w:p>
      <w:pPr>
        <w:spacing w:after="0" w:line="134"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$18.8 million in expense related to the modification of stock options awards related to the cable spin-off (after-tax impact of $11.6 million, or $2.00 per share);</w:t>
      </w:r>
    </w:p>
    <w:p>
      <w:pPr>
        <w:spacing w:after="0" w:line="134"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$16.2 million in non-operating unrealized foreign currency losses (after-tax impact of $10.1 million, or $1.73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2014:</w:t>
      </w:r>
    </w:p>
    <w:p>
      <w:pPr>
        <w:spacing w:after="0" w:line="144" w:lineRule="exact"/>
        <w:rPr>
          <w:sz w:val="20"/>
          <w:szCs w:val="20"/>
          <w:color w:val="auto"/>
        </w:rPr>
      </w:pPr>
    </w:p>
    <w:p>
      <w:pPr>
        <w:ind w:right="580" w:firstLine="8"/>
        <w:spacing w:after="0" w:line="235" w:lineRule="auto"/>
        <w:tabs>
          <w:tab w:leader="none" w:pos="113" w:val="left"/>
        </w:tabs>
        <w:numPr>
          <w:ilvl w:val="0"/>
          <w:numId w:val="5"/>
        </w:numPr>
        <w:rPr>
          <w:rFonts w:ascii="Arial" w:cs="Arial" w:eastAsia="Arial" w:hAnsi="Arial"/>
          <w:sz w:val="18"/>
          <w:szCs w:val="18"/>
          <w:color w:val="auto"/>
        </w:rPr>
      </w:pPr>
      <w:r>
        <w:rPr>
          <w:rFonts w:ascii="Arial" w:cs="Arial" w:eastAsia="Arial" w:hAnsi="Arial"/>
          <w:sz w:val="18"/>
          <w:szCs w:val="18"/>
          <w:color w:val="auto"/>
        </w:rPr>
        <w:t>$28.6 million in early retirement program expense, restructuring charges and software asset write-offs at the education division and the corporate office (after-tax impact of $18.3 million, or $2.65 per share);</w:t>
      </w:r>
    </w:p>
    <w:p>
      <w:pPr>
        <w:spacing w:after="0" w:line="134"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$8.43 per share);</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$38.61 per share);</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$11.85 per share);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 million in non-operating unrealized foreign currency losses (after-tax impact of $1.7 million, or $0.24 per share).</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first nine months of 2015 was $ 1,969.7 million, down 2% from $2,009.4 million in the first nine months of 2014. Revenues were down at the education division, but increased in other businesses and at the television broadcasting division. The Company reported an operating loss of $148.6 million for the first nine months of 2015, compared to operating income of $133.7 million for the first nine months of 2014. Operating results declined at the education and television broadcasting divisions, but improved in other businesses.</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On July 1, 2015, the Company completed the spin-off of Cable ONE as an independent, publicly 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The historical operating results of the Company's cable division are included in discontinued operations, net of tax, for all periods presented.</w:t>
      </w:r>
    </w:p>
    <w:p>
      <w:pPr>
        <w:spacing w:after="0" w:line="135"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thirty-eight nationally accredited ground campuses, and certain related assets, in exchange for a preferred equity interest in ECA. The transaction closed on September 3, 2015.</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 w:name="page7"/>
    <w:bookmarkEnd w:id="6"/>
    <w:p>
      <w:pPr>
        <w:ind w:right="100"/>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first nine months of 2014 includes a $266.7 million gain from the exchange of the Berkshire Hathaway shares, and income from discontinued operations for the first nine months of 2014 includes a $375.0 million gain from the WPLG exchange.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Education division revenue totaled $481.7 million for the third quarter of 2015, down 11% from revenue of $543.9 million for the same period of 2014. Kaplan reported an operating loss of $242.8 million for the third quarter of 2015, compared to operating income of $12.6 million for the third quarter of 2014. Operating results for the third quarter of 2015 include a preliminary $248.6 million goodwill impairment charge related to Kaplan Higher Education (KHE). Operating results for the third quarter of 2015 and 2014 also include restructuring costs of $9.5 million and $3.3 million, respectively.</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For the first nine months of 2015, education division revenue totaled $1,506.0 million, down 6% from revenue of $ 1,609.0 million for the same period of 2014. Kaplan reported an operating loss of $ 249.8 million for the first nine months of 2015, compared to operating income of $32.1 million for the first nine months of 2014. The operating results for the first nine months of 2015 include preliminary $255.5 million in goodwill and other long-lived asset impairment charges related to KHE. Restructuring costs totaled $36.8 million and $13.8 million for the first nine months of 2015 and 2014,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first nine months of 2015 compared to 2014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2014</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203,529</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249,882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681,814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755,597</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83,706</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85,108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233,313</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234,010</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192,702</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207,615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585,486</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615,507</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1,905</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1,492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5,723</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4,891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(96)</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(363)</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481,746</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543,918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1,505,973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1,609,036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3,153</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5,391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28,510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39,487</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13,620</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6,980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16,365</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8,295</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13,853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33,585</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40,609</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(17,952)</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(11,724)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(68,553)</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(38,959)</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(1,339)</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(4,313)</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8"/>
        </w:trPr>
        <w:tc>
          <w:tcPr>
            <w:tcW w:w="346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w:t>
            </w:r>
          </w:p>
        </w:tc>
        <w:tc>
          <w:tcPr>
            <w:tcW w:w="320" w:type="dxa"/>
            <w:vAlign w:val="bottom"/>
          </w:tcPr>
          <w:p>
            <w:pPr>
              <w:spacing w:after="0"/>
              <w:rPr>
                <w:sz w:val="20"/>
                <w:szCs w:val="20"/>
                <w:color w:val="auto"/>
              </w:rPr>
            </w:pPr>
          </w:p>
        </w:tc>
        <w:tc>
          <w:tcPr>
            <w:tcW w:w="10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(248,591)</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(255,467)</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3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95</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6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(242,777)</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12,551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(249,778)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32,050</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Since 2012, KHE has continued to close campuses, consolidate facilities and reduce its workforce. On September 3, 2015, Kaplan completed the sale of substantially all of the remaining assets of its KHE Campuses business. In connection with these and other plans, KHE</w:t>
      </w:r>
    </w:p>
    <w:p>
      <w:pPr>
        <w:ind w:right="60"/>
        <w:spacing w:after="0" w:line="223" w:lineRule="auto"/>
        <w:rPr>
          <w:sz w:val="20"/>
          <w:szCs w:val="20"/>
          <w:color w:val="auto"/>
        </w:rPr>
      </w:pPr>
      <w:r>
        <w:rPr>
          <w:rFonts w:ascii="Arial" w:cs="Arial" w:eastAsia="Arial" w:hAnsi="Arial"/>
          <w:sz w:val="18"/>
          <w:szCs w:val="18"/>
          <w:color w:val="auto"/>
        </w:rPr>
        <w:t>incurred $3.8 million and $9.2 million in restructuring costs for the third quarter and first nine months of 2015, respectively, and $2.0 million and $4.5 million in restructuring costs in the third quarter and first nine months of 2014. For the third quarter of 2015, these costs included severance ($3.1 million, $1.7 million of which will be funded from the assets of the Company's pension plan), lease obligation losses ($0.5 million) and accelerated depreciation ($ 0.2 million). For the first nine months of 2015, these costs included severance ($5.3 million, $1.7 million of which will be funded from the assets of the Company's pension plan), lease obligation losses ($2.3 million), accelerated depreciation ($1.5 million) and other items ($0.1 million). For the third quarter of 2014, these costs included severance ($1.0 million), accelerated depreciation ($0.9 million) and other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4" w:right="239" w:bottom="1440" w:gutter="0" w:footer="0" w:header="0"/>
          <w:type w:val="continuous"/>
        </w:sectPr>
      </w:pPr>
    </w:p>
    <w:bookmarkStart w:id="7" w:name="page8"/>
    <w:bookmarkEnd w:id="7"/>
    <w:p>
      <w:pPr>
        <w:ind w:right="320"/>
        <w:spacing w:after="0" w:line="235" w:lineRule="auto"/>
        <w:rPr>
          <w:sz w:val="20"/>
          <w:szCs w:val="20"/>
          <w:color w:val="auto"/>
        </w:rPr>
      </w:pPr>
      <w:r>
        <w:rPr>
          <w:rFonts w:ascii="Arial" w:cs="Arial" w:eastAsia="Arial" w:hAnsi="Arial"/>
          <w:sz w:val="18"/>
          <w:szCs w:val="18"/>
          <w:color w:val="auto"/>
        </w:rPr>
        <w:t>items ($0.1 million). For the first nine months of 2014, these costs included severance ($3.0 million), accelerated depreciation ($1.2 million), lease obligation losses ($0.1 million) and other items ($0.2 million).</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preliminary $248.6 million goodwill impairment charge. Any adjustment to the estimated impairment charge will be recorded in the fourth quarter of 2015. This goodwill impairment charge followed a $6.9 million long-lived asset impairment charge that was recorded in the second quarter of 2015 in connection with the KHE Campuses business.</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KHE results include revenue and operating losses related to all KHE Campuses, those sold to ECA or closed, including Mount Washington College and Bauder College,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4"/>
              <w:spacing w:after="0"/>
              <w:rPr>
                <w:sz w:val="20"/>
                <w:szCs w:val="20"/>
                <w:color w:val="auto"/>
              </w:rPr>
            </w:pPr>
            <w:r>
              <w:rPr>
                <w:rFonts w:ascii="Arial" w:cs="Arial" w:eastAsia="Arial" w:hAnsi="Arial"/>
                <w:sz w:val="16"/>
                <w:szCs w:val="16"/>
                <w:b w:val="1"/>
                <w:bCs w:val="1"/>
                <w:color w:val="auto"/>
              </w:rPr>
              <w:t>45,341</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72,960</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176,800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227,198</w:t>
            </w:r>
          </w:p>
        </w:tc>
      </w:tr>
      <w:tr>
        <w:trPr>
          <w:trHeight w:val="270"/>
        </w:trPr>
        <w:tc>
          <w:tcPr>
            <w:tcW w:w="63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4"/>
              <w:spacing w:after="0"/>
              <w:rPr>
                <w:sz w:val="20"/>
                <w:szCs w:val="20"/>
                <w:color w:val="auto"/>
              </w:rPr>
            </w:pPr>
            <w:r>
              <w:rPr>
                <w:rFonts w:ascii="Arial" w:cs="Arial" w:eastAsia="Arial" w:hAnsi="Arial"/>
                <w:sz w:val="16"/>
                <w:szCs w:val="16"/>
                <w:b w:val="1"/>
                <w:bCs w:val="1"/>
                <w:color w:val="auto"/>
              </w:rPr>
              <w:t>(14,745)</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(7,333)</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(33,808)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(25,635)</w:t>
            </w:r>
          </w:p>
        </w:tc>
      </w:tr>
    </w:tbl>
    <w:p>
      <w:pPr>
        <w:spacing w:after="0" w:line="16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In the third quarter and first nine months of 2015, KHE revenue declined 19% and 10%, respectively, due to campus sales and closings, and declines in average enrollments at Kaplan University, reflecting weaker market demand. KHE operating results declined in the third quarter of 2015 due to increased losses at the KHE Campuses business. KHE operating results were down in the first nine months of 2015 due to revenue declines, and increased restructuring costs, partially offset by improved results at the domestic professional and other continuing education businesses.</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New higher education student enrollments at Kaplan University declined 11% in each of the third quarter and first nine months of 2015 due to lower demand across Kaplan University programs.</w:t>
      </w:r>
    </w:p>
    <w:p>
      <w:pPr>
        <w:spacing w:after="0" w:line="135"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color w:val="auto"/>
        </w:rPr>
        <w:t>Total students at Kaplan University were down 7% at September 30, 2015 compared to September 30, 2014. A summary of student enrollments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9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2014</w:t>
            </w:r>
          </w:p>
        </w:tc>
      </w:tr>
      <w:tr>
        <w:trPr>
          <w:trHeight w:val="250"/>
        </w:trPr>
        <w:tc>
          <w:tcPr>
            <w:tcW w:w="9480" w:type="dxa"/>
            <w:vAlign w:val="bottom"/>
            <w:gridSpan w:val="2"/>
          </w:tcPr>
          <w:p>
            <w:pPr>
              <w:ind w:left="40"/>
              <w:spacing w:after="0"/>
              <w:rPr>
                <w:sz w:val="20"/>
                <w:szCs w:val="20"/>
                <w:color w:val="auto"/>
              </w:rPr>
            </w:pPr>
            <w:r>
              <w:rPr>
                <w:rFonts w:ascii="Arial" w:cs="Arial" w:eastAsia="Arial" w:hAnsi="Arial"/>
                <w:sz w:val="16"/>
                <w:szCs w:val="16"/>
                <w:color w:val="auto"/>
              </w:rPr>
              <w:t>Kaplan University</w:t>
            </w:r>
          </w:p>
        </w:tc>
        <w:tc>
          <w:tcPr>
            <w:tcW w:w="1060" w:type="dxa"/>
            <w:vAlign w:val="bottom"/>
          </w:tcPr>
          <w:p>
            <w:pPr>
              <w:ind w:left="320"/>
              <w:spacing w:after="0"/>
              <w:rPr>
                <w:sz w:val="20"/>
                <w:szCs w:val="20"/>
                <w:color w:val="auto"/>
              </w:rPr>
            </w:pPr>
            <w:r>
              <w:rPr>
                <w:rFonts w:ascii="Arial" w:cs="Arial" w:eastAsia="Arial" w:hAnsi="Arial"/>
                <w:sz w:val="16"/>
                <w:szCs w:val="16"/>
                <w:b w:val="1"/>
                <w:bCs w:val="1"/>
                <w:color w:val="auto"/>
              </w:rPr>
              <w:t>42,931</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46,342</w:t>
            </w:r>
          </w:p>
        </w:tc>
      </w:tr>
      <w:tr>
        <w:trPr>
          <w:trHeight w:val="384"/>
        </w:trPr>
        <w:tc>
          <w:tcPr>
            <w:tcW w:w="9480" w:type="dxa"/>
            <w:vAlign w:val="bottom"/>
            <w:gridSpan w:val="2"/>
          </w:tcPr>
          <w:p>
            <w:pPr>
              <w:spacing w:after="0"/>
              <w:rPr>
                <w:sz w:val="20"/>
                <w:szCs w:val="20"/>
                <w:color w:val="auto"/>
              </w:rPr>
            </w:pPr>
            <w:r>
              <w:rPr>
                <w:rFonts w:ascii="Arial" w:cs="Arial" w:eastAsia="Arial" w:hAnsi="Arial"/>
                <w:sz w:val="18"/>
                <w:szCs w:val="18"/>
                <w:color w:val="auto"/>
              </w:rPr>
              <w:t>Kaplan University enrollments at September 30, 2015 and 2014, by degree and certificate programs, are as follows: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86"/>
        </w:trPr>
        <w:tc>
          <w:tcPr>
            <w:tcW w:w="9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9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2014</w:t>
            </w:r>
          </w:p>
        </w:tc>
      </w:tr>
      <w:tr>
        <w:trPr>
          <w:trHeight w:val="250"/>
        </w:trPr>
        <w:tc>
          <w:tcPr>
            <w:tcW w:w="9480" w:type="dxa"/>
            <w:vAlign w:val="bottom"/>
            <w:gridSpan w:val="2"/>
          </w:tcPr>
          <w:p>
            <w:pPr>
              <w:ind w:left="40"/>
              <w:spacing w:after="0"/>
              <w:rPr>
                <w:sz w:val="20"/>
                <w:szCs w:val="20"/>
                <w:color w:val="auto"/>
              </w:rPr>
            </w:pPr>
            <w:r>
              <w:rPr>
                <w:rFonts w:ascii="Arial" w:cs="Arial" w:eastAsia="Arial" w:hAnsi="Arial"/>
                <w:sz w:val="16"/>
                <w:szCs w:val="16"/>
                <w:color w:val="auto"/>
              </w:rPr>
              <w:t>Certificate</w:t>
            </w:r>
          </w:p>
        </w:tc>
        <w:tc>
          <w:tcPr>
            <w:tcW w:w="1060" w:type="dxa"/>
            <w:vAlign w:val="bottom"/>
          </w:tcPr>
          <w:p>
            <w:pPr>
              <w:jc w:val="right"/>
              <w:ind w:right="163"/>
              <w:spacing w:after="0"/>
              <w:rPr>
                <w:sz w:val="20"/>
                <w:szCs w:val="20"/>
                <w:color w:val="auto"/>
              </w:rPr>
            </w:pPr>
            <w:r>
              <w:rPr>
                <w:rFonts w:ascii="Arial" w:cs="Arial" w:eastAsia="Arial" w:hAnsi="Arial"/>
                <w:sz w:val="16"/>
                <w:szCs w:val="16"/>
                <w:b w:val="1"/>
                <w:bCs w:val="1"/>
                <w:color w:val="auto"/>
              </w:rPr>
              <w:t>3.5%</w:t>
            </w: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6"/>
                <w:szCs w:val="16"/>
                <w:color w:val="auto"/>
              </w:rPr>
              <w:t>Associate’s</w:t>
            </w:r>
          </w:p>
        </w:tc>
        <w:tc>
          <w:tcPr>
            <w:tcW w:w="1060" w:type="dxa"/>
            <w:vAlign w:val="bottom"/>
          </w:tcPr>
          <w:p>
            <w:pPr>
              <w:jc w:val="right"/>
              <w:ind w:right="163"/>
              <w:spacing w:after="0"/>
              <w:rPr>
                <w:sz w:val="20"/>
                <w:szCs w:val="20"/>
                <w:color w:val="auto"/>
              </w:rPr>
            </w:pPr>
            <w:r>
              <w:rPr>
                <w:rFonts w:ascii="Arial" w:cs="Arial" w:eastAsia="Arial" w:hAnsi="Arial"/>
                <w:sz w:val="16"/>
                <w:szCs w:val="16"/>
                <w:b w:val="1"/>
                <w:bCs w:val="1"/>
                <w:color w:val="auto"/>
              </w:rPr>
              <w:t>27.4%</w:t>
            </w:r>
          </w:p>
        </w:tc>
        <w:tc>
          <w:tcPr>
            <w:tcW w:w="88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6"/>
                <w:szCs w:val="16"/>
                <w:color w:val="auto"/>
              </w:rPr>
              <w:t>Bachelor’s</w:t>
            </w:r>
          </w:p>
        </w:tc>
        <w:tc>
          <w:tcPr>
            <w:tcW w:w="1060" w:type="dxa"/>
            <w:vAlign w:val="bottom"/>
          </w:tcPr>
          <w:p>
            <w:pPr>
              <w:jc w:val="right"/>
              <w:ind w:right="163"/>
              <w:spacing w:after="0"/>
              <w:rPr>
                <w:sz w:val="20"/>
                <w:szCs w:val="20"/>
                <w:color w:val="auto"/>
              </w:rPr>
            </w:pPr>
            <w:r>
              <w:rPr>
                <w:rFonts w:ascii="Arial" w:cs="Arial" w:eastAsia="Arial" w:hAnsi="Arial"/>
                <w:sz w:val="16"/>
                <w:szCs w:val="16"/>
                <w:b w:val="1"/>
                <w:bCs w:val="1"/>
                <w:color w:val="auto"/>
              </w:rPr>
              <w:t>47.3%</w:t>
            </w:r>
          </w:p>
        </w:tc>
        <w:tc>
          <w:tcPr>
            <w:tcW w:w="88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83"/>
        </w:trPr>
        <w:tc>
          <w:tcPr>
            <w:tcW w:w="9480" w:type="dxa"/>
            <w:vAlign w:val="bottom"/>
            <w:gridSpan w:val="2"/>
          </w:tcPr>
          <w:p>
            <w:pPr>
              <w:ind w:left="40"/>
              <w:spacing w:after="0"/>
              <w:rPr>
                <w:sz w:val="20"/>
                <w:szCs w:val="20"/>
                <w:color w:val="auto"/>
              </w:rPr>
            </w:pPr>
            <w:r>
              <w:rPr>
                <w:rFonts w:ascii="Arial" w:cs="Arial" w:eastAsia="Arial" w:hAnsi="Arial"/>
                <w:sz w:val="16"/>
                <w:szCs w:val="16"/>
                <w:color w:val="auto"/>
              </w:rPr>
              <w:t>Master’s</w:t>
            </w:r>
          </w:p>
        </w:tc>
        <w:tc>
          <w:tcPr>
            <w:tcW w:w="1060" w:type="dxa"/>
            <w:vAlign w:val="bottom"/>
          </w:tcPr>
          <w:p>
            <w:pPr>
              <w:jc w:val="right"/>
              <w:ind w:right="163"/>
              <w:spacing w:after="0"/>
              <w:rPr>
                <w:sz w:val="20"/>
                <w:szCs w:val="20"/>
                <w:color w:val="auto"/>
              </w:rPr>
            </w:pPr>
            <w:r>
              <w:rPr>
                <w:rFonts w:ascii="Arial" w:cs="Arial" w:eastAsia="Arial" w:hAnsi="Arial"/>
                <w:sz w:val="16"/>
                <w:szCs w:val="16"/>
                <w:b w:val="1"/>
                <w:bCs w:val="1"/>
                <w:color w:val="auto"/>
              </w:rPr>
              <w:t>21.8%</w:t>
            </w:r>
          </w:p>
        </w:tc>
        <w:tc>
          <w:tcPr>
            <w:tcW w:w="88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64"/>
        </w:trPr>
        <w:tc>
          <w:tcPr>
            <w:tcW w:w="93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2% for the third quarter of 2015 and was flat for the first nine months of 2015. Excluding revenues from acquired businesses, KTP revenue decreased 2% in the first nine months of 2015. Enrollments, excluding the new economy skills training offerings, were down 13% for first nine months of 2015 due primarily to declines in graduate programs; however, unit prices were generally higher. In comparison, KTP operating results improved in the third quarter and first nine months of 2015 due to a reduction in operating expenses and the inclusion of a $7.7 million software asset write-off in the second quarter of 2014 that did not recur in 2015.</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7% in the third quarter and 5% in the first nine months of 2015, respectively, due to the adverse impact of foreign exchange rates. On a constant currency basis, Kaplan International revenue increased 2% and 4% for the third quarter and first nine months of 2015, respectively, due to enrollment growth in Australia and in Singapore higher education programs, offset by enrollment declines in English-language programs. Kaplan International operating income declined in the third quarter and first nine months of 2015 due largely to the declines in English-language results.</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third quarter of 2015, Kaplan corporate recorded $ 5.3 million in severance expense, $2.1 million of which will be funded from the assets of the Company’s pension plan. In the first nine months of 2015, Kaplan corporate recorded $26.5 million in restructuring charges, including accelerated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4" w:right="239" w:bottom="1440" w:gutter="0" w:footer="0" w:header="0"/>
          <w:type w:val="continuous"/>
        </w:sectPr>
      </w:pPr>
    </w:p>
    <w:bookmarkStart w:id="8" w:name="page9"/>
    <w:bookmarkEnd w:id="8"/>
    <w:p>
      <w:pPr>
        <w:ind w:right="360"/>
        <w:spacing w:after="0" w:line="235" w:lineRule="auto"/>
        <w:rPr>
          <w:sz w:val="20"/>
          <w:szCs w:val="20"/>
          <w:color w:val="auto"/>
        </w:rPr>
      </w:pPr>
      <w:r>
        <w:rPr>
          <w:rFonts w:ascii="Arial" w:cs="Arial" w:eastAsia="Arial" w:hAnsi="Arial"/>
          <w:sz w:val="18"/>
          <w:szCs w:val="18"/>
          <w:color w:val="auto"/>
        </w:rPr>
        <w:t>depreciation ($16.2 million) and lease obligation losses ($ 4.9 million) related to office space managed by Kaplan corporate, and severance ($5.4 million, $2.1 million of which will be funded from the assets of the Company’s pension plan).</w:t>
      </w:r>
    </w:p>
    <w:p>
      <w:pPr>
        <w:spacing w:after="0" w:line="135"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In the first nine months of 2015, Kaplan sold four businesses, including the KHE Campuses business and a small business that was part of KHE, and two business that were part of Kaplan International. The net loss on the sale of these businesses totaled $26.3 million and $24.9 million in the third quarter and first nine months of 2015, respectively, that is included in other non-operating expense for the relevant periods.</w:t>
      </w:r>
    </w:p>
    <w:p>
      <w:pPr>
        <w:spacing w:after="0" w:line="131"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that will result in additional restructuring plans and related costs in the fourth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at the television broadcasting division increased 3% to $89.7 million in the third quarter of 2015, from $87.4 million in the same period of 2014; operating income for the third quarter of 2015 was down 10% to $40.5 million, from $45.0 million in the same period of 2014. The revenue increase is due to $4.8 million in increased retransmission revenues and an overall increase in advertising revenue in several key sectors, including automotive, offset by an $8.9 million decrease in political advertising revenue. The decline in operating income is due to an increase in spending on digital initiatives and increased network fees.</w:t>
      </w:r>
    </w:p>
    <w:p>
      <w:pPr>
        <w:spacing w:after="0" w:line="13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Revenue at the television broadcasting division increased 1% to $ 264.0 million in the first nine months of 2015, from $ 261.4 million in the same period of 2014; operating income for the first nine months of 2015 was down 9% to $121.1 million, from $ 133.5 million in the same period of 2014. The revenue increase is due to $ 11.5 million in increased retransmission revenues, revenues from the Super Bowl at the Company’s NBC affiliates in February 2015 and an overall increase in advertising revenue in several key sectors, offset by a $13.1 million decrease in political advertising revenue and $9.5 million in incremental winter Olympics-related advertising revenue at the Company’s NBC affiliates booked in the prior year. The decline in operating income is due to an increase in spending on digital initiatives and increased network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includes the following:</w:t>
      </w:r>
    </w:p>
    <w:p>
      <w:pPr>
        <w:spacing w:after="0" w:line="144" w:lineRule="exact"/>
        <w:rPr>
          <w:sz w:val="20"/>
          <w:szCs w:val="20"/>
          <w:color w:val="auto"/>
        </w:rPr>
      </w:pPr>
    </w:p>
    <w:p>
      <w:pPr>
        <w:ind w:right="160" w:firstLine="8"/>
        <w:spacing w:after="0" w:line="235" w:lineRule="auto"/>
        <w:tabs>
          <w:tab w:leader="none" w:pos="11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Celtic Healthcare (Celtic) and Residential Healthcare Group, Inc. (Residential, acquired in July 2014), providers of home health and hospice services;</w:t>
      </w:r>
    </w:p>
    <w:p>
      <w:pPr>
        <w:spacing w:after="0" w:line="134" w:lineRule="exact"/>
        <w:rPr>
          <w:rFonts w:ascii="Arial" w:cs="Arial" w:eastAsia="Arial" w:hAnsi="Arial"/>
          <w:sz w:val="18"/>
          <w:szCs w:val="18"/>
          <w:color w:val="auto"/>
        </w:rPr>
      </w:pPr>
    </w:p>
    <w:p>
      <w:pPr>
        <w:ind w:right="60" w:firstLine="8"/>
        <w:spacing w:after="0" w:line="258" w:lineRule="auto"/>
        <w:tabs>
          <w:tab w:leader="none" w:pos="110" w:val="left"/>
        </w:tabs>
        <w:numPr>
          <w:ilvl w:val="0"/>
          <w:numId w:val="6"/>
        </w:numPr>
        <w:rPr>
          <w:rFonts w:ascii="Arial" w:cs="Arial" w:eastAsia="Arial" w:hAnsi="Arial"/>
          <w:sz w:val="17"/>
          <w:szCs w:val="17"/>
          <w:color w:val="auto"/>
        </w:rPr>
      </w:pPr>
      <w:r>
        <w:rPr>
          <w:rFonts w:ascii="Arial" w:cs="Arial" w:eastAsia="Arial" w:hAnsi="Arial"/>
          <w:sz w:val="17"/>
          <w:szCs w:val="17"/>
          <w:color w:val="auto"/>
        </w:rPr>
        <w:t>Joyce/Dayton Corp., a Dayton, OH-based manufacturer of screw jacks and other linear motion systems (acquired in June 2014), and Forney, a global supplier of products and systems that control and monitor combustion processes in electric utility and industrial applications; and</w:t>
      </w:r>
    </w:p>
    <w:p>
      <w:pPr>
        <w:spacing w:after="0" w:line="119" w:lineRule="exact"/>
        <w:rPr>
          <w:rFonts w:ascii="Arial" w:cs="Arial" w:eastAsia="Arial" w:hAnsi="Arial"/>
          <w:sz w:val="17"/>
          <w:szCs w:val="17"/>
          <w:color w:val="auto"/>
        </w:rPr>
      </w:pPr>
    </w:p>
    <w:p>
      <w:pPr>
        <w:ind w:right="20" w:firstLine="8"/>
        <w:spacing w:after="0" w:line="229" w:lineRule="auto"/>
        <w:tabs>
          <w:tab w:leader="none" w:pos="11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SocialCode, a marketing solutions provider helping companies with marketing on social-media platforms; The Slate Group and Foreign Policy Group, which publish online and print magazines and websites; and Trove, a digital innovation team that builds products and technologies in the news space.</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increase in revenues for the first nine months of 2015 is primarily due to newly acquired businesses in 2014 and growth at SocialCode. The improved operating results for the first nine months of 2015 is also due to newly acquired businesses in 2014 and improved results at SocialCode and Celtic.</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January 2015, Celtic Healthcare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expense.</w:t>
      </w:r>
    </w:p>
    <w:p>
      <w:pPr>
        <w:spacing w:after="0" w:line="13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third quarter of 2015, the Company recorded $18.8 million in incremental stock option expense, due to stock option modifications that resulted from the Cable ONE spin-off. In the first quarter of 2014, the corporate office implemented a Separation Incentive Program that resulted in early retirement program expense of $4.5 million, which is being funded from the assets of the Company’s pension plan. In the third quarter of 2014, the Company recorded $10.3 million in early retirement program expense and other related charges, a portion of which was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4" w:right="279" w:bottom="1440" w:gutter="0" w:footer="0" w:header="0"/>
        </w:sectPr>
      </w:pPr>
    </w:p>
    <w:bookmarkStart w:id="9" w:name="page10"/>
    <w:bookmarkEnd w:id="9"/>
    <w:p>
      <w:pPr>
        <w:ind w:right="20"/>
        <w:spacing w:after="0" w:line="235" w:lineRule="auto"/>
        <w:rPr>
          <w:sz w:val="20"/>
          <w:szCs w:val="20"/>
          <w:color w:val="auto"/>
        </w:rPr>
      </w:pPr>
      <w:r>
        <w:rPr>
          <w:rFonts w:ascii="Arial" w:cs="Arial" w:eastAsia="Arial" w:hAnsi="Arial"/>
          <w:sz w:val="18"/>
          <w:szCs w:val="18"/>
          <w:color w:val="auto"/>
        </w:rPr>
        <w:t>funded from the assets of the Company's pension plan. Excluding early retirement program expense, the total pension credit for the Company’s traditional defined benefit plan was $58.7 million and $68.0 million in the first nine months of 2015 and 2014, respectively.</w:t>
      </w:r>
    </w:p>
    <w:p>
      <w:pPr>
        <w:spacing w:after="0" w:line="135" w:lineRule="exact"/>
        <w:rPr>
          <w:sz w:val="20"/>
          <w:szCs w:val="20"/>
          <w:color w:val="auto"/>
        </w:rPr>
      </w:pPr>
    </w:p>
    <w:p>
      <w:pPr>
        <w:jc w:val="both"/>
        <w:ind w:right="180"/>
        <w:spacing w:after="0" w:line="227" w:lineRule="auto"/>
        <w:rPr>
          <w:sz w:val="20"/>
          <w:szCs w:val="20"/>
          <w:color w:val="auto"/>
        </w:rPr>
      </w:pPr>
      <w:r>
        <w:rPr>
          <w:rFonts w:ascii="Arial" w:cs="Arial" w:eastAsia="Arial" w:hAnsi="Arial"/>
          <w:sz w:val="18"/>
          <w:szCs w:val="18"/>
          <w:color w:val="auto"/>
        </w:rPr>
        <w:t>Excluding the $18.8 million incremental stock option expense in 2015, the pension credit, early retirement program expense and other related charges in 2014, corporate office expense declined in the first nine months of 2015. The decline is from lower compensation costs, and 2014 costs related to certain acquisitions, the Berkshire exchange transaction and the corporate office headquarters move to Arlington, VA. These costs did not recur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At September 30, 2015, the Company held a 40% interest in the Celtic joint venture and Residential Home Health Illinois, a 42.5% interest in Residential Hospice Illinois, and interests in several other affiliates. In the second quarter of 2015, the Company acquired an approximate 20% interest in HomeHero, a company that created and manages an online senior home care marketplace. At September 30, 2014, the Company held a 16.5% interest in Classified Ventures, LLC (CV) and interests in several other affiliates. On October 1, 2014, the Company and the remaining partners in CV completed the sale of their entire stakes in CV.</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Company recorded equity in earnings of affiliates of $0.1 million for the third quarter of 2015, compared to $4.6 million for the third quarter of 2014. The Company recorded equity in losses of affiliates of $0.7 million for the first nine months of 2015, compared to income of $ 100.2 million for the first nine months of 2014. The equity in earnings of affiliates for the third quarter and first nine months of 2014 was from the Company’s CV investment, which included a pre-tax gain of $90.9 million from Classified Ventures’ sale of apartments.com in the second quarter of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16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recorded total other non-operating expense, net, of $40.5 million for the third quarter of 2015, compared to $10.7 million for the third quarter of 2014. The 2015 amounts included $26.3 million in losses from the sales of businesses, $13.0 million in unrealized foreign currency losses and other items. The 2014 amounts included $10.6 million in unrealized foreign currency losses and other items.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recorded total other non-operating expense, net, of $29.9 million for the first nine months of 2015, compared to income of $390.7 million for the first nine months of 2014. The 2015 amounts included $23.3 million in losses from the sales of businesses, $16.2 million in unrealized foreign currency losses and other items, offset by a $6.0 million gain on the Celtic joint venture transaction and a $4.8 million increase to the CV gain. The 2014 amounts included the pre-tax gain of $266.7 million in connection with the Company’s exchange of Berkshire shares, the pre-tax $127.7 million gain on the sale of the headquarters building, offset by $2.6 million in unrealized foreign currency losses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The Company incurred net interest expense of $7.3 million and $23.3 million for the third quarter and first nine months of 2015, respectively, compared to $8.8 million and $24.8 million for the same periods of 2014. At September 30, 2015, the Company had $402.8 million in borrowings outstanding at an average interest rate of 7.2% and cash, marketable equity securities and other investments of $1,346.4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Company's effective tax rate on the loss for continuing operations for the first nine months of 2015 was 4.9%, as a large portion of the goodwill impairment charge and the goodwill included in the loss on the KHE Campuses sale are permanent differences. Excluding the effect of these permanent differences, the effective tax rate for continuing operations for the first nine months of 2015 was 38.0%, compared to 23.4% for the first nine months of 2014. The lower effective tax rate in 2014 relates to the Berkshire exchange transaction. The pre-tax gain of $266.7 million related to the disposition of the Berkshire shares was not subject to income tax as the exchange qualifies as a tax-free distribution.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completed the spin-off of Cable ONE as an independent, publicly traded company.</w:t>
      </w:r>
    </w:p>
    <w:p>
      <w:pPr>
        <w:spacing w:after="0" w:line="7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216"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0" w:name="page11"/>
    <w:bookmarkEnd w:id="10"/>
    <w:p>
      <w:pPr>
        <w:ind w:right="90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gain (loss), if any, on dispositions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Earnings Per Share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calculation of diluted (loss) earnings per share for the third quarter and first nine months of 2015 was based on 5,837,107 and 5,810,672 weighted average shares outstanding, respectively, compared to 5,756,682 and 6,823,248 for the third quarter and first nine months of 2014. At September 30, 2015, there were 5,839,104 shares outstanding. On May 14, 2015, the Board of Directors authorized the Company to acquire up to 500,000 shares of its Class B common stock; the Company has remaining authorization for all 500,000 shares as of September 30,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2014</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641,432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703,205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587,592</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635,978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14,460</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18,664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4,512</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7,354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248,591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2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(213,723)</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41,209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95</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4,613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481</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529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(7,830)</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(9,298)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(40,458)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2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(261,435)</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26,330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(Benefit) provision for income taxes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(30,500)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(Loss) income from continuing operations</w:t>
            </w:r>
          </w:p>
        </w:tc>
        <w:tc>
          <w:tcPr>
            <w:tcW w:w="2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(230,935)</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10,230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66,209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2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(230,556)</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76,439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Graham Holdings Company</w:t>
            </w:r>
          </w:p>
        </w:tc>
        <w:tc>
          <w:tcPr>
            <w:tcW w:w="20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(230,843)</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76,560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(230,843)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76,351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(231,222)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10,142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66,209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(230,843)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76,351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continuing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(40.32)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0.07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Basic net (loss) income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(40.25)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Pr>
          <w:p>
            <w:pPr>
              <w:spacing w:after="0"/>
              <w:rPr>
                <w:sz w:val="20"/>
                <w:szCs w:val="20"/>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5,738</w:t>
            </w:r>
          </w:p>
        </w:tc>
        <w:tc>
          <w:tcPr>
            <w:tcW w:w="3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5,671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continuing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(40.32)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0.07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(loss) income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(40.25)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5,837</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5,757</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760" w:right="259" w:bottom="1440" w:gutter="0" w:footer="0" w:header="0"/>
        </w:sectPr>
      </w:pPr>
    </w:p>
    <w:bookmarkStart w:id="12" w:name="page13"/>
    <w:bookmarkEnd w:id="12"/>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1,969,747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2,009,407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1,786,753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1,806,445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62,266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56,295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13,897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12,972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255,467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(148,636)</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133,695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100,168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1,363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1,769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(24,679)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(26,610)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(29,885)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390,664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(202,499)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599,686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(Benefit) 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140,300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(192,499)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459,386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42,170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499,208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(150,329)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958,594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Graham Holdings Company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(151,824)</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959,433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(152,455)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958,586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(194,625)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459,378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42,170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499,208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64"/>
        </w:trPr>
        <w:tc>
          <w:tcPr>
            <w:tcW w:w="816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(152,455)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958,586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66.77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Basic net (loss)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139.30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5,721</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6,737</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66.52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(loss)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138.79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5,811</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6,823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2014</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481,746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543,918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1,505,973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1,609,036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89,693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87,442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264,010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261,390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70,052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71,845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199,823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139,109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641,432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703,205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1,969,747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2,009,407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724,523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531,367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1,755,751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1,576,986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49,167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42,463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142,908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127,938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73,111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81,137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210,205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166,143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8,413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7,029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9,578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855,155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661,996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2,118,383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1,875,712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(242,777)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12,551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(249,778)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32,050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40,526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44,979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121,102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133,452</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(3,059)</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(9,292)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(10,382)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(8,413)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(9,578)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(213,723)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41,209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(148,636)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133,695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10,637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15,237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51,145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47,024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2,237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2,148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6,471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1,335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1,201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3,891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56</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251</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14,460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18,664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62,266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56,295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18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249,930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1,927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259,780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5,649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63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3,110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5,427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9,395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253,103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7,354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269,364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12,972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7,525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3,854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95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15,419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425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328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(24,533)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(58,410)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(59,231)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(16,255)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(41,077)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(46,095)</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2014</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203,529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249,882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681,814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755,597</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83,706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85,108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233,313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234,010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192,702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207,615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585,486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615,507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1,905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1,492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5,723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4,891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(96)</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481,746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543,918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1,505,973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1,609,036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200,376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244,491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653,304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716,110</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70,086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78,128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216,948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237,562</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184,407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193,762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551,901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574,898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19,857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13,216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74,276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43,850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1,339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1,927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4,313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5,649</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248,591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255,467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724,523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531,367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1,755,751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1,576,986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3,153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5,391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28,510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39,487</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13,620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6,980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16,365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8,295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13,853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33,585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40,609</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(17,952)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(11,724)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(68,553)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(38,959)</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(1,339)</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(4,313)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(248,591)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(255,467)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37</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(242,777)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12,551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(249,778)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4,066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7,320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13,688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22,140</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2,052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2,865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7,205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9,721</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4,277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4,951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14,004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14,546</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242</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16,248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10,637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51,145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47,024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3,964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2,628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9,028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7,885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775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722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2,325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114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2,672</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3,740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7,525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95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6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2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000" w:type="dxa"/>
            <w:vAlign w:val="bottom"/>
          </w:tcPr>
          <w:p>
            <w:pPr>
              <w:spacing w:after="0"/>
              <w:rPr>
                <w:sz w:val="24"/>
                <w:szCs w:val="24"/>
                <w:color w:val="auto"/>
              </w:rPr>
            </w:pPr>
          </w:p>
        </w:tc>
        <w:tc>
          <w:tcPr>
            <w:tcW w:w="220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2014</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p>
      <w:pPr>
        <w:sectPr>
          <w:pgSz w:w="11900" w:h="16838" w:orient="portrait"/>
          <w:cols w:equalWidth="0" w:num="1">
            <w:col w:w="11420"/>
          </w:cols>
          <w:pgMar w:left="240" w:top="598" w:right="239" w:bottom="1440" w:gutter="0" w:footer="0" w:header="0"/>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from continuing operations, as reported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Preliminary impairment of goodwill and long-lived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Restructuring and early retirement charges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Modification of stock options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Classified Ventures sale of apartments.com</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from exchange of Berkshire shares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 of headquarters building</w:t>
      </w:r>
    </w:p>
    <w:p>
      <w:pPr>
        <w:spacing w:after="0" w:line="86" w:lineRule="exact"/>
        <w:rPr>
          <w:sz w:val="20"/>
          <w:szCs w:val="20"/>
          <w:color w:val="auto"/>
        </w:rPr>
      </w:pPr>
    </w:p>
    <w:p>
      <w:pPr>
        <w:ind w:left="280"/>
        <w:spacing w:after="0" w:line="361" w:lineRule="auto"/>
        <w:rPr>
          <w:sz w:val="20"/>
          <w:szCs w:val="20"/>
          <w:color w:val="auto"/>
        </w:rPr>
      </w:pPr>
      <w:r>
        <w:rPr>
          <w:rFonts w:ascii="Arial" w:cs="Arial" w:eastAsia="Arial" w:hAnsi="Arial"/>
          <w:sz w:val="16"/>
          <w:szCs w:val="16"/>
          <w:color w:val="auto"/>
        </w:rPr>
        <w:t>Net losses from the sales of businesses, an investment and the formation of a joint venture Foreign currency loss</w:t>
      </w:r>
    </w:p>
    <w:p>
      <w:pPr>
        <w:ind w:left="40"/>
        <w:spacing w:after="0"/>
        <w:rPr>
          <w:sz w:val="20"/>
          <w:szCs w:val="20"/>
          <w:color w:val="auto"/>
        </w:rPr>
      </w:pPr>
      <w:r>
        <w:rPr>
          <w:rFonts w:ascii="Arial" w:cs="Arial" w:eastAsia="Arial" w:hAnsi="Arial"/>
          <w:sz w:val="16"/>
          <w:szCs w:val="16"/>
          <w:color w:val="auto"/>
        </w:rPr>
        <w:t>Income from continuing operations, adjusted (non-GAAP)</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(231,222)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10,142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(194,625)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459,378</w:t>
            </w:r>
          </w:p>
        </w:tc>
      </w:tr>
      <w:tr>
        <w:trPr>
          <w:trHeight w:val="521"/>
        </w:trPr>
        <w:tc>
          <w:tcPr>
            <w:tcW w:w="18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217,101</w:t>
            </w:r>
          </w:p>
        </w:tc>
        <w:tc>
          <w:tcPr>
            <w:tcW w:w="34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221,502</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5,846</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8,720</w:t>
            </w:r>
          </w:p>
        </w:tc>
        <w:tc>
          <w:tcPr>
            <w:tcW w:w="30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23,343</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18,323</w:t>
            </w:r>
          </w:p>
        </w:tc>
      </w:tr>
      <w:tr>
        <w:trPr>
          <w:trHeight w:val="270"/>
        </w:trPr>
        <w:tc>
          <w:tcPr>
            <w:tcW w:w="1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11,626</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11,626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(58,242)</w:t>
            </w:r>
          </w:p>
        </w:tc>
      </w:tr>
      <w:tr>
        <w:trPr>
          <w:trHeight w:val="270"/>
        </w:trPr>
        <w:tc>
          <w:tcPr>
            <w:tcW w:w="1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(266,733)</w:t>
            </w:r>
          </w:p>
        </w:tc>
      </w:tr>
      <w:tr>
        <w:trPr>
          <w:trHeight w:val="270"/>
        </w:trPr>
        <w:tc>
          <w:tcPr>
            <w:tcW w:w="1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(81,836)</w:t>
            </w:r>
          </w:p>
        </w:tc>
      </w:tr>
      <w:tr>
        <w:trPr>
          <w:trHeight w:val="270"/>
        </w:trPr>
        <w:tc>
          <w:tcPr>
            <w:tcW w:w="1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24,265</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15,666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8,004</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6,772</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10,064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1,678</w:t>
            </w:r>
          </w:p>
        </w:tc>
      </w:tr>
      <w:tr>
        <w:trPr>
          <w:trHeight w:val="264"/>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35,620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25,634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87,576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72,568</w:t>
            </w:r>
          </w:p>
        </w:tc>
      </w:tr>
    </w:tbl>
    <w:p>
      <w:pPr>
        <w:spacing w:after="0" w:line="200" w:lineRule="exact"/>
        <w:rPr>
          <w:sz w:val="20"/>
          <w:szCs w:val="20"/>
          <w:color w:val="auto"/>
        </w:rPr>
      </w:pPr>
    </w:p>
    <w:p>
      <w:pPr>
        <w:sectPr>
          <w:pgSz w:w="11900" w:h="16838" w:orient="portrait"/>
          <w:cols w:equalWidth="0" w:num="2">
            <w:col w:w="6780" w:space="220"/>
            <w:col w:w="4420"/>
          </w:cols>
          <w:pgMar w:left="240" w:top="598" w:right="23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ectPr>
          <w:pgSz w:w="11900" w:h="16838" w:orient="portrait"/>
          <w:cols w:equalWidth="0" w:num="1">
            <w:col w:w="11420"/>
          </w:cols>
          <w:pgMar w:left="240" w:top="598" w:right="2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(loss) income per common share from continuing operations, as reported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Preliminary impairment of goodwill and long-lived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Restructuring and early retirement charges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Modification of stock options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Classified Ventures sale of apartments.com</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from exchange of Berkshire shares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 of headquarters building</w:t>
      </w:r>
    </w:p>
    <w:p>
      <w:pPr>
        <w:spacing w:after="0" w:line="86" w:lineRule="exact"/>
        <w:rPr>
          <w:sz w:val="20"/>
          <w:szCs w:val="20"/>
          <w:color w:val="auto"/>
        </w:rPr>
      </w:pPr>
    </w:p>
    <w:p>
      <w:pPr>
        <w:ind w:left="280"/>
        <w:spacing w:after="0" w:line="361" w:lineRule="auto"/>
        <w:rPr>
          <w:sz w:val="20"/>
          <w:szCs w:val="20"/>
          <w:color w:val="auto"/>
        </w:rPr>
      </w:pPr>
      <w:r>
        <w:rPr>
          <w:rFonts w:ascii="Arial" w:cs="Arial" w:eastAsia="Arial" w:hAnsi="Arial"/>
          <w:sz w:val="16"/>
          <w:szCs w:val="16"/>
          <w:color w:val="auto"/>
        </w:rPr>
        <w:t>Net losses from the sales of businesses, an investment and the formation of a joint venture Foreign currency loss</w:t>
      </w:r>
    </w:p>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(40.32)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(34.18)</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66.52</w:t>
            </w:r>
          </w:p>
        </w:tc>
      </w:tr>
      <w:tr>
        <w:trPr>
          <w:trHeight w:val="521"/>
        </w:trPr>
        <w:tc>
          <w:tcPr>
            <w:tcW w:w="28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37.85</w:t>
            </w:r>
          </w:p>
        </w:tc>
        <w:tc>
          <w:tcPr>
            <w:tcW w:w="42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38.57</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1.00</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3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4.01</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1.99</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2.00</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(8.43)</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(38.61)</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(11.85)</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4.16</w:t>
            </w:r>
          </w:p>
        </w:tc>
        <w:tc>
          <w:tcPr>
            <w:tcW w:w="42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2.82</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1.37</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1.73</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14.95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10.52</w:t>
            </w:r>
          </w:p>
        </w:tc>
      </w:tr>
    </w:tbl>
    <w:p>
      <w:pPr>
        <w:spacing w:after="0" w:line="200" w:lineRule="exact"/>
        <w:rPr>
          <w:sz w:val="20"/>
          <w:szCs w:val="20"/>
          <w:color w:val="auto"/>
        </w:rPr>
      </w:pPr>
    </w:p>
    <w:p>
      <w:pPr>
        <w:sectPr>
          <w:pgSz w:w="11900" w:h="16838" w:orient="portrait"/>
          <w:cols w:equalWidth="0" w:num="2">
            <w:col w:w="6780" w:space="220"/>
            <w:col w:w="4420"/>
          </w:cols>
          <w:pgMar w:left="240" w:top="598" w:right="239" w:bottom="1440" w:gutter="0" w:footer="0" w:header="0"/>
          <w:type w:val="continuous"/>
        </w:sectPr>
      </w:pP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9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2019-12-05T16:33:04Z</dcterms:created>
  <dcterms:modified xsi:type="dcterms:W3CDTF">2019-12-05T16:33:04Z</dcterms:modified>
</cp:coreProperties>
</file>