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16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514350</wp:posOffset>
            </wp:positionH>
            <wp:positionV relativeFrom="page">
              <wp:posOffset>388620</wp:posOffset>
            </wp:positionV>
            <wp:extent cx="695325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3250" cy="762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427990</wp:posOffset>
            </wp:positionV>
            <wp:extent cx="69532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3250" cy="7620"/>
                    </a:xfrm>
                    <a:prstGeom prst="rect">
                      <a:avLst/>
                    </a:prstGeom>
                    <a:noFill/>
                  </pic:spPr>
                </pic:pic>
              </a:graphicData>
            </a:graphic>
          </wp:anchor>
        </w:drawing>
        <w:t>UNITED STATES</w:t>
      </w:r>
    </w:p>
    <w:p>
      <w:pPr>
        <w:spacing w:after="0" w:line="34"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SECURITIES AND EXCHANGE COMMISSION</w:t>
      </w:r>
    </w:p>
    <w:p>
      <w:pPr>
        <w:jc w:val="center"/>
        <w:ind w:left="11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93980</wp:posOffset>
            </wp:positionV>
            <wp:extent cx="27184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81" w:lineRule="exact"/>
        <w:rPr>
          <w:sz w:val="24"/>
          <w:szCs w:val="24"/>
          <w:color w:val="auto"/>
        </w:rPr>
      </w:pPr>
    </w:p>
    <w:p>
      <w:pPr>
        <w:jc w:val="center"/>
        <w:ind w:left="1160"/>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157480</wp:posOffset>
            </wp:positionV>
            <wp:extent cx="27184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85"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CURRENT REPORT</w:t>
      </w:r>
    </w:p>
    <w:p>
      <w:pPr>
        <w:spacing w:after="0" w:line="68"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42" w:lineRule="exact"/>
        <w:rPr>
          <w:sz w:val="24"/>
          <w:szCs w:val="24"/>
          <w:color w:val="auto"/>
        </w:rPr>
      </w:pPr>
    </w:p>
    <w:p>
      <w:pPr>
        <w:jc w:val="center"/>
        <w:ind w:left="1160"/>
        <w:spacing w:after="0"/>
        <w:rPr>
          <w:sz w:val="20"/>
          <w:szCs w:val="20"/>
          <w:color w:val="auto"/>
        </w:rPr>
      </w:pPr>
      <w:r>
        <w:rPr>
          <w:rFonts w:ascii="Arial" w:cs="Arial" w:eastAsia="Arial" w:hAnsi="Arial"/>
          <w:sz w:val="20"/>
          <w:szCs w:val="20"/>
          <w:b w:val="1"/>
          <w:bCs w:val="1"/>
          <w:color w:val="auto"/>
        </w:rPr>
        <w:t>Date of Report (Date of earliest event reported) February 22, 2013</w:t>
      </w:r>
    </w:p>
    <w:p>
      <w:pPr>
        <w:spacing w:after="0" w:line="48" w:lineRule="exact"/>
        <w:rPr>
          <w:sz w:val="24"/>
          <w:szCs w:val="24"/>
          <w:color w:val="auto"/>
        </w:rPr>
      </w:pPr>
    </w:p>
    <w:p>
      <w:pPr>
        <w:jc w:val="center"/>
        <w:ind w:left="1160"/>
        <w:spacing w:after="0"/>
        <w:rPr>
          <w:sz w:val="20"/>
          <w:szCs w:val="20"/>
          <w:color w:val="auto"/>
        </w:rPr>
      </w:pPr>
      <w:r>
        <w:rPr>
          <w:rFonts w:ascii="Arial" w:cs="Arial" w:eastAsia="Arial" w:hAnsi="Arial"/>
          <w:sz w:val="40"/>
          <w:szCs w:val="40"/>
          <w:b w:val="1"/>
          <w:bCs w:val="1"/>
          <w:color w:val="auto"/>
        </w:rPr>
        <w:t>THE WASHINGTON POST COMPANY</w:t>
      </w:r>
    </w:p>
    <w:p>
      <w:pPr>
        <w:spacing w:after="0" w:line="48" w:lineRule="exact"/>
        <w:rPr>
          <w:sz w:val="24"/>
          <w:szCs w:val="24"/>
          <w:color w:val="auto"/>
        </w:rPr>
      </w:pPr>
    </w:p>
    <w:p>
      <w:pPr>
        <w:ind w:left="366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2268855</wp:posOffset>
            </wp:positionH>
            <wp:positionV relativeFrom="paragraph">
              <wp:posOffset>97155</wp:posOffset>
            </wp:positionV>
            <wp:extent cx="27184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08" w:lineRule="exact"/>
        <w:rPr>
          <w:sz w:val="24"/>
          <w:szCs w:val="24"/>
          <w:color w:val="auto"/>
        </w:rPr>
      </w:pPr>
    </w:p>
    <w:tbl>
      <w:tblPr>
        <w:tblLayout w:type="fixed"/>
        <w:tblInd w:w="909" w:type="dxa"/>
        <w:tblCellMar>
          <w:top w:w="0" w:type="dxa"/>
          <w:left w:w="0" w:type="dxa"/>
          <w:bottom w:w="0" w:type="dxa"/>
          <w:right w:w="0" w:type="dxa"/>
        </w:tblCellMar>
      </w:tblPr>
      <w:tr>
        <w:trPr>
          <w:trHeight w:val="195"/>
        </w:trPr>
        <w:tc>
          <w:tcPr>
            <w:tcW w:w="3180" w:type="dxa"/>
            <w:vAlign w:val="bottom"/>
            <w:gridSpan w:val="2"/>
          </w:tcPr>
          <w:p>
            <w:pPr>
              <w:jc w:val="center"/>
              <w:ind w:right="980"/>
              <w:spacing w:after="0"/>
              <w:rPr>
                <w:sz w:val="20"/>
                <w:szCs w:val="20"/>
                <w:color w:val="auto"/>
              </w:rPr>
            </w:pPr>
            <w:r>
              <w:rPr>
                <w:rFonts w:ascii="Arial" w:cs="Arial" w:eastAsia="Arial" w:hAnsi="Arial"/>
                <w:sz w:val="17"/>
                <w:szCs w:val="17"/>
                <w:b w:val="1"/>
                <w:bCs w:val="1"/>
                <w:color w:val="auto"/>
                <w:w w:val="96"/>
              </w:rPr>
              <w:t>Delaware</w:t>
            </w:r>
          </w:p>
        </w:tc>
        <w:tc>
          <w:tcPr>
            <w:tcW w:w="3760" w:type="dxa"/>
            <w:vAlign w:val="bottom"/>
          </w:tcPr>
          <w:p>
            <w:pPr>
              <w:jc w:val="center"/>
              <w:ind w:right="310"/>
              <w:spacing w:after="0"/>
              <w:rPr>
                <w:sz w:val="20"/>
                <w:szCs w:val="20"/>
                <w:color w:val="auto"/>
              </w:rPr>
            </w:pPr>
            <w:r>
              <w:rPr>
                <w:rFonts w:ascii="Arial" w:cs="Arial" w:eastAsia="Arial" w:hAnsi="Arial"/>
                <w:sz w:val="17"/>
                <w:szCs w:val="17"/>
                <w:b w:val="1"/>
                <w:bCs w:val="1"/>
                <w:color w:val="auto"/>
                <w:w w:val="94"/>
              </w:rPr>
              <w:t>1-6714</w:t>
            </w:r>
          </w:p>
        </w:tc>
        <w:tc>
          <w:tcPr>
            <w:tcW w:w="2160" w:type="dxa"/>
            <w:vAlign w:val="bottom"/>
          </w:tcPr>
          <w:p>
            <w:pPr>
              <w:jc w:val="right"/>
              <w:ind w:right="10"/>
              <w:spacing w:after="0"/>
              <w:rPr>
                <w:sz w:val="20"/>
                <w:szCs w:val="20"/>
                <w:color w:val="auto"/>
              </w:rPr>
            </w:pPr>
            <w:r>
              <w:rPr>
                <w:rFonts w:ascii="Arial" w:cs="Arial" w:eastAsia="Arial" w:hAnsi="Arial"/>
                <w:sz w:val="17"/>
                <w:szCs w:val="17"/>
                <w:b w:val="1"/>
                <w:bCs w:val="1"/>
                <w:color w:val="auto"/>
              </w:rPr>
              <w:t>53-0182885</w:t>
            </w:r>
          </w:p>
        </w:tc>
      </w:tr>
      <w:tr>
        <w:trPr>
          <w:trHeight w:val="137"/>
        </w:trPr>
        <w:tc>
          <w:tcPr>
            <w:tcW w:w="3180" w:type="dxa"/>
            <w:vAlign w:val="bottom"/>
            <w:gridSpan w:val="2"/>
          </w:tcPr>
          <w:p>
            <w:pPr>
              <w:jc w:val="center"/>
              <w:ind w:right="1000"/>
              <w:spacing w:after="0" w:line="137" w:lineRule="exact"/>
              <w:rPr>
                <w:sz w:val="20"/>
                <w:szCs w:val="20"/>
                <w:color w:val="auto"/>
              </w:rPr>
            </w:pPr>
            <w:r>
              <w:rPr>
                <w:rFonts w:ascii="Arial" w:cs="Arial" w:eastAsia="Arial" w:hAnsi="Arial"/>
                <w:sz w:val="12"/>
                <w:szCs w:val="12"/>
                <w:b w:val="1"/>
                <w:bCs w:val="1"/>
                <w:color w:val="auto"/>
              </w:rPr>
              <w:t>(State or other jurisdiction of</w:t>
            </w:r>
          </w:p>
        </w:tc>
        <w:tc>
          <w:tcPr>
            <w:tcW w:w="3760" w:type="dxa"/>
            <w:vAlign w:val="bottom"/>
          </w:tcPr>
          <w:p>
            <w:pPr>
              <w:jc w:val="center"/>
              <w:ind w:right="310"/>
              <w:spacing w:after="0" w:line="137" w:lineRule="exact"/>
              <w:rPr>
                <w:sz w:val="20"/>
                <w:szCs w:val="20"/>
                <w:color w:val="auto"/>
              </w:rPr>
            </w:pPr>
            <w:r>
              <w:rPr>
                <w:rFonts w:ascii="Arial" w:cs="Arial" w:eastAsia="Arial" w:hAnsi="Arial"/>
                <w:sz w:val="12"/>
                <w:szCs w:val="12"/>
                <w:b w:val="1"/>
                <w:bCs w:val="1"/>
                <w:color w:val="auto"/>
              </w:rPr>
              <w:t>(Commission</w:t>
            </w:r>
          </w:p>
        </w:tc>
        <w:tc>
          <w:tcPr>
            <w:tcW w:w="2160" w:type="dxa"/>
            <w:vAlign w:val="bottom"/>
          </w:tcPr>
          <w:p>
            <w:pPr>
              <w:jc w:val="center"/>
              <w:ind w:left="1050"/>
              <w:spacing w:after="0" w:line="137" w:lineRule="exact"/>
              <w:rPr>
                <w:sz w:val="20"/>
                <w:szCs w:val="20"/>
                <w:color w:val="auto"/>
              </w:rPr>
            </w:pPr>
            <w:r>
              <w:rPr>
                <w:rFonts w:ascii="Arial" w:cs="Arial" w:eastAsia="Arial" w:hAnsi="Arial"/>
                <w:sz w:val="12"/>
                <w:szCs w:val="12"/>
                <w:b w:val="1"/>
                <w:bCs w:val="1"/>
                <w:color w:val="auto"/>
              </w:rPr>
              <w:t>(I.R.S. Employer</w:t>
            </w:r>
          </w:p>
        </w:tc>
      </w:tr>
      <w:tr>
        <w:trPr>
          <w:trHeight w:val="162"/>
        </w:trPr>
        <w:tc>
          <w:tcPr>
            <w:tcW w:w="3180" w:type="dxa"/>
            <w:vAlign w:val="bottom"/>
            <w:gridSpan w:val="2"/>
          </w:tcPr>
          <w:p>
            <w:pPr>
              <w:jc w:val="center"/>
              <w:ind w:right="1000"/>
              <w:spacing w:after="0"/>
              <w:rPr>
                <w:sz w:val="20"/>
                <w:szCs w:val="20"/>
                <w:color w:val="auto"/>
              </w:rPr>
            </w:pPr>
            <w:r>
              <w:rPr>
                <w:rFonts w:ascii="Arial" w:cs="Arial" w:eastAsia="Arial" w:hAnsi="Arial"/>
                <w:sz w:val="12"/>
                <w:szCs w:val="12"/>
                <w:b w:val="1"/>
                <w:bCs w:val="1"/>
                <w:color w:val="auto"/>
              </w:rPr>
              <w:t>incorporation or organization)</w:t>
            </w:r>
          </w:p>
        </w:tc>
        <w:tc>
          <w:tcPr>
            <w:tcW w:w="3760" w:type="dxa"/>
            <w:vAlign w:val="bottom"/>
          </w:tcPr>
          <w:p>
            <w:pPr>
              <w:jc w:val="center"/>
              <w:ind w:right="330"/>
              <w:spacing w:after="0"/>
              <w:rPr>
                <w:sz w:val="20"/>
                <w:szCs w:val="20"/>
                <w:color w:val="auto"/>
              </w:rPr>
            </w:pPr>
            <w:r>
              <w:rPr>
                <w:rFonts w:ascii="Arial" w:cs="Arial" w:eastAsia="Arial" w:hAnsi="Arial"/>
                <w:sz w:val="12"/>
                <w:szCs w:val="12"/>
                <w:b w:val="1"/>
                <w:bCs w:val="1"/>
                <w:color w:val="auto"/>
              </w:rPr>
              <w:t>File Number)</w:t>
            </w: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Identification No.)</w:t>
            </w:r>
          </w:p>
        </w:tc>
      </w:tr>
      <w:tr>
        <w:trPr>
          <w:trHeight w:val="396"/>
        </w:trPr>
        <w:tc>
          <w:tcPr>
            <w:tcW w:w="3180" w:type="dxa"/>
            <w:vAlign w:val="bottom"/>
            <w:gridSpan w:val="2"/>
          </w:tcPr>
          <w:p>
            <w:pPr>
              <w:spacing w:after="0"/>
              <w:rPr>
                <w:sz w:val="20"/>
                <w:szCs w:val="20"/>
                <w:color w:val="auto"/>
              </w:rPr>
            </w:pPr>
            <w:r>
              <w:rPr>
                <w:rFonts w:ascii="Arial" w:cs="Arial" w:eastAsia="Arial" w:hAnsi="Arial"/>
                <w:sz w:val="17"/>
                <w:szCs w:val="17"/>
                <w:b w:val="1"/>
                <w:bCs w:val="1"/>
                <w:color w:val="auto"/>
                <w:w w:val="97"/>
              </w:rPr>
              <w:t>1150 15th Street, N.W. Washington, D.C.</w:t>
            </w:r>
          </w:p>
        </w:tc>
        <w:tc>
          <w:tcPr>
            <w:tcW w:w="3760" w:type="dxa"/>
            <w:vAlign w:val="bottom"/>
          </w:tcPr>
          <w:p>
            <w:pPr>
              <w:spacing w:after="0"/>
              <w:rPr>
                <w:sz w:val="24"/>
                <w:szCs w:val="24"/>
                <w:color w:val="auto"/>
              </w:rPr>
            </w:pPr>
          </w:p>
        </w:tc>
        <w:tc>
          <w:tcPr>
            <w:tcW w:w="2160" w:type="dxa"/>
            <w:vAlign w:val="bottom"/>
          </w:tcPr>
          <w:p>
            <w:pPr>
              <w:jc w:val="right"/>
              <w:ind w:right="230"/>
              <w:spacing w:after="0"/>
              <w:rPr>
                <w:sz w:val="20"/>
                <w:szCs w:val="20"/>
                <w:color w:val="auto"/>
              </w:rPr>
            </w:pPr>
            <w:r>
              <w:rPr>
                <w:rFonts w:ascii="Arial" w:cs="Arial" w:eastAsia="Arial" w:hAnsi="Arial"/>
                <w:sz w:val="17"/>
                <w:szCs w:val="17"/>
                <w:b w:val="1"/>
                <w:bCs w:val="1"/>
                <w:color w:val="auto"/>
              </w:rPr>
              <w:t>20071</w:t>
            </w:r>
          </w:p>
        </w:tc>
      </w:tr>
      <w:tr>
        <w:trPr>
          <w:trHeight w:val="162"/>
        </w:trPr>
        <w:tc>
          <w:tcPr>
            <w:tcW w:w="3180" w:type="dxa"/>
            <w:vAlign w:val="bottom"/>
            <w:gridSpan w:val="2"/>
          </w:tcPr>
          <w:p>
            <w:pPr>
              <w:ind w:left="360"/>
              <w:spacing w:after="0"/>
              <w:rPr>
                <w:sz w:val="20"/>
                <w:szCs w:val="20"/>
                <w:color w:val="auto"/>
              </w:rPr>
            </w:pPr>
            <w:r>
              <w:rPr>
                <w:rFonts w:ascii="Arial" w:cs="Arial" w:eastAsia="Arial" w:hAnsi="Arial"/>
                <w:sz w:val="12"/>
                <w:szCs w:val="12"/>
                <w:b w:val="1"/>
                <w:bCs w:val="1"/>
                <w:color w:val="auto"/>
              </w:rPr>
              <w:t>(Address of principal executive offices)</w:t>
            </w:r>
          </w:p>
        </w:tc>
        <w:tc>
          <w:tcPr>
            <w:tcW w:w="3760" w:type="dxa"/>
            <w:vAlign w:val="bottom"/>
          </w:tcPr>
          <w:p>
            <w:pPr>
              <w:spacing w:after="0"/>
              <w:rPr>
                <w:sz w:val="14"/>
                <w:szCs w:val="14"/>
                <w:color w:val="auto"/>
              </w:rPr>
            </w:pPr>
          </w:p>
        </w:tc>
        <w:tc>
          <w:tcPr>
            <w:tcW w:w="2160" w:type="dxa"/>
            <w:vAlign w:val="bottom"/>
          </w:tcPr>
          <w:p>
            <w:pPr>
              <w:jc w:val="center"/>
              <w:ind w:left="1050"/>
              <w:spacing w:after="0"/>
              <w:rPr>
                <w:sz w:val="20"/>
                <w:szCs w:val="20"/>
                <w:color w:val="auto"/>
              </w:rPr>
            </w:pPr>
            <w:r>
              <w:rPr>
                <w:rFonts w:ascii="Arial" w:cs="Arial" w:eastAsia="Arial" w:hAnsi="Arial"/>
                <w:sz w:val="12"/>
                <w:szCs w:val="12"/>
                <w:b w:val="1"/>
                <w:bCs w:val="1"/>
                <w:color w:val="auto"/>
              </w:rPr>
              <w:t>(Zip Code)</w:t>
            </w:r>
          </w:p>
        </w:tc>
      </w:tr>
      <w:tr>
        <w:trPr>
          <w:trHeight w:val="309"/>
        </w:trPr>
        <w:tc>
          <w:tcPr>
            <w:tcW w:w="2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60" w:type="dxa"/>
            <w:vAlign w:val="bottom"/>
          </w:tcPr>
          <w:p>
            <w:pPr>
              <w:jc w:val="right"/>
              <w:ind w:right="1490"/>
              <w:spacing w:after="0"/>
              <w:rPr>
                <w:sz w:val="20"/>
                <w:szCs w:val="20"/>
                <w:color w:val="auto"/>
              </w:rPr>
            </w:pPr>
            <w:r>
              <w:rPr>
                <w:rFonts w:ascii="Arial" w:cs="Arial" w:eastAsia="Arial" w:hAnsi="Arial"/>
                <w:sz w:val="17"/>
                <w:szCs w:val="17"/>
                <w:b w:val="1"/>
                <w:bCs w:val="1"/>
                <w:color w:val="auto"/>
              </w:rPr>
              <w:t>(202) 334-6000</w:t>
            </w:r>
          </w:p>
        </w:tc>
        <w:tc>
          <w:tcPr>
            <w:tcW w:w="2160" w:type="dxa"/>
            <w:vAlign w:val="bottom"/>
          </w:tcPr>
          <w:p>
            <w:pPr>
              <w:spacing w:after="0"/>
              <w:rPr>
                <w:sz w:val="24"/>
                <w:szCs w:val="24"/>
                <w:color w:val="auto"/>
              </w:rPr>
            </w:pPr>
          </w:p>
        </w:tc>
      </w:tr>
      <w:tr>
        <w:trPr>
          <w:trHeight w:val="162"/>
        </w:trPr>
        <w:tc>
          <w:tcPr>
            <w:tcW w:w="2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760" w:type="dxa"/>
            <w:vAlign w:val="bottom"/>
          </w:tcPr>
          <w:p>
            <w:pPr>
              <w:jc w:val="center"/>
              <w:ind w:right="430"/>
              <w:spacing w:after="0"/>
              <w:rPr>
                <w:sz w:val="20"/>
                <w:szCs w:val="20"/>
                <w:color w:val="auto"/>
              </w:rPr>
            </w:pPr>
            <w:r>
              <w:rPr>
                <w:rFonts w:ascii="Arial" w:cs="Arial" w:eastAsia="Arial" w:hAnsi="Arial"/>
                <w:sz w:val="12"/>
                <w:szCs w:val="12"/>
                <w:b w:val="1"/>
                <w:bCs w:val="1"/>
                <w:color w:val="auto"/>
              </w:rPr>
              <w:t>(Registrant’s telephone number, including area code)</w:t>
            </w:r>
          </w:p>
        </w:tc>
        <w:tc>
          <w:tcPr>
            <w:tcW w:w="2160" w:type="dxa"/>
            <w:vAlign w:val="bottom"/>
          </w:tcPr>
          <w:p>
            <w:pPr>
              <w:spacing w:after="0"/>
              <w:rPr>
                <w:sz w:val="14"/>
                <w:szCs w:val="14"/>
                <w:color w:val="auto"/>
              </w:rPr>
            </w:pPr>
          </w:p>
        </w:tc>
      </w:tr>
      <w:tr>
        <w:trPr>
          <w:trHeight w:val="138"/>
        </w:trPr>
        <w:tc>
          <w:tcPr>
            <w:tcW w:w="266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760" w:type="dxa"/>
            <w:vAlign w:val="bottom"/>
            <w:tcBorders>
              <w:bottom w:val="single" w:sz="8" w:color="auto"/>
            </w:tcBorders>
          </w:tcPr>
          <w:p>
            <w:pPr>
              <w:spacing w:after="0"/>
              <w:rPr>
                <w:sz w:val="11"/>
                <w:szCs w:val="11"/>
                <w:color w:val="auto"/>
              </w:rPr>
            </w:pPr>
          </w:p>
        </w:tc>
        <w:tc>
          <w:tcPr>
            <w:tcW w:w="2160" w:type="dxa"/>
            <w:vAlign w:val="bottom"/>
          </w:tcPr>
          <w:p>
            <w:pPr>
              <w:spacing w:after="0"/>
              <w:rPr>
                <w:sz w:val="11"/>
                <w:szCs w:val="11"/>
                <w:color w:val="auto"/>
              </w:rPr>
            </w:pPr>
          </w:p>
        </w:tc>
      </w:tr>
    </w:tbl>
    <w:p>
      <w:pPr>
        <w:spacing w:after="0" w:line="297" w:lineRule="exact"/>
        <w:rPr>
          <w:sz w:val="24"/>
          <w:szCs w:val="24"/>
          <w:color w:val="auto"/>
        </w:rPr>
      </w:pPr>
    </w:p>
    <w:p>
      <w:pPr>
        <w:ind w:left="9"/>
        <w:spacing w:after="0" w:line="235"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 provisions:</w:t>
      </w:r>
    </w:p>
    <w:p>
      <w:pPr>
        <w:spacing w:after="0" w:line="362" w:lineRule="exact"/>
        <w:rPr>
          <w:sz w:val="24"/>
          <w:szCs w:val="24"/>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Written communications pursuant to Rule 425 under the Securities Act (17 CFR 230.425)</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Soliciting material pursuant to Rule 14a-12 under the Exchange Act (17 CFR 240.14a-12)</w:t>
      </w:r>
    </w:p>
    <w:p>
      <w:pPr>
        <w:spacing w:after="0" w:line="139" w:lineRule="exact"/>
        <w:rPr>
          <w:rFonts w:ascii="Arial" w:cs="Arial" w:eastAsia="Arial" w:hAnsi="Arial"/>
          <w:sz w:val="17"/>
          <w:szCs w:val="17"/>
          <w:color w:val="auto"/>
        </w:rPr>
      </w:pPr>
    </w:p>
    <w:p>
      <w:pPr>
        <w:ind w:left="89" w:hanging="89"/>
        <w:spacing w:after="0"/>
        <w:tabs>
          <w:tab w:leader="none" w:pos="89" w:val="left"/>
        </w:tabs>
        <w:numPr>
          <w:ilvl w:val="0"/>
          <w:numId w:val="1"/>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14d-2(b) under the Exchange Act (17 CFR 240.14d-2(b))</w:t>
      </w:r>
    </w:p>
    <w:p>
      <w:pPr>
        <w:spacing w:after="0" w:line="140" w:lineRule="exact"/>
        <w:rPr>
          <w:sz w:val="24"/>
          <w:szCs w:val="24"/>
          <w:color w:val="auto"/>
        </w:rPr>
      </w:pPr>
    </w:p>
    <w:p>
      <w:pPr>
        <w:ind w:left="5669" w:right="2540" w:hanging="5669"/>
        <w:spacing w:after="0" w:line="261" w:lineRule="auto"/>
        <w:tabs>
          <w:tab w:leader="none" w:pos="92" w:val="left"/>
        </w:tabs>
        <w:numPr>
          <w:ilvl w:val="0"/>
          <w:numId w:val="2"/>
        </w:numPr>
        <w:rPr>
          <w:rFonts w:ascii="Arial" w:cs="Arial" w:eastAsia="Arial" w:hAnsi="Arial"/>
          <w:sz w:val="17"/>
          <w:szCs w:val="17"/>
          <w:color w:val="auto"/>
        </w:rPr>
      </w:pPr>
      <w:r>
        <w:rPr>
          <w:rFonts w:ascii="Arial" w:cs="Arial" w:eastAsia="Arial" w:hAnsi="Arial"/>
          <w:sz w:val="17"/>
          <w:szCs w:val="17"/>
          <w:color w:val="auto"/>
        </w:rPr>
        <w:t>] Pre-commencement communications pursuant to Rule 13e-4(c) under the Exchange Act (17 CFR 240.13e-4(c))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177165</wp:posOffset>
            </wp:positionV>
            <wp:extent cx="727837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763" w:right="13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593090</wp:posOffset>
            </wp:positionV>
            <wp:extent cx="695325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3250" cy="1587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On February 22, 2013, The Washington Post Company issued a press release announcing the Company’s earnings for the fourth quarter and year en December 31, 2012. A copy of this press release is furnished with this report as an exhibit to this Form 8-K.</w:t>
      </w:r>
    </w:p>
    <w:p>
      <w:pPr>
        <w:spacing w:after="0" w:line="200" w:lineRule="exact"/>
        <w:rPr>
          <w:sz w:val="20"/>
          <w:szCs w:val="20"/>
          <w:color w:val="auto"/>
        </w:rPr>
      </w:pPr>
    </w:p>
    <w:p>
      <w:pPr>
        <w:spacing w:after="0" w:line="216" w:lineRule="exact"/>
        <w:rPr>
          <w:sz w:val="20"/>
          <w:szCs w:val="20"/>
          <w:color w:val="auto"/>
        </w:rPr>
      </w:pPr>
    </w:p>
    <w:p>
      <w:pPr>
        <w:spacing w:after="0"/>
        <w:tabs>
          <w:tab w:leader="none" w:pos="1140" w:val="left"/>
        </w:tabs>
        <w:rPr>
          <w:sz w:val="20"/>
          <w:szCs w:val="20"/>
          <w:color w:val="auto"/>
        </w:rPr>
      </w:pPr>
      <w:r>
        <w:rPr>
          <w:rFonts w:ascii="Arial" w:cs="Arial" w:eastAsia="Arial" w:hAnsi="Arial"/>
          <w:sz w:val="17"/>
          <w:szCs w:val="17"/>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Exhibit 99.1 The Washington Post Company Earnings Release Dated February 22,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365125</wp:posOffset>
            </wp:positionV>
            <wp:extent cx="695325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3250" cy="1587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1124" w:right="139" w:bottom="1440" w:gutter="0" w:footer="0" w:header="0"/>
        </w:sectPr>
      </w:pPr>
    </w:p>
    <w:bookmarkStart w:id="2" w:name="page3"/>
    <w:bookmarkEnd w:id="2"/>
    <w:p>
      <w:pPr>
        <w:ind w:left="58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593090</wp:posOffset>
            </wp:positionV>
            <wp:extent cx="695325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3250" cy="15875"/>
                    </a:xfrm>
                    <a:prstGeom prst="rect">
                      <a:avLst/>
                    </a:prstGeom>
                    <a:noFill/>
                  </pic:spPr>
                </pic:pic>
              </a:graphicData>
            </a:graphic>
          </wp:anchor>
        </w:drawing>
        <w:t>SIGNATURE</w:t>
      </w:r>
    </w:p>
    <w:p>
      <w:pPr>
        <w:spacing w:after="0" w:line="200" w:lineRule="exact"/>
        <w:rPr>
          <w:sz w:val="20"/>
          <w:szCs w:val="20"/>
          <w:color w:val="auto"/>
        </w:rPr>
      </w:pPr>
    </w:p>
    <w:p>
      <w:pPr>
        <w:spacing w:after="0" w:line="369" w:lineRule="exact"/>
        <w:rPr>
          <w:sz w:val="20"/>
          <w:szCs w:val="20"/>
          <w:color w:val="auto"/>
        </w:rPr>
      </w:pPr>
    </w:p>
    <w:p>
      <w:pPr>
        <w:ind w:left="580" w:right="400"/>
        <w:spacing w:after="0" w:line="23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980" w:type="dxa"/>
            <w:vAlign w:val="bottom"/>
            <w:gridSpan w:val="4"/>
          </w:tcPr>
          <w:p>
            <w:pPr>
              <w:ind w:left="1620"/>
              <w:spacing w:after="0"/>
              <w:rPr>
                <w:sz w:val="20"/>
                <w:szCs w:val="20"/>
                <w:color w:val="auto"/>
              </w:rPr>
            </w:pPr>
            <w:r>
              <w:rPr>
                <w:rFonts w:ascii="Arial" w:cs="Arial" w:eastAsia="Arial" w:hAnsi="Arial"/>
                <w:sz w:val="17"/>
                <w:szCs w:val="17"/>
                <w:color w:val="auto"/>
              </w:rPr>
              <w:t>The Washington Post Company</w:t>
            </w: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280" w:type="dxa"/>
            <w:vAlign w:val="bottom"/>
            <w:gridSpan w:val="3"/>
          </w:tcPr>
          <w:p>
            <w:pPr>
              <w:ind w:left="740"/>
              <w:spacing w:after="0"/>
              <w:rPr>
                <w:sz w:val="20"/>
                <w:szCs w:val="20"/>
                <w:color w:val="auto"/>
              </w:rPr>
            </w:pPr>
            <w:r>
              <w:rPr>
                <w:rFonts w:ascii="Arial" w:cs="Arial" w:eastAsia="Arial" w:hAnsi="Arial"/>
                <w:sz w:val="17"/>
                <w:szCs w:val="17"/>
                <w:color w:val="auto"/>
              </w:rPr>
              <w:t>(Registrant)</w:t>
            </w:r>
          </w:p>
        </w:tc>
      </w:tr>
      <w:tr>
        <w:trPr>
          <w:trHeight w:val="709"/>
        </w:trPr>
        <w:tc>
          <w:tcPr>
            <w:tcW w:w="58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7"/>
                <w:szCs w:val="17"/>
                <w:color w:val="auto"/>
              </w:rPr>
              <w:t>Date February 22, 2013</w:t>
            </w:r>
          </w:p>
        </w:tc>
        <w:tc>
          <w:tcPr>
            <w:tcW w:w="1700" w:type="dxa"/>
            <w:vAlign w:val="bottom"/>
          </w:tcPr>
          <w:p>
            <w:pPr>
              <w:spacing w:after="0"/>
              <w:rPr>
                <w:sz w:val="24"/>
                <w:szCs w:val="24"/>
                <w:color w:val="auto"/>
              </w:rPr>
            </w:pPr>
          </w:p>
        </w:tc>
        <w:tc>
          <w:tcPr>
            <w:tcW w:w="7280" w:type="dxa"/>
            <w:vAlign w:val="bottom"/>
            <w:gridSpan w:val="3"/>
          </w:tcPr>
          <w:p>
            <w:pPr>
              <w:ind w:left="740"/>
              <w:spacing w:after="0"/>
              <w:rPr>
                <w:sz w:val="20"/>
                <w:szCs w:val="20"/>
                <w:color w:val="auto"/>
              </w:rPr>
            </w:pPr>
            <w:r>
              <w:rPr>
                <w:rFonts w:ascii="Arial" w:cs="Arial" w:eastAsia="Arial" w:hAnsi="Arial"/>
                <w:sz w:val="17"/>
                <w:szCs w:val="17"/>
                <w:color w:val="auto"/>
              </w:rPr>
              <w:t>/s/ Hal S. Jones</w:t>
            </w:r>
          </w:p>
        </w:tc>
      </w:tr>
      <w:tr>
        <w:trPr>
          <w:trHeight w:val="190"/>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2640" w:type="dxa"/>
            <w:vAlign w:val="bottom"/>
            <w:tcBorders>
              <w:top w:val="single" w:sz="8" w:color="auto"/>
            </w:tcBorders>
          </w:tcPr>
          <w:p>
            <w:pPr>
              <w:ind w:left="660"/>
              <w:spacing w:after="0" w:line="190" w:lineRule="exact"/>
              <w:rPr>
                <w:sz w:val="20"/>
                <w:szCs w:val="20"/>
                <w:color w:val="auto"/>
              </w:rPr>
            </w:pPr>
            <w:r>
              <w:rPr>
                <w:rFonts w:ascii="Arial" w:cs="Arial" w:eastAsia="Arial" w:hAnsi="Arial"/>
                <w:sz w:val="17"/>
                <w:szCs w:val="17"/>
                <w:color w:val="auto"/>
              </w:rPr>
              <w:t>Hal S. Jones</w:t>
            </w:r>
          </w:p>
        </w:tc>
        <w:tc>
          <w:tcPr>
            <w:tcW w:w="4640" w:type="dxa"/>
            <w:vAlign w:val="bottom"/>
            <w:gridSpan w:val="2"/>
          </w:tcPr>
          <w:p>
            <w:pPr>
              <w:spacing w:after="0"/>
              <w:rPr>
                <w:sz w:val="16"/>
                <w:szCs w:val="16"/>
                <w:color w:val="auto"/>
              </w:rPr>
            </w:pPr>
          </w:p>
        </w:tc>
      </w:tr>
      <w:tr>
        <w:trPr>
          <w:trHeight w:val="186"/>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980" w:type="dxa"/>
            <w:vAlign w:val="bottom"/>
            <w:gridSpan w:val="4"/>
          </w:tcPr>
          <w:p>
            <w:pPr>
              <w:jc w:val="center"/>
              <w:ind w:right="3520"/>
              <w:spacing w:after="0" w:line="186" w:lineRule="exact"/>
              <w:rPr>
                <w:sz w:val="20"/>
                <w:szCs w:val="20"/>
                <w:color w:val="auto"/>
              </w:rPr>
            </w:pPr>
            <w:r>
              <w:rPr>
                <w:rFonts w:ascii="Arial" w:cs="Arial" w:eastAsia="Arial" w:hAnsi="Arial"/>
                <w:sz w:val="17"/>
                <w:szCs w:val="17"/>
                <w:color w:val="auto"/>
                <w:w w:val="97"/>
              </w:rPr>
              <w:t>Senior Vice President - Finance</w:t>
            </w: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280" w:type="dxa"/>
            <w:vAlign w:val="bottom"/>
            <w:gridSpan w:val="3"/>
          </w:tcPr>
          <w:p>
            <w:pPr>
              <w:jc w:val="center"/>
              <w:ind w:right="5180"/>
              <w:spacing w:after="0"/>
              <w:rPr>
                <w:sz w:val="20"/>
                <w:szCs w:val="20"/>
                <w:color w:val="auto"/>
              </w:rPr>
            </w:pPr>
            <w:r>
              <w:rPr>
                <w:rFonts w:ascii="Arial" w:cs="Arial" w:eastAsia="Arial" w:hAnsi="Arial"/>
                <w:sz w:val="17"/>
                <w:szCs w:val="17"/>
                <w:color w:val="auto"/>
                <w:w w:val="97"/>
              </w:rPr>
              <w:t>(Principal Financial Officer)</w:t>
            </w:r>
          </w:p>
        </w:tc>
      </w:tr>
      <w:tr>
        <w:trPr>
          <w:trHeight w:val="763"/>
        </w:trPr>
        <w:tc>
          <w:tcPr>
            <w:tcW w:w="5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340" w:type="dxa"/>
            <w:vAlign w:val="bottom"/>
            <w:gridSpan w:val="2"/>
          </w:tcPr>
          <w:p>
            <w:pPr>
              <w:jc w:val="right"/>
              <w:ind w:right="457"/>
              <w:spacing w:after="0"/>
              <w:rPr>
                <w:sz w:val="20"/>
                <w:szCs w:val="20"/>
                <w:color w:val="auto"/>
              </w:rPr>
            </w:pPr>
            <w:r>
              <w:rPr>
                <w:rFonts w:ascii="Arial" w:cs="Arial" w:eastAsia="Arial" w:hAnsi="Arial"/>
                <w:sz w:val="17"/>
                <w:szCs w:val="17"/>
                <w:color w:val="auto"/>
              </w:rPr>
              <w:t>3</w:t>
            </w:r>
          </w:p>
        </w:tc>
        <w:tc>
          <w:tcPr>
            <w:tcW w:w="4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95"/>
        </w:trPr>
        <w:tc>
          <w:tcPr>
            <w:tcW w:w="58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4580" w:type="dxa"/>
            <w:vAlign w:val="bottom"/>
            <w:tcBorders>
              <w:bottom w:val="single" w:sz="8" w:color="808080"/>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1124" w:right="1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514350</wp:posOffset>
            </wp:positionH>
            <wp:positionV relativeFrom="page">
              <wp:posOffset>593090</wp:posOffset>
            </wp:positionV>
            <wp:extent cx="6953250"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53250" cy="15875"/>
                    </a:xfrm>
                    <a:prstGeom prst="rect">
                      <a:avLst/>
                    </a:prstGeom>
                    <a:noFill/>
                  </pic:spPr>
                </pic:pic>
              </a:graphicData>
            </a:graphic>
          </wp:anchor>
        </w:drawing>
        <w:t>Exhibit Index</w:t>
      </w:r>
    </w:p>
    <w:p>
      <w:pPr>
        <w:spacing w:after="0" w:line="383" w:lineRule="exact"/>
        <w:rPr>
          <w:sz w:val="20"/>
          <w:szCs w:val="20"/>
          <w:color w:val="auto"/>
        </w:rPr>
      </w:pPr>
    </w:p>
    <w:p>
      <w:pPr>
        <w:spacing w:after="0"/>
        <w:tabs>
          <w:tab w:leader="none" w:pos="980" w:val="left"/>
        </w:tabs>
        <w:rPr>
          <w:sz w:val="20"/>
          <w:szCs w:val="20"/>
          <w:color w:val="auto"/>
        </w:rPr>
      </w:pPr>
      <w:r>
        <w:rPr>
          <w:rFonts w:ascii="Arial" w:cs="Arial" w:eastAsia="Arial" w:hAnsi="Arial"/>
          <w:sz w:val="17"/>
          <w:szCs w:val="17"/>
          <w:color w:val="auto"/>
        </w:rPr>
        <w:t>Exhibit 99.1</w:t>
      </w:r>
      <w:r>
        <w:rPr>
          <w:sz w:val="20"/>
          <w:szCs w:val="20"/>
          <w:color w:val="auto"/>
        </w:rPr>
        <w:tab/>
      </w:r>
      <w:r>
        <w:rPr>
          <w:rFonts w:ascii="Arial" w:cs="Arial" w:eastAsia="Arial" w:hAnsi="Arial"/>
          <w:sz w:val="16"/>
          <w:szCs w:val="16"/>
          <w:color w:val="auto"/>
        </w:rPr>
        <w:t>The Washington Post Company Earnings Release dated February 22, 2013.</w:t>
      </w:r>
    </w:p>
    <w:p>
      <w:pPr>
        <w:spacing w:after="0" w:line="28"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189230</wp:posOffset>
            </wp:positionV>
            <wp:extent cx="727837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9639"/>
          </w:cols>
          <w:pgMar w:left="820" w:top="1124"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7"/>
          <w:szCs w:val="17"/>
          <w:b w:val="1"/>
          <w:bCs w:val="1"/>
          <w:color w:val="auto"/>
        </w:rPr>
        <w:t>Exhib</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0" w:type="dxa"/>
            <w:vAlign w:val="bottom"/>
          </w:tcPr>
          <w:p>
            <w:pPr>
              <w:spacing w:after="0"/>
              <w:rPr>
                <w:sz w:val="20"/>
                <w:szCs w:val="20"/>
                <w:color w:val="auto"/>
              </w:rPr>
            </w:pPr>
            <w:r>
              <w:rPr>
                <w:rFonts w:ascii="Arial" w:cs="Arial" w:eastAsia="Arial" w:hAnsi="Arial"/>
                <w:sz w:val="17"/>
                <w:szCs w:val="17"/>
                <w:color w:val="auto"/>
              </w:rPr>
              <w:t>Contact:</w:t>
            </w:r>
          </w:p>
        </w:tc>
        <w:tc>
          <w:tcPr>
            <w:tcW w:w="5300" w:type="dxa"/>
            <w:vAlign w:val="bottom"/>
          </w:tcPr>
          <w:p>
            <w:pPr>
              <w:ind w:left="280"/>
              <w:spacing w:after="0"/>
              <w:rPr>
                <w:sz w:val="20"/>
                <w:szCs w:val="20"/>
                <w:color w:val="auto"/>
              </w:rPr>
            </w:pPr>
            <w:r>
              <w:rPr>
                <w:rFonts w:ascii="Arial" w:cs="Arial" w:eastAsia="Arial" w:hAnsi="Arial"/>
                <w:sz w:val="17"/>
                <w:szCs w:val="17"/>
                <w:color w:val="auto"/>
              </w:rPr>
              <w:t>Hal S. Jones</w:t>
            </w:r>
          </w:p>
        </w:tc>
        <w:tc>
          <w:tcPr>
            <w:tcW w:w="1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6"/>
              </w:rPr>
              <w:t>For Immediate Release</w:t>
            </w:r>
          </w:p>
        </w:tc>
      </w:tr>
      <w:tr>
        <w:trPr>
          <w:trHeight w:val="202"/>
        </w:trPr>
        <w:tc>
          <w:tcPr>
            <w:tcW w:w="880" w:type="dxa"/>
            <w:vAlign w:val="bottom"/>
          </w:tcPr>
          <w:p>
            <w:pPr>
              <w:spacing w:after="0"/>
              <w:rPr>
                <w:sz w:val="17"/>
                <w:szCs w:val="17"/>
                <w:color w:val="auto"/>
              </w:rPr>
            </w:pPr>
          </w:p>
        </w:tc>
        <w:tc>
          <w:tcPr>
            <w:tcW w:w="5300" w:type="dxa"/>
            <w:vAlign w:val="bottom"/>
          </w:tcPr>
          <w:p>
            <w:pPr>
              <w:ind w:left="260"/>
              <w:spacing w:after="0"/>
              <w:rPr>
                <w:sz w:val="20"/>
                <w:szCs w:val="20"/>
                <w:color w:val="auto"/>
              </w:rPr>
            </w:pPr>
            <w:r>
              <w:rPr>
                <w:rFonts w:ascii="Arial" w:cs="Arial" w:eastAsia="Arial" w:hAnsi="Arial"/>
                <w:sz w:val="17"/>
                <w:szCs w:val="17"/>
                <w:color w:val="auto"/>
              </w:rPr>
              <w:t>(202) 334-6645</w:t>
            </w:r>
          </w:p>
        </w:tc>
        <w:tc>
          <w:tcPr>
            <w:tcW w:w="1720" w:type="dxa"/>
            <w:vAlign w:val="bottom"/>
          </w:tcPr>
          <w:p>
            <w:pPr>
              <w:ind w:left="80"/>
              <w:spacing w:after="0"/>
              <w:rPr>
                <w:sz w:val="20"/>
                <w:szCs w:val="20"/>
                <w:color w:val="auto"/>
              </w:rPr>
            </w:pPr>
            <w:r>
              <w:rPr>
                <w:rFonts w:ascii="Arial" w:cs="Arial" w:eastAsia="Arial" w:hAnsi="Arial"/>
                <w:sz w:val="17"/>
                <w:szCs w:val="17"/>
                <w:color w:val="auto"/>
              </w:rPr>
              <w:t>February 22, 2013</w:t>
            </w:r>
          </w:p>
        </w:tc>
      </w:tr>
    </w:tbl>
    <w:p>
      <w:pPr>
        <w:spacing w:after="0" w:line="35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THE WASHINGTON POST COMPANY REPORTS</w:t>
      </w:r>
    </w:p>
    <w:p>
      <w:pPr>
        <w:jc w:val="center"/>
        <w:ind w:left="1160"/>
        <w:spacing w:after="0"/>
        <w:rPr>
          <w:sz w:val="20"/>
          <w:szCs w:val="20"/>
          <w:color w:val="auto"/>
        </w:rPr>
      </w:pPr>
      <w:r>
        <w:rPr>
          <w:rFonts w:ascii="Arial" w:cs="Arial" w:eastAsia="Arial" w:hAnsi="Arial"/>
          <w:sz w:val="17"/>
          <w:szCs w:val="17"/>
          <w:color w:val="auto"/>
        </w:rPr>
        <w:t>2012 AND FOURTH QUARTER EARNINGS</w:t>
      </w:r>
    </w:p>
    <w:p>
      <w:pPr>
        <w:spacing w:after="0" w:line="363"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WASHINGTON – The Washington Post Company (NYSE: WPO) today reported net income attributable to common shares of $131.2 million ($17.39 p share) for the fiscal year ended December 31, 2012, compared to $116.2 million ($14.70 per share) for the fiscal year ended December 31, 2011. Net income includes $83.2 million in income ($11.30 per share) and $28.5 million in losses ($3.60 per share) from discontinued operations for 2012 and 2 respectively. Income from continuing operations attributable to common shares was $48.0 million ($ 6.09 per share) for 2012, compared to $144.7 mill ($18.30 per share) for 2011. As a result of the Company’s share repurchases, there were 6% fewer diluted average shares outstanding in 2012. For t fourth quarter of 2012, the Company reported a net loss attributable to common shares of $45.4 million ($ 6.57 per share), compared to net income of million ($8.03 per share) for the same period of 2011. Net income includes $0.3 million ($0.03 per share) in income from discontinued operations for t fourth quarter of 2011. The Company reported a loss from continuing operations attributable to common shares of $45.4 million ($6.57 per share) for t fourth quarter of 2012, compared to income from continuing operations of $61.4 million ($8.00 per share) for the same period of 2011.</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results for 2012 and 2011 were affected by a number of significant items as described in the following paragraphs.</w:t>
      </w:r>
    </w:p>
    <w:p>
      <w:pPr>
        <w:spacing w:after="0" w:line="232" w:lineRule="auto"/>
        <w:rPr>
          <w:sz w:val="20"/>
          <w:szCs w:val="20"/>
          <w:color w:val="auto"/>
        </w:rPr>
      </w:pPr>
      <w:r>
        <w:rPr>
          <w:rFonts w:ascii="Arial" w:cs="Arial" w:eastAsia="Arial" w:hAnsi="Arial"/>
          <w:sz w:val="17"/>
          <w:szCs w:val="17"/>
          <w:color w:val="auto"/>
        </w:rPr>
        <w:t>Excluding these items, income from continuing operations attributable to common shares was $181.0 million ($24.39 per share) for 2012, compared to $206.5 million ($26.08 per share) for 2011. Excluding these items, income from continuing operations attributable to common shares was $78.8 million ($10.61 per share) for the fourth quarter of 2012, compared to $68.4 million ($8.91 per share) for the fourth quarter of 2011. (Refer to the Non-GAAP Financial Information schedule attached to this release for additional details.)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Items included in the Company’s income from continuing operations for 2012 are listed below, and fourth quarter activity, if any, is highlighted for each</w:t>
      </w:r>
    </w:p>
    <w:p>
      <w:pPr>
        <w:spacing w:after="0" w:line="188" w:lineRule="exact"/>
        <w:rPr>
          <w:sz w:val="20"/>
          <w:szCs w:val="20"/>
          <w:color w:val="auto"/>
        </w:rPr>
      </w:pPr>
    </w:p>
    <w:p>
      <w:pPr>
        <w:ind w:left="580" w:hanging="291"/>
        <w:spacing w:after="0" w:line="246" w:lineRule="auto"/>
        <w:tabs>
          <w:tab w:leader="none" w:pos="423" w:val="left"/>
        </w:tabs>
        <w:numPr>
          <w:ilvl w:val="0"/>
          <w:numId w:val="3"/>
        </w:numPr>
        <w:rPr>
          <w:rFonts w:ascii="Arial" w:cs="Arial" w:eastAsia="Arial" w:hAnsi="Arial"/>
          <w:sz w:val="17"/>
          <w:szCs w:val="17"/>
          <w:color w:val="auto"/>
        </w:rPr>
      </w:pPr>
      <w:r>
        <w:rPr>
          <w:rFonts w:ascii="Arial" w:cs="Arial" w:eastAsia="Arial" w:hAnsi="Arial"/>
          <w:sz w:val="17"/>
          <w:szCs w:val="17"/>
          <w:color w:val="auto"/>
        </w:rPr>
        <w:t>a fourth quarter $111.6 million noncash goodwill and other long-lived assets impairment charge at Kaplan Test Preparation (KTP) (after-tax impa $81.9 million, or $11.33 per share);</w:t>
      </w:r>
    </w:p>
    <w:p>
      <w:pPr>
        <w:spacing w:after="0" w:line="170" w:lineRule="exact"/>
        <w:rPr>
          <w:rFonts w:ascii="Arial" w:cs="Arial" w:eastAsia="Arial" w:hAnsi="Arial"/>
          <w:sz w:val="17"/>
          <w:szCs w:val="17"/>
          <w:color w:val="auto"/>
        </w:rPr>
      </w:pPr>
    </w:p>
    <w:p>
      <w:pPr>
        <w:ind w:left="580" w:right="20" w:hanging="291"/>
        <w:spacing w:after="0" w:line="238" w:lineRule="auto"/>
        <w:tabs>
          <w:tab w:leader="none" w:pos="423" w:val="left"/>
        </w:tabs>
        <w:numPr>
          <w:ilvl w:val="0"/>
          <w:numId w:val="3"/>
        </w:numPr>
        <w:rPr>
          <w:rFonts w:ascii="Arial" w:cs="Arial" w:eastAsia="Arial" w:hAnsi="Arial"/>
          <w:sz w:val="17"/>
          <w:szCs w:val="17"/>
          <w:color w:val="auto"/>
        </w:rPr>
      </w:pPr>
      <w:r>
        <w:rPr>
          <w:rFonts w:ascii="Arial" w:cs="Arial" w:eastAsia="Arial" w:hAnsi="Arial"/>
          <w:sz w:val="17"/>
          <w:szCs w:val="17"/>
          <w:color w:val="auto"/>
        </w:rPr>
        <w:t>$63.7 million in early retirement, severance and other restructuring charges at the education and newspaper publishing divisions (after-tax impa $45.5 million, or $6.18 per share); $41.2 million of these charges were recorded in the fourth quarter (after-tax impact of $31.1 million, or $4.3 share);</w:t>
      </w:r>
    </w:p>
    <w:p>
      <w:pPr>
        <w:spacing w:after="0" w:line="175" w:lineRule="exact"/>
        <w:rPr>
          <w:rFonts w:ascii="Arial" w:cs="Arial" w:eastAsia="Arial" w:hAnsi="Arial"/>
          <w:sz w:val="17"/>
          <w:szCs w:val="17"/>
          <w:color w:val="auto"/>
        </w:rPr>
      </w:pPr>
    </w:p>
    <w:p>
      <w:pPr>
        <w:ind w:left="420" w:hanging="131"/>
        <w:spacing w:after="0"/>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fourth quarter $18.0 million write-down of a marketable equity security (after-tax impact of $11.2 million, or $1.54 per share);</w:t>
      </w:r>
    </w:p>
    <w:p>
      <w:pPr>
        <w:spacing w:after="0" w:line="189" w:lineRule="exact"/>
        <w:rPr>
          <w:rFonts w:ascii="Arial" w:cs="Arial" w:eastAsia="Arial" w:hAnsi="Arial"/>
          <w:sz w:val="17"/>
          <w:szCs w:val="17"/>
          <w:color w:val="auto"/>
        </w:rPr>
      </w:pPr>
    </w:p>
    <w:p>
      <w:pPr>
        <w:ind w:left="420" w:hanging="131"/>
        <w:spacing w:after="0"/>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$5.8 million gain on the sale of a cost method investment (after-tax impact of $3.7 million, or $0.48 per share); and</w:t>
      </w:r>
    </w:p>
    <w:p>
      <w:pPr>
        <w:spacing w:after="0" w:line="189" w:lineRule="exact"/>
        <w:rPr>
          <w:rFonts w:ascii="Arial" w:cs="Arial" w:eastAsia="Arial" w:hAnsi="Arial"/>
          <w:sz w:val="17"/>
          <w:szCs w:val="17"/>
          <w:color w:val="auto"/>
        </w:rPr>
      </w:pPr>
    </w:p>
    <w:p>
      <w:pPr>
        <w:ind w:left="420" w:hanging="131"/>
        <w:spacing w:after="0"/>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$3.1 million in non-operating unrealized foreign currency gains (after-tax impact of $2.0 million, or $0.27 per share).</w:t>
      </w:r>
    </w:p>
    <w:p>
      <w:pPr>
        <w:spacing w:after="0" w:line="18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77"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752" w:right="1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Items included in the Company’s income from continuing operations for 2011 are listed below, and fourth quarter activity, if any, is highlighted for each</w:t>
      </w:r>
    </w:p>
    <w:p>
      <w:pPr>
        <w:spacing w:after="0" w:line="188" w:lineRule="exact"/>
        <w:rPr>
          <w:sz w:val="20"/>
          <w:szCs w:val="20"/>
          <w:color w:val="auto"/>
        </w:rPr>
      </w:pPr>
    </w:p>
    <w:p>
      <w:pPr>
        <w:ind w:left="580" w:hanging="291"/>
        <w:spacing w:after="0" w:line="276" w:lineRule="auto"/>
        <w:tabs>
          <w:tab w:leader="none" w:pos="423" w:val="left"/>
        </w:tabs>
        <w:numPr>
          <w:ilvl w:val="0"/>
          <w:numId w:val="4"/>
        </w:numPr>
        <w:rPr>
          <w:rFonts w:ascii="Arial" w:cs="Arial" w:eastAsia="Arial" w:hAnsi="Arial"/>
          <w:sz w:val="16"/>
          <w:szCs w:val="16"/>
          <w:color w:val="auto"/>
        </w:rPr>
      </w:pPr>
      <w:r>
        <w:rPr>
          <w:rFonts w:ascii="Arial" w:cs="Arial" w:eastAsia="Arial" w:hAnsi="Arial"/>
          <w:sz w:val="16"/>
          <w:szCs w:val="16"/>
          <w:color w:val="auto"/>
        </w:rPr>
        <w:t>$31.3 million in severance and other restructuring charges at the education and newspaper publishing divisions (after-tax impact of $19.4 million $2.46 per share); $11.7 million of these charges were recorded in the fourth quarter (after-tax impact of $7.3 million, or $0.94 per share);</w:t>
      </w:r>
    </w:p>
    <w:p>
      <w:pPr>
        <w:spacing w:after="0" w:line="147" w:lineRule="exact"/>
        <w:rPr>
          <w:rFonts w:ascii="Arial" w:cs="Arial" w:eastAsia="Arial" w:hAnsi="Arial"/>
          <w:sz w:val="16"/>
          <w:szCs w:val="16"/>
          <w:color w:val="auto"/>
        </w:rPr>
      </w:pPr>
    </w:p>
    <w:p>
      <w:pPr>
        <w:ind w:left="420" w:hanging="131"/>
        <w:spacing w:after="0"/>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$9.2 million impairment charge at one of the Company’s affiliates (after-tax impact of $5.7 million, or $0.72 per share);</w:t>
      </w:r>
    </w:p>
    <w:p>
      <w:pPr>
        <w:spacing w:after="0" w:line="189" w:lineRule="exact"/>
        <w:rPr>
          <w:rFonts w:ascii="Arial" w:cs="Arial" w:eastAsia="Arial" w:hAnsi="Arial"/>
          <w:sz w:val="17"/>
          <w:szCs w:val="17"/>
          <w:color w:val="auto"/>
        </w:rPr>
      </w:pPr>
    </w:p>
    <w:p>
      <w:pPr>
        <w:ind w:left="420" w:hanging="131"/>
        <w:spacing w:after="0"/>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a $53.8 million write-down of a marketable equity security (after-tax impact of $34.6 million, or $4.34 per share); and</w:t>
      </w:r>
    </w:p>
    <w:p>
      <w:pPr>
        <w:spacing w:after="0" w:line="189" w:lineRule="exact"/>
        <w:rPr>
          <w:rFonts w:ascii="Arial" w:cs="Arial" w:eastAsia="Arial" w:hAnsi="Arial"/>
          <w:sz w:val="17"/>
          <w:szCs w:val="17"/>
          <w:color w:val="auto"/>
        </w:rPr>
      </w:pPr>
    </w:p>
    <w:p>
      <w:pPr>
        <w:ind w:left="580" w:right="120" w:hanging="291"/>
        <w:spacing w:after="0" w:line="246" w:lineRule="auto"/>
        <w:tabs>
          <w:tab w:leader="none" w:pos="423" w:val="left"/>
        </w:tabs>
        <w:numPr>
          <w:ilvl w:val="0"/>
          <w:numId w:val="4"/>
        </w:numPr>
        <w:rPr>
          <w:rFonts w:ascii="Arial" w:cs="Arial" w:eastAsia="Arial" w:hAnsi="Arial"/>
          <w:sz w:val="17"/>
          <w:szCs w:val="17"/>
          <w:color w:val="auto"/>
        </w:rPr>
      </w:pPr>
      <w:r>
        <w:rPr>
          <w:rFonts w:ascii="Arial" w:cs="Arial" w:eastAsia="Arial" w:hAnsi="Arial"/>
          <w:sz w:val="17"/>
          <w:szCs w:val="17"/>
          <w:color w:val="auto"/>
        </w:rPr>
        <w:t>$3.3 million in non-operating unrealized foreign currency losses (after-tax impact of $2.1 million, or $0.26 per share); $0.4 million in gains were recorded in the fourth quarter (after-tax impact of $0.3 million, or $0.03 per share).</w:t>
      </w:r>
    </w:p>
    <w:p>
      <w:pPr>
        <w:spacing w:after="0" w:line="17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Revenue for 2012 was $4,017.7 million, down 3% from $4,131.1 million in 2011. Revenues were down at the education and newspaper publishing divisions, partially offset by increases at the television broadcasting and cable television divisions. Operating income for 2012 decreased to $144.5 mil from $325.9 million in 2011. Operating results declined at all of the Company’s divisions, except for the television broadcasting division.</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 the fourth quarter of 2012, revenue was $1,050.1 million, up 1% from $1,040.4 million in 2011. The Company reported an operating loss of $14.4 in the fourth quarter of 2012, compared to operating income of $109.3 million in 2011. Revenues and operating results were down at the education an newspaper publishing divisions, while revenues and operating income increased at the television broadcasting and cable television divisions.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Division Results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Education</w:t>
      </w:r>
    </w:p>
    <w:p>
      <w:pPr>
        <w:spacing w:after="0" w:line="19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Education division revenue in 2012 totaled $2,196.5 million, a 9% decline from $2,404.5 million in 2011. Excluding revenue from acquired businesses, education division revenue declined 10% in 2012. For the fourth quarter of 2012, education division revenue totaled $544.4 million, a 6% decline from $580.8 million for the same period of 2011. Excluding revenue from acquired businesses, education division revenue declined 7% in the fourth quarter 2012.</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Kaplan reported an operating loss of $105.4 million for 2012, compared to operating income of $96.3 million in 2011; Kaplan reported an operating los the fourth quarter of 2012 of $ 111.9 million, compared to operating income of $30.9 million in the fourth quarter of 2011. Kaplan’s 2012 operating resu were adversely impacted by a significant decline in Kaplan Higher Education (KHE) results; a $111.6 million noncash goodwill and other long-lived ass impairment charge related to KTP; and $45.2 million in restructuring costs. These were offset by improved results at KTP and Kaplan International.</w:t>
      </w:r>
    </w:p>
    <w:p>
      <w:pPr>
        <w:spacing w:after="0" w:line="170"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In response to student demand levels, Kaplan has formulated and implemented restructuring plans at its various businesses that have resulted in sign costs in 2012 and 2011, with the objective of establishing lower cost levels in future periods. Across all businesses, restructuring costs totaled $45.2 m in 2012 and $28.9 million in 2011. Restructuring costs totaled $35.9 million in the fourth quarter of 2012 and $9.3 million in the fourth quarter of 2011. to the Education Division Information, Summary of Restructuring Charges schedule attached to this release for additional details.) Kaplan currently ex to incur approximately $25 million in additional restructuring costs in 2013 at KHE and Kaplan International in conjunction with completing these restructuring plans. Kaplan may also incur additional restructuring charges in 2013 as the Company continues to evaluate its cost structure.</w:t>
      </w:r>
    </w:p>
    <w:p>
      <w:pPr>
        <w:spacing w:after="0" w:line="4"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77"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995" w:right="139" w:bottom="1440" w:gutter="0" w:footer="0" w:header="0"/>
        </w:sectPr>
      </w:pPr>
    </w:p>
    <w:bookmarkStart w:id="7" w:name="page8"/>
    <w:bookmarkEnd w:id="7"/>
    <w:p>
      <w:pPr>
        <w:ind w:right="60"/>
        <w:spacing w:after="0" w:line="235" w:lineRule="auto"/>
        <w:rPr>
          <w:sz w:val="20"/>
          <w:szCs w:val="20"/>
          <w:color w:val="auto"/>
        </w:rPr>
      </w:pPr>
      <w:r>
        <w:rPr>
          <w:rFonts w:ascii="Arial" w:cs="Arial" w:eastAsia="Arial" w:hAnsi="Arial"/>
          <w:sz w:val="17"/>
          <w:szCs w:val="17"/>
          <w:color w:val="auto"/>
        </w:rPr>
        <w:t>A summary of Kaplan’s operating results by division, including and excluding restructuring costs, for 2012 and the fourth quarter of 2012 compared to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3"/>
          </w:tcPr>
          <w:p>
            <w:pPr>
              <w:jc w:val="right"/>
              <w:ind w:right="646"/>
              <w:spacing w:after="0"/>
              <w:rPr>
                <w:sz w:val="20"/>
                <w:szCs w:val="20"/>
                <w:color w:val="auto"/>
              </w:rPr>
            </w:pPr>
            <w:r>
              <w:rPr>
                <w:rFonts w:ascii="Arial" w:cs="Arial" w:eastAsia="Arial" w:hAnsi="Arial"/>
                <w:sz w:val="12"/>
                <w:szCs w:val="12"/>
                <w:b w:val="1"/>
                <w:bCs w:val="1"/>
                <w:color w:val="auto"/>
              </w:rPr>
              <w:t>Three Months Ended</w:t>
            </w: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3"/>
          </w:tcPr>
          <w:p>
            <w:pPr>
              <w:jc w:val="right"/>
              <w:ind w:right="466"/>
              <w:spacing w:after="0"/>
              <w:rPr>
                <w:sz w:val="20"/>
                <w:szCs w:val="20"/>
                <w:color w:val="auto"/>
              </w:rPr>
            </w:pPr>
            <w:r>
              <w:rPr>
                <w:rFonts w:ascii="Arial" w:cs="Arial" w:eastAsia="Arial" w:hAnsi="Arial"/>
                <w:sz w:val="12"/>
                <w:szCs w:val="12"/>
                <w:b w:val="1"/>
                <w:bCs w:val="1"/>
                <w:color w:val="auto"/>
              </w:rPr>
              <w:t>Twelve Months Ended</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December 31,</w:t>
            </w:r>
          </w:p>
        </w:tc>
        <w:tc>
          <w:tcPr>
            <w:tcW w:w="860" w:type="dxa"/>
            <w:vAlign w:val="bottom"/>
            <w:tcBorders>
              <w:bottom w:val="single" w:sz="8" w:color="auto"/>
            </w:tcBorders>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December 31,</w:t>
            </w:r>
          </w:p>
        </w:tc>
        <w:tc>
          <w:tcPr>
            <w:tcW w:w="74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12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547"/>
              <w:spacing w:after="0" w:line="129" w:lineRule="exact"/>
              <w:rPr>
                <w:sz w:val="20"/>
                <w:szCs w:val="20"/>
                <w:color w:val="auto"/>
              </w:rPr>
            </w:pPr>
            <w:r>
              <w:rPr>
                <w:rFonts w:ascii="Arial" w:cs="Arial" w:eastAsia="Arial" w:hAnsi="Arial"/>
                <w:sz w:val="12"/>
                <w:szCs w:val="12"/>
                <w:b w:val="1"/>
                <w:bCs w:val="1"/>
                <w:color w:val="auto"/>
              </w:rPr>
              <w:t>2012</w:t>
            </w:r>
          </w:p>
        </w:tc>
        <w:tc>
          <w:tcPr>
            <w:tcW w:w="4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46"/>
              <w:spacing w:after="0" w:line="129" w:lineRule="exact"/>
              <w:rPr>
                <w:sz w:val="20"/>
                <w:szCs w:val="20"/>
                <w:color w:val="auto"/>
              </w:rPr>
            </w:pPr>
            <w:r>
              <w:rPr>
                <w:rFonts w:ascii="Arial" w:cs="Arial" w:eastAsia="Arial" w:hAnsi="Arial"/>
                <w:sz w:val="12"/>
                <w:szCs w:val="12"/>
                <w:color w:val="auto"/>
              </w:rPr>
              <w:t>2011</w:t>
            </w:r>
          </w:p>
        </w:tc>
        <w:tc>
          <w:tcPr>
            <w:tcW w:w="1260" w:type="dxa"/>
            <w:vAlign w:val="bottom"/>
            <w:tcBorders>
              <w:bottom w:val="single" w:sz="8" w:color="auto"/>
            </w:tcBorders>
          </w:tcPr>
          <w:p>
            <w:pPr>
              <w:jc w:val="right"/>
              <w:ind w:right="386"/>
              <w:spacing w:after="0" w:line="129" w:lineRule="exact"/>
              <w:rPr>
                <w:sz w:val="20"/>
                <w:szCs w:val="20"/>
                <w:color w:val="auto"/>
              </w:rPr>
            </w:pPr>
            <w:r>
              <w:rPr>
                <w:rFonts w:ascii="Arial" w:cs="Arial" w:eastAsia="Arial" w:hAnsi="Arial"/>
                <w:sz w:val="12"/>
                <w:szCs w:val="12"/>
                <w:color w:val="auto"/>
              </w:rPr>
              <w:t>% Change</w:t>
            </w: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67"/>
              <w:spacing w:after="0" w:line="129" w:lineRule="exact"/>
              <w:rPr>
                <w:sz w:val="20"/>
                <w:szCs w:val="20"/>
                <w:color w:val="auto"/>
              </w:rPr>
            </w:pPr>
            <w:r>
              <w:rPr>
                <w:rFonts w:ascii="Arial" w:cs="Arial" w:eastAsia="Arial" w:hAnsi="Arial"/>
                <w:sz w:val="12"/>
                <w:szCs w:val="12"/>
                <w:b w:val="1"/>
                <w:bCs w:val="1"/>
                <w:color w:val="auto"/>
              </w:rPr>
              <w:t>2012</w:t>
            </w:r>
          </w:p>
        </w:tc>
        <w:tc>
          <w:tcPr>
            <w:tcW w:w="4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66"/>
              <w:spacing w:after="0" w:line="129" w:lineRule="exact"/>
              <w:rPr>
                <w:sz w:val="20"/>
                <w:szCs w:val="20"/>
                <w:color w:val="auto"/>
              </w:rPr>
            </w:pPr>
            <w:r>
              <w:rPr>
                <w:rFonts w:ascii="Arial" w:cs="Arial" w:eastAsia="Arial" w:hAnsi="Arial"/>
                <w:sz w:val="12"/>
                <w:szCs w:val="12"/>
                <w:color w:val="auto"/>
              </w:rPr>
              <w:t>2011</w:t>
            </w:r>
          </w:p>
        </w:tc>
        <w:tc>
          <w:tcPr>
            <w:tcW w:w="5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 Ch</w:t>
            </w:r>
          </w:p>
        </w:tc>
        <w:tc>
          <w:tcPr>
            <w:tcW w:w="0" w:type="dxa"/>
            <w:vAlign w:val="bottom"/>
          </w:tcPr>
          <w:p>
            <w:pPr>
              <w:spacing w:after="0"/>
              <w:rPr>
                <w:sz w:val="1"/>
                <w:szCs w:val="1"/>
                <w:color w:val="auto"/>
              </w:rPr>
            </w:pPr>
          </w:p>
        </w:tc>
      </w:tr>
      <w:tr>
        <w:trPr>
          <w:trHeight w:val="168"/>
        </w:trPr>
        <w:tc>
          <w:tcPr>
            <w:tcW w:w="4120" w:type="dxa"/>
            <w:vAlign w:val="bottom"/>
          </w:tcPr>
          <w:p>
            <w:pPr>
              <w:spacing w:after="0" w:line="168" w:lineRule="exact"/>
              <w:rPr>
                <w:sz w:val="20"/>
                <w:szCs w:val="20"/>
                <w:color w:val="auto"/>
              </w:rPr>
            </w:pPr>
            <w:r>
              <w:rPr>
                <w:rFonts w:ascii="Arial" w:cs="Arial" w:eastAsia="Arial" w:hAnsi="Arial"/>
                <w:sz w:val="15"/>
                <w:szCs w:val="15"/>
                <w:b w:val="1"/>
                <w:bCs w:val="1"/>
                <w:color w:val="auto"/>
              </w:rPr>
              <w:t>Revenue</w:t>
            </w: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5"/>
                <w:szCs w:val="15"/>
                <w:b w:val="1"/>
                <w:bCs w:val="1"/>
                <w:color w:val="auto"/>
              </w:rPr>
              <w:t>$</w:t>
            </w:r>
          </w:p>
        </w:tc>
        <w:tc>
          <w:tcPr>
            <w:tcW w:w="1020" w:type="dxa"/>
            <w:vAlign w:val="bottom"/>
            <w:vMerge w:val="restart"/>
          </w:tcPr>
          <w:p>
            <w:pPr>
              <w:jc w:val="right"/>
              <w:ind w:right="87"/>
              <w:spacing w:after="0"/>
              <w:rPr>
                <w:sz w:val="20"/>
                <w:szCs w:val="20"/>
                <w:color w:val="auto"/>
              </w:rPr>
            </w:pPr>
            <w:r>
              <w:rPr>
                <w:rFonts w:ascii="Arial" w:cs="Arial" w:eastAsia="Arial" w:hAnsi="Arial"/>
                <w:sz w:val="15"/>
                <w:szCs w:val="15"/>
                <w:b w:val="1"/>
                <w:bCs w:val="1"/>
                <w:color w:val="auto"/>
              </w:rPr>
              <w:t>276,459</w:t>
            </w: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5"/>
                <w:szCs w:val="15"/>
                <w:b w:val="1"/>
                <w:bCs w:val="1"/>
                <w:color w:val="auto"/>
              </w:rPr>
              <w:t>$</w:t>
            </w:r>
          </w:p>
        </w:tc>
        <w:tc>
          <w:tcPr>
            <w:tcW w:w="920" w:type="dxa"/>
            <w:vAlign w:val="bottom"/>
            <w:vMerge w:val="restart"/>
          </w:tcPr>
          <w:p>
            <w:pPr>
              <w:jc w:val="right"/>
              <w:ind w:right="67"/>
              <w:spacing w:after="0"/>
              <w:rPr>
                <w:sz w:val="20"/>
                <w:szCs w:val="20"/>
                <w:color w:val="auto"/>
              </w:rPr>
            </w:pPr>
            <w:r>
              <w:rPr>
                <w:rFonts w:ascii="Arial" w:cs="Arial" w:eastAsia="Arial" w:hAnsi="Arial"/>
                <w:sz w:val="15"/>
                <w:szCs w:val="15"/>
                <w:b w:val="1"/>
                <w:bCs w:val="1"/>
                <w:color w:val="auto"/>
              </w:rPr>
              <w:t>1,149,407</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2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6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420" w:type="dxa"/>
            <w:vAlign w:val="bottom"/>
          </w:tcPr>
          <w:p>
            <w:pPr>
              <w:jc w:val="right"/>
              <w:ind w:right="106"/>
              <w:spacing w:after="0" w:line="156"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56" w:lineRule="exact"/>
              <w:rPr>
                <w:sz w:val="20"/>
                <w:szCs w:val="20"/>
                <w:color w:val="auto"/>
              </w:rPr>
            </w:pPr>
            <w:r>
              <w:rPr>
                <w:rFonts w:ascii="Arial" w:cs="Arial" w:eastAsia="Arial" w:hAnsi="Arial"/>
                <w:sz w:val="15"/>
                <w:szCs w:val="15"/>
                <w:color w:val="auto"/>
              </w:rPr>
              <w:t>323,532</w:t>
            </w:r>
          </w:p>
        </w:tc>
        <w:tc>
          <w:tcPr>
            <w:tcW w:w="1260" w:type="dxa"/>
            <w:vAlign w:val="bottom"/>
          </w:tcPr>
          <w:p>
            <w:pPr>
              <w:jc w:val="right"/>
              <w:ind w:right="526"/>
              <w:spacing w:after="0" w:line="156" w:lineRule="exact"/>
              <w:rPr>
                <w:sz w:val="20"/>
                <w:szCs w:val="20"/>
                <w:color w:val="auto"/>
              </w:rPr>
            </w:pPr>
            <w:r>
              <w:rPr>
                <w:rFonts w:ascii="Arial" w:cs="Arial" w:eastAsia="Arial" w:hAnsi="Arial"/>
                <w:sz w:val="15"/>
                <w:szCs w:val="15"/>
                <w:color w:val="auto"/>
              </w:rPr>
              <w:t>(15)</w:t>
            </w:r>
          </w:p>
        </w:tc>
        <w:tc>
          <w:tcPr>
            <w:tcW w:w="300" w:type="dxa"/>
            <w:vAlign w:val="bottom"/>
            <w:gridSpan w:val="2"/>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400" w:type="dxa"/>
            <w:vAlign w:val="bottom"/>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56" w:lineRule="exact"/>
              <w:rPr>
                <w:sz w:val="20"/>
                <w:szCs w:val="20"/>
                <w:color w:val="auto"/>
              </w:rPr>
            </w:pPr>
            <w:r>
              <w:rPr>
                <w:rFonts w:ascii="Arial" w:cs="Arial" w:eastAsia="Arial" w:hAnsi="Arial"/>
                <w:sz w:val="15"/>
                <w:szCs w:val="15"/>
                <w:color w:val="auto"/>
              </w:rPr>
              <w:t>1,399,583</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412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87"/>
              <w:spacing w:after="0"/>
              <w:rPr>
                <w:sz w:val="20"/>
                <w:szCs w:val="20"/>
                <w:color w:val="auto"/>
              </w:rPr>
            </w:pPr>
            <w:r>
              <w:rPr>
                <w:rFonts w:ascii="Arial" w:cs="Arial" w:eastAsia="Arial" w:hAnsi="Arial"/>
                <w:sz w:val="15"/>
                <w:szCs w:val="15"/>
                <w:b w:val="1"/>
                <w:bCs w:val="1"/>
                <w:color w:val="auto"/>
              </w:rPr>
              <w:t>60,485</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66,901</w:t>
            </w:r>
          </w:p>
        </w:tc>
        <w:tc>
          <w:tcPr>
            <w:tcW w:w="1260" w:type="dxa"/>
            <w:vAlign w:val="bottom"/>
          </w:tcPr>
          <w:p>
            <w:pPr>
              <w:jc w:val="right"/>
              <w:ind w:right="526"/>
              <w:spacing w:after="0"/>
              <w:rPr>
                <w:sz w:val="20"/>
                <w:szCs w:val="20"/>
                <w:color w:val="auto"/>
              </w:rPr>
            </w:pPr>
            <w:r>
              <w:rPr>
                <w:rFonts w:ascii="Arial" w:cs="Arial" w:eastAsia="Arial" w:hAnsi="Arial"/>
                <w:sz w:val="15"/>
                <w:szCs w:val="15"/>
                <w:color w:val="auto"/>
              </w:rPr>
              <w:t>(10)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b w:val="1"/>
                <w:bCs w:val="1"/>
                <w:color w:val="auto"/>
              </w:rPr>
              <w:t>284,252</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303,093</w:t>
            </w: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412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87"/>
              <w:spacing w:after="0"/>
              <w:rPr>
                <w:sz w:val="20"/>
                <w:szCs w:val="20"/>
                <w:color w:val="auto"/>
              </w:rPr>
            </w:pPr>
            <w:r>
              <w:rPr>
                <w:rFonts w:ascii="Arial" w:cs="Arial" w:eastAsia="Arial" w:hAnsi="Arial"/>
                <w:sz w:val="15"/>
                <w:szCs w:val="15"/>
                <w:b w:val="1"/>
                <w:bCs w:val="1"/>
                <w:color w:val="auto"/>
              </w:rPr>
              <w:t>208,285</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190,821</w:t>
            </w:r>
          </w:p>
        </w:tc>
        <w:tc>
          <w:tcPr>
            <w:tcW w:w="1260" w:type="dxa"/>
            <w:vAlign w:val="bottom"/>
          </w:tcPr>
          <w:p>
            <w:pPr>
              <w:jc w:val="right"/>
              <w:ind w:right="526"/>
              <w:spacing w:after="0"/>
              <w:rPr>
                <w:sz w:val="20"/>
                <w:szCs w:val="20"/>
                <w:color w:val="auto"/>
              </w:rPr>
            </w:pPr>
            <w:r>
              <w:rPr>
                <w:rFonts w:ascii="Arial" w:cs="Arial" w:eastAsia="Arial" w:hAnsi="Arial"/>
                <w:sz w:val="15"/>
                <w:szCs w:val="15"/>
                <w:color w:val="auto"/>
              </w:rPr>
              <w:t>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b w:val="1"/>
                <w:bCs w:val="1"/>
                <w:color w:val="auto"/>
              </w:rPr>
              <w:t>764,184</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704,581</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20" w:type="dxa"/>
            <w:vAlign w:val="bottom"/>
          </w:tcPr>
          <w:p>
            <w:pPr>
              <w:ind w:left="220"/>
              <w:spacing w:after="0"/>
              <w:rPr>
                <w:sz w:val="20"/>
                <w:szCs w:val="20"/>
                <w:color w:val="auto"/>
              </w:rPr>
            </w:pPr>
            <w:r>
              <w:rPr>
                <w:rFonts w:ascii="Arial" w:cs="Arial" w:eastAsia="Arial" w:hAnsi="Arial"/>
                <w:sz w:val="15"/>
                <w:szCs w:val="15"/>
                <w:color w:val="auto"/>
              </w:rPr>
              <w:t>Kaplan corporate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87"/>
              <w:spacing w:after="0"/>
              <w:rPr>
                <w:sz w:val="20"/>
                <w:szCs w:val="20"/>
                <w:color w:val="auto"/>
              </w:rPr>
            </w:pPr>
            <w:r>
              <w:rPr>
                <w:rFonts w:ascii="Arial" w:cs="Arial" w:eastAsia="Arial" w:hAnsi="Arial"/>
                <w:sz w:val="15"/>
                <w:szCs w:val="15"/>
                <w:b w:val="1"/>
                <w:bCs w:val="1"/>
                <w:color w:val="auto"/>
              </w:rPr>
              <w:t>1,487</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1,110</w:t>
            </w:r>
          </w:p>
        </w:tc>
        <w:tc>
          <w:tcPr>
            <w:tcW w:w="1260" w:type="dxa"/>
            <w:vAlign w:val="bottom"/>
          </w:tcPr>
          <w:p>
            <w:pPr>
              <w:jc w:val="right"/>
              <w:ind w:right="526"/>
              <w:spacing w:after="0"/>
              <w:rPr>
                <w:sz w:val="20"/>
                <w:szCs w:val="20"/>
                <w:color w:val="auto"/>
              </w:rPr>
            </w:pPr>
            <w:r>
              <w:rPr>
                <w:rFonts w:ascii="Arial" w:cs="Arial" w:eastAsia="Arial" w:hAnsi="Arial"/>
                <w:sz w:val="15"/>
                <w:szCs w:val="15"/>
                <w:color w:val="auto"/>
              </w:rPr>
              <w:t>34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b w:val="1"/>
                <w:bCs w:val="1"/>
                <w:color w:val="auto"/>
              </w:rPr>
              <w:t>4,645</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4,585</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2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(2,287)</w:t>
            </w: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(1,601)</w:t>
            </w:r>
          </w:p>
        </w:tc>
        <w:tc>
          <w:tcPr>
            <w:tcW w:w="1260" w:type="dxa"/>
            <w:vAlign w:val="bottom"/>
          </w:tcPr>
          <w:p>
            <w:pPr>
              <w:jc w:val="right"/>
              <w:ind w:right="526"/>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(5,992)</w:t>
            </w: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(7,383)</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120" w:type="dxa"/>
            <w:vAlign w:val="bottom"/>
          </w:tcPr>
          <w:p>
            <w:pPr>
              <w:spacing w:after="0"/>
              <w:rPr>
                <w:sz w:val="14"/>
                <w:szCs w:val="14"/>
                <w:color w:val="auto"/>
              </w:rPr>
            </w:pPr>
          </w:p>
        </w:tc>
        <w:tc>
          <w:tcPr>
            <w:tcW w:w="360" w:type="dxa"/>
            <w:vAlign w:val="bottom"/>
            <w:tcBorders>
              <w:bottom w:val="single" w:sz="8" w:color="auto"/>
            </w:tcBorders>
            <w:gridSpan w:val="2"/>
          </w:tcPr>
          <w:p>
            <w:pPr>
              <w:jc w:val="right"/>
              <w:ind w:right="120"/>
              <w:spacing w:after="0" w:line="167" w:lineRule="exact"/>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87"/>
              <w:spacing w:after="0" w:line="167" w:lineRule="exact"/>
              <w:rPr>
                <w:sz w:val="20"/>
                <w:szCs w:val="20"/>
                <w:color w:val="auto"/>
              </w:rPr>
            </w:pPr>
            <w:r>
              <w:rPr>
                <w:rFonts w:ascii="Arial" w:cs="Arial" w:eastAsia="Arial" w:hAnsi="Arial"/>
                <w:sz w:val="15"/>
                <w:szCs w:val="15"/>
                <w:b w:val="1"/>
                <w:bCs w:val="1"/>
                <w:color w:val="auto"/>
              </w:rPr>
              <w:t>544,429</w:t>
            </w:r>
          </w:p>
        </w:tc>
        <w:tc>
          <w:tcPr>
            <w:tcW w:w="42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580,763</w:t>
            </w:r>
          </w:p>
        </w:tc>
        <w:tc>
          <w:tcPr>
            <w:tcW w:w="1260" w:type="dxa"/>
            <w:vAlign w:val="bottom"/>
          </w:tcPr>
          <w:p>
            <w:pPr>
              <w:jc w:val="right"/>
              <w:ind w:right="526"/>
              <w:spacing w:after="0" w:line="167" w:lineRule="exact"/>
              <w:rPr>
                <w:sz w:val="20"/>
                <w:szCs w:val="20"/>
                <w:color w:val="auto"/>
              </w:rPr>
            </w:pPr>
            <w:r>
              <w:rPr>
                <w:rFonts w:ascii="Arial" w:cs="Arial" w:eastAsia="Arial" w:hAnsi="Arial"/>
                <w:sz w:val="15"/>
                <w:szCs w:val="15"/>
                <w:color w:val="auto"/>
              </w:rPr>
              <w:t>(6)</w:t>
            </w:r>
          </w:p>
        </w:tc>
        <w:tc>
          <w:tcPr>
            <w:tcW w:w="300" w:type="dxa"/>
            <w:vAlign w:val="bottom"/>
            <w:tcBorders>
              <w:bottom w:val="single" w:sz="8" w:color="auto"/>
            </w:tcBorders>
            <w:gridSpan w:val="2"/>
          </w:tcPr>
          <w:p>
            <w:pPr>
              <w:jc w:val="right"/>
              <w:ind w:right="80"/>
              <w:spacing w:after="0" w:line="167" w:lineRule="exact"/>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b w:val="1"/>
                <w:bCs w:val="1"/>
                <w:color w:val="auto"/>
              </w:rPr>
              <w:t>2,196,496</w:t>
            </w:r>
          </w:p>
        </w:tc>
        <w:tc>
          <w:tcPr>
            <w:tcW w:w="40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2,404,459</w:t>
            </w:r>
          </w:p>
        </w:tc>
        <w:tc>
          <w:tcPr>
            <w:tcW w:w="540" w:type="dxa"/>
            <w:vAlign w:val="bottom"/>
          </w:tcPr>
          <w:p>
            <w:pPr>
              <w:jc w:val="right"/>
              <w:spacing w:after="0" w:line="167"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 (Loss)</w:t>
            </w: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1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20"/>
                <w:szCs w:val="20"/>
                <w:color w:val="auto"/>
              </w:rPr>
            </w:pPr>
            <w:r>
              <w:rPr>
                <w:rFonts w:ascii="Arial" w:cs="Arial" w:eastAsia="Arial" w:hAnsi="Arial"/>
                <w:sz w:val="15"/>
                <w:szCs w:val="15"/>
                <w:b w:val="1"/>
                <w:bCs w:val="1"/>
                <w:color w:val="auto"/>
              </w:rPr>
              <w:t>Restructuring Costs Included in Divisions</w:t>
            </w: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5"/>
                <w:szCs w:val="15"/>
                <w:b w:val="1"/>
                <w:bCs w:val="1"/>
                <w:color w:val="auto"/>
              </w:rPr>
              <w:t>$</w:t>
            </w:r>
          </w:p>
        </w:tc>
        <w:tc>
          <w:tcPr>
            <w:tcW w:w="1020" w:type="dxa"/>
            <w:vAlign w:val="bottom"/>
            <w:vMerge w:val="restart"/>
          </w:tcPr>
          <w:p>
            <w:pPr>
              <w:jc w:val="right"/>
              <w:ind w:right="87"/>
              <w:spacing w:after="0"/>
              <w:rPr>
                <w:sz w:val="20"/>
                <w:szCs w:val="20"/>
                <w:color w:val="auto"/>
              </w:rPr>
            </w:pPr>
            <w:r>
              <w:rPr>
                <w:rFonts w:ascii="Arial" w:cs="Arial" w:eastAsia="Arial" w:hAnsi="Arial"/>
                <w:sz w:val="15"/>
                <w:szCs w:val="15"/>
                <w:b w:val="1"/>
                <w:bCs w:val="1"/>
                <w:color w:val="auto"/>
              </w:rPr>
              <w:t>10,916</w:t>
            </w: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5"/>
                <w:szCs w:val="15"/>
                <w:b w:val="1"/>
                <w:bCs w:val="1"/>
                <w:color w:val="auto"/>
              </w:rPr>
              <w:t>$</w:t>
            </w:r>
          </w:p>
        </w:tc>
        <w:tc>
          <w:tcPr>
            <w:tcW w:w="920" w:type="dxa"/>
            <w:vAlign w:val="bottom"/>
            <w:vMerge w:val="restart"/>
          </w:tcPr>
          <w:p>
            <w:pPr>
              <w:jc w:val="right"/>
              <w:ind w:right="67"/>
              <w:spacing w:after="0"/>
              <w:rPr>
                <w:sz w:val="20"/>
                <w:szCs w:val="20"/>
                <w:color w:val="auto"/>
              </w:rPr>
            </w:pPr>
            <w:r>
              <w:rPr>
                <w:rFonts w:ascii="Arial" w:cs="Arial" w:eastAsia="Arial" w:hAnsi="Arial"/>
                <w:sz w:val="15"/>
                <w:szCs w:val="15"/>
                <w:b w:val="1"/>
                <w:bCs w:val="1"/>
                <w:color w:val="auto"/>
              </w:rPr>
              <w:t>27,245</w:t>
            </w: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12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6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420" w:type="dxa"/>
            <w:vAlign w:val="bottom"/>
          </w:tcPr>
          <w:p>
            <w:pPr>
              <w:jc w:val="right"/>
              <w:ind w:right="106"/>
              <w:spacing w:after="0" w:line="156"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56" w:lineRule="exact"/>
              <w:rPr>
                <w:sz w:val="20"/>
                <w:szCs w:val="20"/>
                <w:color w:val="auto"/>
              </w:rPr>
            </w:pPr>
            <w:r>
              <w:rPr>
                <w:rFonts w:ascii="Arial" w:cs="Arial" w:eastAsia="Arial" w:hAnsi="Arial"/>
                <w:sz w:val="15"/>
                <w:szCs w:val="15"/>
                <w:color w:val="auto"/>
              </w:rPr>
              <w:t>28,025</w:t>
            </w:r>
          </w:p>
        </w:tc>
        <w:tc>
          <w:tcPr>
            <w:tcW w:w="1260" w:type="dxa"/>
            <w:vAlign w:val="bottom"/>
          </w:tcPr>
          <w:p>
            <w:pPr>
              <w:jc w:val="right"/>
              <w:ind w:right="526"/>
              <w:spacing w:after="0" w:line="156" w:lineRule="exact"/>
              <w:rPr>
                <w:sz w:val="20"/>
                <w:szCs w:val="20"/>
                <w:color w:val="auto"/>
              </w:rPr>
            </w:pPr>
            <w:r>
              <w:rPr>
                <w:rFonts w:ascii="Arial" w:cs="Arial" w:eastAsia="Arial" w:hAnsi="Arial"/>
                <w:sz w:val="15"/>
                <w:szCs w:val="15"/>
                <w:color w:val="auto"/>
              </w:rPr>
              <w:t>(61)</w:t>
            </w:r>
          </w:p>
        </w:tc>
        <w:tc>
          <w:tcPr>
            <w:tcW w:w="300" w:type="dxa"/>
            <w:vAlign w:val="bottom"/>
            <w:gridSpan w:val="2"/>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400" w:type="dxa"/>
            <w:vAlign w:val="bottom"/>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56" w:lineRule="exact"/>
              <w:rPr>
                <w:sz w:val="20"/>
                <w:szCs w:val="20"/>
                <w:color w:val="auto"/>
              </w:rPr>
            </w:pPr>
            <w:r>
              <w:rPr>
                <w:rFonts w:ascii="Arial" w:cs="Arial" w:eastAsia="Arial" w:hAnsi="Arial"/>
                <w:sz w:val="15"/>
                <w:szCs w:val="15"/>
                <w:color w:val="auto"/>
              </w:rPr>
              <w:t>148,915</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74"/>
        </w:trPr>
        <w:tc>
          <w:tcPr>
            <w:tcW w:w="412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87"/>
              <w:spacing w:after="0"/>
              <w:rPr>
                <w:sz w:val="20"/>
                <w:szCs w:val="20"/>
                <w:color w:val="auto"/>
              </w:rPr>
            </w:pPr>
            <w:r>
              <w:rPr>
                <w:rFonts w:ascii="Arial" w:cs="Arial" w:eastAsia="Arial" w:hAnsi="Arial"/>
                <w:sz w:val="15"/>
                <w:szCs w:val="15"/>
                <w:b w:val="1"/>
                <w:bCs w:val="1"/>
                <w:color w:val="auto"/>
              </w:rPr>
              <w:t>(6,732)</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520</w:t>
            </w:r>
          </w:p>
        </w:tc>
        <w:tc>
          <w:tcPr>
            <w:tcW w:w="1260" w:type="dxa"/>
            <w:vAlign w:val="bottom"/>
          </w:tcPr>
          <w:p>
            <w:pPr>
              <w:jc w:val="right"/>
              <w:ind w:right="526"/>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b w:val="1"/>
                <w:bCs w:val="1"/>
                <w:color w:val="auto"/>
              </w:rPr>
              <w:t>(10,799)</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(28,498)</w:t>
            </w:r>
          </w:p>
        </w:tc>
        <w:tc>
          <w:tcPr>
            <w:tcW w:w="54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74"/>
        </w:trPr>
        <w:tc>
          <w:tcPr>
            <w:tcW w:w="412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87"/>
              <w:spacing w:after="0"/>
              <w:rPr>
                <w:sz w:val="20"/>
                <w:szCs w:val="20"/>
                <w:color w:val="auto"/>
              </w:rPr>
            </w:pPr>
            <w:r>
              <w:rPr>
                <w:rFonts w:ascii="Arial" w:cs="Arial" w:eastAsia="Arial" w:hAnsi="Arial"/>
                <w:sz w:val="15"/>
                <w:szCs w:val="15"/>
                <w:b w:val="1"/>
                <w:bCs w:val="1"/>
                <w:color w:val="auto"/>
              </w:rPr>
              <w:t>15,733</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22,771</w:t>
            </w:r>
          </w:p>
        </w:tc>
        <w:tc>
          <w:tcPr>
            <w:tcW w:w="1260" w:type="dxa"/>
            <w:vAlign w:val="bottom"/>
          </w:tcPr>
          <w:p>
            <w:pPr>
              <w:jc w:val="right"/>
              <w:ind w:right="526"/>
              <w:spacing w:after="0"/>
              <w:rPr>
                <w:sz w:val="20"/>
                <w:szCs w:val="20"/>
                <w:color w:val="auto"/>
              </w:rPr>
            </w:pPr>
            <w:r>
              <w:rPr>
                <w:rFonts w:ascii="Arial" w:cs="Arial" w:eastAsia="Arial" w:hAnsi="Arial"/>
                <w:sz w:val="15"/>
                <w:szCs w:val="15"/>
                <w:color w:val="auto"/>
              </w:rPr>
              <w:t>(31)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b w:val="1"/>
                <w:bCs w:val="1"/>
                <w:color w:val="auto"/>
              </w:rPr>
              <w:t>49,069</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41,506</w:t>
            </w:r>
          </w:p>
        </w:tc>
        <w:tc>
          <w:tcPr>
            <w:tcW w:w="5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4"/>
        </w:trPr>
        <w:tc>
          <w:tcPr>
            <w:tcW w:w="4120" w:type="dxa"/>
            <w:vAlign w:val="bottom"/>
          </w:tcPr>
          <w:p>
            <w:pPr>
              <w:ind w:left="220"/>
              <w:spacing w:after="0"/>
              <w:rPr>
                <w:sz w:val="20"/>
                <w:szCs w:val="20"/>
                <w:color w:val="auto"/>
              </w:rPr>
            </w:pPr>
            <w:r>
              <w:rPr>
                <w:rFonts w:ascii="Arial" w:cs="Arial" w:eastAsia="Arial" w:hAnsi="Arial"/>
                <w:sz w:val="15"/>
                <w:szCs w:val="15"/>
                <w:color w:val="auto"/>
              </w:rPr>
              <w:t>Kaplan corporate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87"/>
              <w:spacing w:after="0"/>
              <w:rPr>
                <w:sz w:val="20"/>
                <w:szCs w:val="20"/>
                <w:color w:val="auto"/>
              </w:rPr>
            </w:pPr>
            <w:r>
              <w:rPr>
                <w:rFonts w:ascii="Arial" w:cs="Arial" w:eastAsia="Arial" w:hAnsi="Arial"/>
                <w:sz w:val="15"/>
                <w:szCs w:val="15"/>
                <w:b w:val="1"/>
                <w:bCs w:val="1"/>
                <w:color w:val="auto"/>
              </w:rPr>
              <w:t>(14,474)</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(16,202)</w:t>
            </w:r>
          </w:p>
        </w:tc>
        <w:tc>
          <w:tcPr>
            <w:tcW w:w="1260" w:type="dxa"/>
            <w:vAlign w:val="bottom"/>
          </w:tcPr>
          <w:p>
            <w:pPr>
              <w:jc w:val="right"/>
              <w:ind w:right="526"/>
              <w:spacing w:after="0"/>
              <w:rPr>
                <w:sz w:val="20"/>
                <w:szCs w:val="20"/>
                <w:color w:val="auto"/>
              </w:rPr>
            </w:pPr>
            <w:r>
              <w:rPr>
                <w:rFonts w:ascii="Arial" w:cs="Arial" w:eastAsia="Arial" w:hAnsi="Arial"/>
                <w:sz w:val="15"/>
                <w:szCs w:val="15"/>
                <w:color w:val="auto"/>
              </w:rPr>
              <w:t>11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b w:val="1"/>
                <w:bCs w:val="1"/>
                <w:color w:val="auto"/>
              </w:rPr>
              <w:t>(42,617)</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(45,100)</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2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87"/>
              <w:spacing w:after="0"/>
              <w:rPr>
                <w:sz w:val="20"/>
                <w:szCs w:val="20"/>
                <w:color w:val="auto"/>
              </w:rPr>
            </w:pPr>
            <w:r>
              <w:rPr>
                <w:rFonts w:ascii="Arial" w:cs="Arial" w:eastAsia="Arial" w:hAnsi="Arial"/>
                <w:sz w:val="15"/>
                <w:szCs w:val="15"/>
                <w:b w:val="1"/>
                <w:bCs w:val="1"/>
                <w:color w:val="auto"/>
              </w:rPr>
              <w:t>(6,191)</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(4,394)</w:t>
            </w:r>
          </w:p>
        </w:tc>
        <w:tc>
          <w:tcPr>
            <w:tcW w:w="1260" w:type="dxa"/>
            <w:vAlign w:val="bottom"/>
          </w:tcPr>
          <w:p>
            <w:pPr>
              <w:jc w:val="right"/>
              <w:ind w:right="526"/>
              <w:spacing w:after="0"/>
              <w:rPr>
                <w:sz w:val="20"/>
                <w:szCs w:val="20"/>
                <w:color w:val="auto"/>
              </w:rPr>
            </w:pPr>
            <w:r>
              <w:rPr>
                <w:rFonts w:ascii="Arial" w:cs="Arial" w:eastAsia="Arial" w:hAnsi="Arial"/>
                <w:sz w:val="15"/>
                <w:szCs w:val="15"/>
                <w:color w:val="auto"/>
              </w:rPr>
              <w:t>(41)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b w:val="1"/>
                <w:bCs w:val="1"/>
                <w:color w:val="auto"/>
              </w:rPr>
              <w:t>(17,719)</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(19,417)</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120" w:type="dxa"/>
            <w:vAlign w:val="bottom"/>
          </w:tcPr>
          <w:p>
            <w:pPr>
              <w:ind w:left="220"/>
              <w:spacing w:after="0"/>
              <w:rPr>
                <w:sz w:val="20"/>
                <w:szCs w:val="20"/>
                <w:color w:val="auto"/>
              </w:rPr>
            </w:pPr>
            <w:r>
              <w:rPr>
                <w:rFonts w:ascii="Arial" w:cs="Arial" w:eastAsia="Arial" w:hAnsi="Arial"/>
                <w:sz w:val="15"/>
                <w:szCs w:val="15"/>
                <w:color w:val="auto"/>
              </w:rPr>
              <w:t>Impairment of goodwill and other long-lived assets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87"/>
              <w:spacing w:after="0"/>
              <w:rPr>
                <w:sz w:val="20"/>
                <w:szCs w:val="20"/>
                <w:color w:val="auto"/>
              </w:rPr>
            </w:pPr>
            <w:r>
              <w:rPr>
                <w:rFonts w:ascii="Arial" w:cs="Arial" w:eastAsia="Arial" w:hAnsi="Arial"/>
                <w:sz w:val="15"/>
                <w:szCs w:val="15"/>
                <w:b w:val="1"/>
                <w:bCs w:val="1"/>
                <w:color w:val="auto"/>
              </w:rPr>
              <w:t>(111,593)</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526"/>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b w:val="1"/>
                <w:bCs w:val="1"/>
                <w:color w:val="auto"/>
              </w:rPr>
              <w:t>(111,593)</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2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467</w:t>
            </w: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w:t>
            </w:r>
          </w:p>
        </w:tc>
        <w:tc>
          <w:tcPr>
            <w:tcW w:w="1260" w:type="dxa"/>
            <w:vAlign w:val="bottom"/>
          </w:tcPr>
          <w:p>
            <w:pPr>
              <w:jc w:val="right"/>
              <w:ind w:right="526"/>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1,046</w:t>
            </w: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120" w:type="dxa"/>
            <w:vAlign w:val="bottom"/>
          </w:tcPr>
          <w:p>
            <w:pPr>
              <w:spacing w:after="0"/>
              <w:rPr>
                <w:sz w:val="14"/>
                <w:szCs w:val="14"/>
                <w:color w:val="auto"/>
              </w:rPr>
            </w:pPr>
          </w:p>
        </w:tc>
        <w:tc>
          <w:tcPr>
            <w:tcW w:w="360" w:type="dxa"/>
            <w:vAlign w:val="bottom"/>
            <w:tcBorders>
              <w:bottom w:val="single" w:sz="8" w:color="auto"/>
            </w:tcBorders>
            <w:gridSpan w:val="2"/>
          </w:tcPr>
          <w:p>
            <w:pPr>
              <w:jc w:val="right"/>
              <w:ind w:right="120"/>
              <w:spacing w:after="0" w:line="167" w:lineRule="exact"/>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87"/>
              <w:spacing w:after="0" w:line="167" w:lineRule="exact"/>
              <w:rPr>
                <w:sz w:val="20"/>
                <w:szCs w:val="20"/>
                <w:color w:val="auto"/>
              </w:rPr>
            </w:pPr>
            <w:r>
              <w:rPr>
                <w:rFonts w:ascii="Arial" w:cs="Arial" w:eastAsia="Arial" w:hAnsi="Arial"/>
                <w:sz w:val="15"/>
                <w:szCs w:val="15"/>
                <w:b w:val="1"/>
                <w:bCs w:val="1"/>
                <w:color w:val="auto"/>
              </w:rPr>
              <w:t>(111,874)</w:t>
            </w:r>
          </w:p>
        </w:tc>
        <w:tc>
          <w:tcPr>
            <w:tcW w:w="42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30,893</w:t>
            </w:r>
          </w:p>
        </w:tc>
        <w:tc>
          <w:tcPr>
            <w:tcW w:w="1260" w:type="dxa"/>
            <w:vAlign w:val="bottom"/>
          </w:tcPr>
          <w:p>
            <w:pPr>
              <w:jc w:val="right"/>
              <w:ind w:right="526"/>
              <w:spacing w:after="0" w:line="167" w:lineRule="exact"/>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gridSpan w:val="2"/>
          </w:tcPr>
          <w:p>
            <w:pPr>
              <w:jc w:val="right"/>
              <w:ind w:right="80"/>
              <w:spacing w:after="0" w:line="167" w:lineRule="exact"/>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b w:val="1"/>
                <w:bCs w:val="1"/>
                <w:color w:val="auto"/>
              </w:rPr>
              <w:t>(105,368)</w:t>
            </w:r>
          </w:p>
        </w:tc>
        <w:tc>
          <w:tcPr>
            <w:tcW w:w="40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96,286</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 (Loss)</w:t>
            </w: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1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20"/>
                <w:szCs w:val="20"/>
                <w:color w:val="auto"/>
              </w:rPr>
            </w:pPr>
            <w:r>
              <w:rPr>
                <w:rFonts w:ascii="Arial" w:cs="Arial" w:eastAsia="Arial" w:hAnsi="Arial"/>
                <w:sz w:val="15"/>
                <w:szCs w:val="15"/>
                <w:b w:val="1"/>
                <w:bCs w:val="1"/>
                <w:color w:val="auto"/>
              </w:rPr>
              <w:t>Restructuring Costs Excluded from Divisions</w:t>
            </w: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5"/>
                <w:szCs w:val="15"/>
                <w:b w:val="1"/>
                <w:bCs w:val="1"/>
                <w:color w:val="auto"/>
              </w:rPr>
              <w:t>$</w:t>
            </w:r>
          </w:p>
        </w:tc>
        <w:tc>
          <w:tcPr>
            <w:tcW w:w="1020" w:type="dxa"/>
            <w:vAlign w:val="bottom"/>
            <w:vMerge w:val="restart"/>
          </w:tcPr>
          <w:p>
            <w:pPr>
              <w:jc w:val="right"/>
              <w:ind w:right="87"/>
              <w:spacing w:after="0"/>
              <w:rPr>
                <w:sz w:val="20"/>
                <w:szCs w:val="20"/>
                <w:color w:val="auto"/>
              </w:rPr>
            </w:pPr>
            <w:r>
              <w:rPr>
                <w:rFonts w:ascii="Arial" w:cs="Arial" w:eastAsia="Arial" w:hAnsi="Arial"/>
                <w:sz w:val="15"/>
                <w:szCs w:val="15"/>
                <w:b w:val="1"/>
                <w:bCs w:val="1"/>
                <w:color w:val="auto"/>
              </w:rPr>
              <w:t>27,860</w:t>
            </w: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5"/>
                <w:szCs w:val="15"/>
                <w:b w:val="1"/>
                <w:bCs w:val="1"/>
                <w:color w:val="auto"/>
              </w:rPr>
              <w:t>$</w:t>
            </w:r>
          </w:p>
        </w:tc>
        <w:tc>
          <w:tcPr>
            <w:tcW w:w="920" w:type="dxa"/>
            <w:vAlign w:val="bottom"/>
            <w:vMerge w:val="restart"/>
          </w:tcPr>
          <w:p>
            <w:pPr>
              <w:jc w:val="right"/>
              <w:ind w:right="67"/>
              <w:spacing w:after="0"/>
              <w:rPr>
                <w:sz w:val="20"/>
                <w:szCs w:val="20"/>
                <w:color w:val="auto"/>
              </w:rPr>
            </w:pPr>
            <w:r>
              <w:rPr>
                <w:rFonts w:ascii="Arial" w:cs="Arial" w:eastAsia="Arial" w:hAnsi="Arial"/>
                <w:sz w:val="15"/>
                <w:szCs w:val="15"/>
                <w:b w:val="1"/>
                <w:bCs w:val="1"/>
                <w:color w:val="auto"/>
              </w:rPr>
              <w:t>50,640</w:t>
            </w: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120" w:type="dxa"/>
            <w:vAlign w:val="bottom"/>
          </w:tcPr>
          <w:p>
            <w:pPr>
              <w:ind w:left="220"/>
              <w:spacing w:after="0" w:line="156" w:lineRule="exact"/>
              <w:rPr>
                <w:sz w:val="20"/>
                <w:szCs w:val="20"/>
                <w:color w:val="auto"/>
              </w:rPr>
            </w:pPr>
            <w:r>
              <w:rPr>
                <w:rFonts w:ascii="Arial" w:cs="Arial" w:eastAsia="Arial" w:hAnsi="Arial"/>
                <w:sz w:val="15"/>
                <w:szCs w:val="15"/>
                <w:color w:val="auto"/>
              </w:rPr>
              <w:t>Higher education*</w:t>
            </w:r>
          </w:p>
        </w:tc>
        <w:tc>
          <w:tcPr>
            <w:tcW w:w="36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420" w:type="dxa"/>
            <w:vAlign w:val="bottom"/>
          </w:tcPr>
          <w:p>
            <w:pPr>
              <w:jc w:val="right"/>
              <w:ind w:right="106"/>
              <w:spacing w:after="0" w:line="156" w:lineRule="exact"/>
              <w:rPr>
                <w:sz w:val="20"/>
                <w:szCs w:val="20"/>
                <w:color w:val="auto"/>
              </w:rPr>
            </w:pPr>
            <w:r>
              <w:rPr>
                <w:rFonts w:ascii="Arial" w:cs="Arial" w:eastAsia="Arial" w:hAnsi="Arial"/>
                <w:sz w:val="15"/>
                <w:szCs w:val="15"/>
                <w:color w:val="auto"/>
              </w:rPr>
              <w:t>$</w:t>
            </w:r>
          </w:p>
        </w:tc>
        <w:tc>
          <w:tcPr>
            <w:tcW w:w="860" w:type="dxa"/>
            <w:vAlign w:val="bottom"/>
          </w:tcPr>
          <w:p>
            <w:pPr>
              <w:jc w:val="right"/>
              <w:spacing w:after="0" w:line="156" w:lineRule="exact"/>
              <w:rPr>
                <w:sz w:val="20"/>
                <w:szCs w:val="20"/>
                <w:color w:val="auto"/>
              </w:rPr>
            </w:pPr>
            <w:r>
              <w:rPr>
                <w:rFonts w:ascii="Arial" w:cs="Arial" w:eastAsia="Arial" w:hAnsi="Arial"/>
                <w:sz w:val="15"/>
                <w:szCs w:val="15"/>
                <w:color w:val="auto"/>
              </w:rPr>
              <w:t>34,137</w:t>
            </w:r>
          </w:p>
        </w:tc>
        <w:tc>
          <w:tcPr>
            <w:tcW w:w="1260" w:type="dxa"/>
            <w:vAlign w:val="bottom"/>
          </w:tcPr>
          <w:p>
            <w:pPr>
              <w:jc w:val="right"/>
              <w:ind w:right="526"/>
              <w:spacing w:after="0" w:line="156" w:lineRule="exact"/>
              <w:rPr>
                <w:sz w:val="20"/>
                <w:szCs w:val="20"/>
                <w:color w:val="auto"/>
              </w:rPr>
            </w:pPr>
            <w:r>
              <w:rPr>
                <w:rFonts w:ascii="Arial" w:cs="Arial" w:eastAsia="Arial" w:hAnsi="Arial"/>
                <w:sz w:val="15"/>
                <w:szCs w:val="15"/>
                <w:color w:val="auto"/>
              </w:rPr>
              <w:t>(18)</w:t>
            </w:r>
          </w:p>
        </w:tc>
        <w:tc>
          <w:tcPr>
            <w:tcW w:w="300" w:type="dxa"/>
            <w:vAlign w:val="bottom"/>
            <w:gridSpan w:val="2"/>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400" w:type="dxa"/>
            <w:vAlign w:val="bottom"/>
          </w:tcPr>
          <w:p>
            <w:pPr>
              <w:jc w:val="right"/>
              <w:ind w:right="86"/>
              <w:spacing w:after="0" w:line="156"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56" w:lineRule="exact"/>
              <w:rPr>
                <w:sz w:val="20"/>
                <w:szCs w:val="20"/>
                <w:color w:val="auto"/>
              </w:rPr>
            </w:pPr>
            <w:r>
              <w:rPr>
                <w:rFonts w:ascii="Arial" w:cs="Arial" w:eastAsia="Arial" w:hAnsi="Arial"/>
                <w:sz w:val="15"/>
                <w:szCs w:val="15"/>
                <w:color w:val="auto"/>
              </w:rPr>
              <w:t>162,116</w:t>
            </w:r>
          </w:p>
        </w:tc>
        <w:tc>
          <w:tcPr>
            <w:tcW w:w="540" w:type="dxa"/>
            <w:vAlign w:val="bottom"/>
          </w:tcPr>
          <w:p>
            <w:pPr>
              <w:jc w:val="right"/>
              <w:spacing w:after="0" w:line="156"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74"/>
        </w:trPr>
        <w:tc>
          <w:tcPr>
            <w:tcW w:w="4120" w:type="dxa"/>
            <w:vAlign w:val="bottom"/>
          </w:tcPr>
          <w:p>
            <w:pPr>
              <w:ind w:left="220"/>
              <w:spacing w:after="0"/>
              <w:rPr>
                <w:sz w:val="20"/>
                <w:szCs w:val="20"/>
                <w:color w:val="auto"/>
              </w:rPr>
            </w:pPr>
            <w:r>
              <w:rPr>
                <w:rFonts w:ascii="Arial" w:cs="Arial" w:eastAsia="Arial" w:hAnsi="Arial"/>
                <w:sz w:val="15"/>
                <w:szCs w:val="15"/>
                <w:color w:val="auto"/>
              </w:rPr>
              <w:t>Test preparation*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87"/>
              <w:spacing w:after="0"/>
              <w:rPr>
                <w:sz w:val="20"/>
                <w:szCs w:val="20"/>
                <w:color w:val="auto"/>
              </w:rPr>
            </w:pPr>
            <w:r>
              <w:rPr>
                <w:rFonts w:ascii="Arial" w:cs="Arial" w:eastAsia="Arial" w:hAnsi="Arial"/>
                <w:sz w:val="15"/>
                <w:szCs w:val="15"/>
                <w:b w:val="1"/>
                <w:bCs w:val="1"/>
                <w:color w:val="auto"/>
              </w:rPr>
              <w:t>(6,732)</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1,009</w:t>
            </w:r>
          </w:p>
        </w:tc>
        <w:tc>
          <w:tcPr>
            <w:tcW w:w="1260" w:type="dxa"/>
            <w:vAlign w:val="bottom"/>
          </w:tcPr>
          <w:p>
            <w:pPr>
              <w:jc w:val="right"/>
              <w:ind w:right="526"/>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b w:val="1"/>
                <w:bCs w:val="1"/>
                <w:color w:val="auto"/>
              </w:rPr>
              <w:t>(10,799)</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(15,959)</w:t>
            </w:r>
          </w:p>
        </w:tc>
        <w:tc>
          <w:tcPr>
            <w:tcW w:w="54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4120" w:type="dxa"/>
            <w:vAlign w:val="bottom"/>
          </w:tcPr>
          <w:p>
            <w:pPr>
              <w:ind w:left="220"/>
              <w:spacing w:after="0"/>
              <w:rPr>
                <w:sz w:val="20"/>
                <w:szCs w:val="20"/>
                <w:color w:val="auto"/>
              </w:rPr>
            </w:pPr>
            <w:r>
              <w:rPr>
                <w:rFonts w:ascii="Arial" w:cs="Arial" w:eastAsia="Arial" w:hAnsi="Arial"/>
                <w:sz w:val="15"/>
                <w:szCs w:val="15"/>
                <w:color w:val="auto"/>
              </w:rPr>
              <w:t>Kaplan international*</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87"/>
              <w:spacing w:after="0"/>
              <w:rPr>
                <w:sz w:val="20"/>
                <w:szCs w:val="20"/>
                <w:color w:val="auto"/>
              </w:rPr>
            </w:pPr>
            <w:r>
              <w:rPr>
                <w:rFonts w:ascii="Arial" w:cs="Arial" w:eastAsia="Arial" w:hAnsi="Arial"/>
                <w:sz w:val="15"/>
                <w:szCs w:val="15"/>
                <w:b w:val="1"/>
                <w:bCs w:val="1"/>
                <w:color w:val="auto"/>
              </w:rPr>
              <w:t>30,615</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23,806</w:t>
            </w:r>
          </w:p>
        </w:tc>
        <w:tc>
          <w:tcPr>
            <w:tcW w:w="1260" w:type="dxa"/>
            <w:vAlign w:val="bottom"/>
          </w:tcPr>
          <w:p>
            <w:pPr>
              <w:jc w:val="right"/>
              <w:ind w:right="526"/>
              <w:spacing w:after="0"/>
              <w:rPr>
                <w:sz w:val="20"/>
                <w:szCs w:val="20"/>
                <w:color w:val="auto"/>
              </w:rPr>
            </w:pPr>
            <w:r>
              <w:rPr>
                <w:rFonts w:ascii="Arial" w:cs="Arial" w:eastAsia="Arial" w:hAnsi="Arial"/>
                <w:sz w:val="15"/>
                <w:szCs w:val="15"/>
                <w:color w:val="auto"/>
              </w:rPr>
              <w:t>29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b w:val="1"/>
                <w:bCs w:val="1"/>
                <w:color w:val="auto"/>
              </w:rPr>
              <w:t>65,511</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42,541</w:t>
            </w:r>
          </w:p>
        </w:tc>
        <w:tc>
          <w:tcPr>
            <w:tcW w:w="54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90"/>
        </w:trPr>
        <w:tc>
          <w:tcPr>
            <w:tcW w:w="4120" w:type="dxa"/>
            <w:vAlign w:val="bottom"/>
          </w:tcPr>
          <w:p>
            <w:pPr>
              <w:ind w:left="220"/>
              <w:spacing w:after="0"/>
              <w:rPr>
                <w:sz w:val="20"/>
                <w:szCs w:val="20"/>
                <w:color w:val="auto"/>
              </w:rPr>
            </w:pPr>
            <w:r>
              <w:rPr>
                <w:rFonts w:ascii="Arial" w:cs="Arial" w:eastAsia="Arial" w:hAnsi="Arial"/>
                <w:sz w:val="15"/>
                <w:szCs w:val="15"/>
                <w:color w:val="auto"/>
              </w:rPr>
              <w:t>Kaplan corporate*</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(12,989)</w:t>
            </w: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(14,507)</w:t>
            </w:r>
          </w:p>
        </w:tc>
        <w:tc>
          <w:tcPr>
            <w:tcW w:w="1260" w:type="dxa"/>
            <w:vAlign w:val="bottom"/>
          </w:tcPr>
          <w:p>
            <w:pPr>
              <w:jc w:val="right"/>
              <w:ind w:right="526"/>
              <w:spacing w:after="0"/>
              <w:rPr>
                <w:sz w:val="20"/>
                <w:szCs w:val="20"/>
                <w:color w:val="auto"/>
              </w:rPr>
            </w:pPr>
            <w:r>
              <w:rPr>
                <w:rFonts w:ascii="Arial" w:cs="Arial" w:eastAsia="Arial" w:hAnsi="Arial"/>
                <w:sz w:val="15"/>
                <w:szCs w:val="15"/>
                <w:color w:val="auto"/>
              </w:rPr>
              <w:t>10</w:t>
            </w: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(39,807)</w:t>
            </w: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(42,930)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87"/>
              <w:spacing w:after="0" w:line="150" w:lineRule="exact"/>
              <w:rPr>
                <w:sz w:val="20"/>
                <w:szCs w:val="20"/>
                <w:color w:val="auto"/>
              </w:rPr>
            </w:pPr>
            <w:r>
              <w:rPr>
                <w:rFonts w:ascii="Arial" w:cs="Arial" w:eastAsia="Arial" w:hAnsi="Arial"/>
                <w:sz w:val="15"/>
                <w:szCs w:val="15"/>
                <w:b w:val="1"/>
                <w:bCs w:val="1"/>
                <w:color w:val="auto"/>
              </w:rPr>
              <w:t>38,754</w:t>
            </w:r>
          </w:p>
        </w:tc>
        <w:tc>
          <w:tcPr>
            <w:tcW w:w="420" w:type="dxa"/>
            <w:vAlign w:val="bottom"/>
          </w:tcPr>
          <w:p>
            <w:pPr>
              <w:spacing w:after="0"/>
              <w:rPr>
                <w:sz w:val="13"/>
                <w:szCs w:val="13"/>
                <w:color w:val="auto"/>
              </w:rPr>
            </w:pPr>
          </w:p>
        </w:tc>
        <w:tc>
          <w:tcPr>
            <w:tcW w:w="860" w:type="dxa"/>
            <w:vAlign w:val="bottom"/>
          </w:tcPr>
          <w:p>
            <w:pPr>
              <w:jc w:val="right"/>
              <w:spacing w:after="0" w:line="150" w:lineRule="exact"/>
              <w:rPr>
                <w:sz w:val="20"/>
                <w:szCs w:val="20"/>
                <w:color w:val="auto"/>
              </w:rPr>
            </w:pPr>
            <w:r>
              <w:rPr>
                <w:rFonts w:ascii="Arial" w:cs="Arial" w:eastAsia="Arial" w:hAnsi="Arial"/>
                <w:sz w:val="15"/>
                <w:szCs w:val="15"/>
                <w:color w:val="auto"/>
              </w:rPr>
              <w:t>44,445</w:t>
            </w:r>
          </w:p>
        </w:tc>
        <w:tc>
          <w:tcPr>
            <w:tcW w:w="1260" w:type="dxa"/>
            <w:vAlign w:val="bottom"/>
          </w:tcPr>
          <w:p>
            <w:pPr>
              <w:jc w:val="right"/>
              <w:ind w:right="526"/>
              <w:spacing w:after="0" w:line="150" w:lineRule="exact"/>
              <w:rPr>
                <w:sz w:val="20"/>
                <w:szCs w:val="20"/>
                <w:color w:val="auto"/>
              </w:rPr>
            </w:pPr>
            <w:r>
              <w:rPr>
                <w:rFonts w:ascii="Arial" w:cs="Arial" w:eastAsia="Arial" w:hAnsi="Arial"/>
                <w:sz w:val="15"/>
                <w:szCs w:val="15"/>
                <w:color w:val="auto"/>
              </w:rPr>
              <w:t>(13)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ind w:right="67"/>
              <w:spacing w:after="0" w:line="150" w:lineRule="exact"/>
              <w:rPr>
                <w:sz w:val="20"/>
                <w:szCs w:val="20"/>
                <w:color w:val="auto"/>
              </w:rPr>
            </w:pPr>
            <w:r>
              <w:rPr>
                <w:rFonts w:ascii="Arial" w:cs="Arial" w:eastAsia="Arial" w:hAnsi="Arial"/>
                <w:sz w:val="15"/>
                <w:szCs w:val="15"/>
                <w:b w:val="1"/>
                <w:bCs w:val="1"/>
                <w:color w:val="auto"/>
              </w:rPr>
              <w:t>65,545</w:t>
            </w:r>
          </w:p>
        </w:tc>
        <w:tc>
          <w:tcPr>
            <w:tcW w:w="400" w:type="dxa"/>
            <w:vAlign w:val="bottom"/>
          </w:tcPr>
          <w:p>
            <w:pPr>
              <w:spacing w:after="0"/>
              <w:rPr>
                <w:sz w:val="13"/>
                <w:szCs w:val="13"/>
                <w:color w:val="auto"/>
              </w:rPr>
            </w:pPr>
          </w:p>
        </w:tc>
        <w:tc>
          <w:tcPr>
            <w:tcW w:w="740" w:type="dxa"/>
            <w:vAlign w:val="bottom"/>
          </w:tcPr>
          <w:p>
            <w:pPr>
              <w:jc w:val="right"/>
              <w:spacing w:after="0" w:line="150" w:lineRule="exact"/>
              <w:rPr>
                <w:sz w:val="20"/>
                <w:szCs w:val="20"/>
                <w:color w:val="auto"/>
              </w:rPr>
            </w:pPr>
            <w:r>
              <w:rPr>
                <w:rFonts w:ascii="Arial" w:cs="Arial" w:eastAsia="Arial" w:hAnsi="Arial"/>
                <w:sz w:val="15"/>
                <w:szCs w:val="15"/>
                <w:color w:val="auto"/>
              </w:rPr>
              <w:t>145,768</w:t>
            </w:r>
          </w:p>
        </w:tc>
        <w:tc>
          <w:tcPr>
            <w:tcW w:w="540" w:type="dxa"/>
            <w:vAlign w:val="bottom"/>
          </w:tcPr>
          <w:p>
            <w:pPr>
              <w:jc w:val="right"/>
              <w:spacing w:after="0" w:line="150" w:lineRule="exact"/>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74"/>
        </w:trPr>
        <w:tc>
          <w:tcPr>
            <w:tcW w:w="4120" w:type="dxa"/>
            <w:vAlign w:val="bottom"/>
          </w:tcPr>
          <w:p>
            <w:pPr>
              <w:ind w:left="220"/>
              <w:spacing w:after="0"/>
              <w:rPr>
                <w:sz w:val="20"/>
                <w:szCs w:val="20"/>
                <w:color w:val="auto"/>
              </w:rPr>
            </w:pPr>
            <w:r>
              <w:rPr>
                <w:rFonts w:ascii="Arial" w:cs="Arial" w:eastAsia="Arial" w:hAnsi="Arial"/>
                <w:sz w:val="15"/>
                <w:szCs w:val="15"/>
                <w:color w:val="auto"/>
              </w:rPr>
              <w:t>Restructuring costs*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87"/>
              <w:spacing w:after="0"/>
              <w:rPr>
                <w:sz w:val="20"/>
                <w:szCs w:val="20"/>
                <w:color w:val="auto"/>
              </w:rPr>
            </w:pPr>
            <w:r>
              <w:rPr>
                <w:rFonts w:ascii="Arial" w:cs="Arial" w:eastAsia="Arial" w:hAnsi="Arial"/>
                <w:sz w:val="15"/>
                <w:szCs w:val="15"/>
                <w:b w:val="1"/>
                <w:bCs w:val="1"/>
                <w:color w:val="auto"/>
              </w:rPr>
              <w:t>(35,906)</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(9,331)</w:t>
            </w:r>
          </w:p>
        </w:tc>
        <w:tc>
          <w:tcPr>
            <w:tcW w:w="1260" w:type="dxa"/>
            <w:vAlign w:val="bottom"/>
          </w:tcPr>
          <w:p>
            <w:pPr>
              <w:jc w:val="right"/>
              <w:ind w:right="526"/>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b w:val="1"/>
                <w:bCs w:val="1"/>
                <w:color w:val="auto"/>
              </w:rPr>
              <w:t>(45,242)</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(28,945)</w:t>
            </w:r>
          </w:p>
        </w:tc>
        <w:tc>
          <w:tcPr>
            <w:tcW w:w="540" w:type="dxa"/>
            <w:vAlign w:val="bottom"/>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74"/>
        </w:trPr>
        <w:tc>
          <w:tcPr>
            <w:tcW w:w="4120" w:type="dxa"/>
            <w:vAlign w:val="bottom"/>
          </w:tcPr>
          <w:p>
            <w:pPr>
              <w:ind w:left="220"/>
              <w:spacing w:after="0"/>
              <w:rPr>
                <w:sz w:val="20"/>
                <w:szCs w:val="20"/>
                <w:color w:val="auto"/>
              </w:rPr>
            </w:pPr>
            <w:r>
              <w:rPr>
                <w:rFonts w:ascii="Arial" w:cs="Arial" w:eastAsia="Arial" w:hAnsi="Arial"/>
                <w:sz w:val="15"/>
                <w:szCs w:val="15"/>
                <w:color w:val="auto"/>
              </w:rPr>
              <w:t>Amortization of intangible assets*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87"/>
              <w:spacing w:after="0"/>
              <w:rPr>
                <w:sz w:val="20"/>
                <w:szCs w:val="20"/>
                <w:color w:val="auto"/>
              </w:rPr>
            </w:pPr>
            <w:r>
              <w:rPr>
                <w:rFonts w:ascii="Arial" w:cs="Arial" w:eastAsia="Arial" w:hAnsi="Arial"/>
                <w:sz w:val="15"/>
                <w:szCs w:val="15"/>
                <w:b w:val="1"/>
                <w:bCs w:val="1"/>
                <w:color w:val="auto"/>
              </w:rPr>
              <w:t>(3,596)</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(4,394)</w:t>
            </w:r>
          </w:p>
        </w:tc>
        <w:tc>
          <w:tcPr>
            <w:tcW w:w="1260" w:type="dxa"/>
            <w:vAlign w:val="bottom"/>
          </w:tcPr>
          <w:p>
            <w:pPr>
              <w:jc w:val="right"/>
              <w:ind w:right="526"/>
              <w:spacing w:after="0"/>
              <w:rPr>
                <w:sz w:val="20"/>
                <w:szCs w:val="20"/>
                <w:color w:val="auto"/>
              </w:rPr>
            </w:pPr>
            <w:r>
              <w:rPr>
                <w:rFonts w:ascii="Arial" w:cs="Arial" w:eastAsia="Arial" w:hAnsi="Arial"/>
                <w:sz w:val="15"/>
                <w:szCs w:val="15"/>
                <w:color w:val="auto"/>
              </w:rPr>
              <w:t>18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b w:val="1"/>
                <w:bCs w:val="1"/>
                <w:color w:val="auto"/>
              </w:rPr>
              <w:t>(15,124)</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(19,417)</w:t>
            </w:r>
          </w:p>
        </w:tc>
        <w:tc>
          <w:tcPr>
            <w:tcW w:w="540" w:type="dxa"/>
            <w:vAlign w:val="bottom"/>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4"/>
        </w:trPr>
        <w:tc>
          <w:tcPr>
            <w:tcW w:w="4120" w:type="dxa"/>
            <w:vAlign w:val="bottom"/>
          </w:tcPr>
          <w:p>
            <w:pPr>
              <w:ind w:left="220"/>
              <w:spacing w:after="0"/>
              <w:rPr>
                <w:sz w:val="20"/>
                <w:szCs w:val="20"/>
                <w:color w:val="auto"/>
              </w:rPr>
            </w:pPr>
            <w:r>
              <w:rPr>
                <w:rFonts w:ascii="Arial" w:cs="Arial" w:eastAsia="Arial" w:hAnsi="Arial"/>
                <w:sz w:val="15"/>
                <w:szCs w:val="15"/>
                <w:color w:val="auto"/>
              </w:rPr>
              <w:t>Impairment of goodwill and other long-lived assets</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87"/>
              <w:spacing w:after="0"/>
              <w:rPr>
                <w:sz w:val="20"/>
                <w:szCs w:val="20"/>
                <w:color w:val="auto"/>
              </w:rPr>
            </w:pPr>
            <w:r>
              <w:rPr>
                <w:rFonts w:ascii="Arial" w:cs="Arial" w:eastAsia="Arial" w:hAnsi="Arial"/>
                <w:sz w:val="15"/>
                <w:szCs w:val="15"/>
                <w:b w:val="1"/>
                <w:bCs w:val="1"/>
                <w:color w:val="auto"/>
              </w:rPr>
              <w:t>(111,593)</w:t>
            </w:r>
          </w:p>
        </w:tc>
        <w:tc>
          <w:tcPr>
            <w:tcW w:w="4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526"/>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67"/>
              <w:spacing w:after="0"/>
              <w:rPr>
                <w:sz w:val="20"/>
                <w:szCs w:val="20"/>
                <w:color w:val="auto"/>
              </w:rPr>
            </w:pPr>
            <w:r>
              <w:rPr>
                <w:rFonts w:ascii="Arial" w:cs="Arial" w:eastAsia="Arial" w:hAnsi="Arial"/>
                <w:sz w:val="15"/>
                <w:szCs w:val="15"/>
                <w:b w:val="1"/>
                <w:bCs w:val="1"/>
                <w:color w:val="auto"/>
              </w:rPr>
              <w:t>(111,593)</w:t>
            </w: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20" w:type="dxa"/>
            <w:vAlign w:val="bottom"/>
          </w:tcPr>
          <w:p>
            <w:pPr>
              <w:ind w:left="220"/>
              <w:spacing w:after="0"/>
              <w:rPr>
                <w:sz w:val="20"/>
                <w:szCs w:val="20"/>
                <w:color w:val="auto"/>
              </w:rPr>
            </w:pPr>
            <w:r>
              <w:rPr>
                <w:rFonts w:ascii="Arial" w:cs="Arial" w:eastAsia="Arial" w:hAnsi="Arial"/>
                <w:sz w:val="15"/>
                <w:szCs w:val="15"/>
                <w:color w:val="auto"/>
              </w:rPr>
              <w:t>Intersegment elimination</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rPr>
              <w:t>467</w:t>
            </w:r>
          </w:p>
        </w:tc>
        <w:tc>
          <w:tcPr>
            <w:tcW w:w="4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w:t>
            </w:r>
          </w:p>
        </w:tc>
        <w:tc>
          <w:tcPr>
            <w:tcW w:w="1260" w:type="dxa"/>
            <w:vAlign w:val="bottom"/>
          </w:tcPr>
          <w:p>
            <w:pPr>
              <w:jc w:val="right"/>
              <w:ind w:right="526"/>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1,046</w:t>
            </w: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120" w:type="dxa"/>
            <w:vAlign w:val="bottom"/>
          </w:tcPr>
          <w:p>
            <w:pPr>
              <w:spacing w:after="0"/>
              <w:rPr>
                <w:sz w:val="14"/>
                <w:szCs w:val="14"/>
                <w:color w:val="auto"/>
              </w:rPr>
            </w:pPr>
          </w:p>
        </w:tc>
        <w:tc>
          <w:tcPr>
            <w:tcW w:w="360" w:type="dxa"/>
            <w:vAlign w:val="bottom"/>
            <w:tcBorders>
              <w:bottom w:val="single" w:sz="8" w:color="auto"/>
            </w:tcBorders>
            <w:gridSpan w:val="2"/>
          </w:tcPr>
          <w:p>
            <w:pPr>
              <w:jc w:val="right"/>
              <w:ind w:right="120"/>
              <w:spacing w:after="0" w:line="167" w:lineRule="exact"/>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87"/>
              <w:spacing w:after="0" w:line="167" w:lineRule="exact"/>
              <w:rPr>
                <w:sz w:val="20"/>
                <w:szCs w:val="20"/>
                <w:color w:val="auto"/>
              </w:rPr>
            </w:pPr>
            <w:r>
              <w:rPr>
                <w:rFonts w:ascii="Arial" w:cs="Arial" w:eastAsia="Arial" w:hAnsi="Arial"/>
                <w:sz w:val="15"/>
                <w:szCs w:val="15"/>
                <w:b w:val="1"/>
                <w:bCs w:val="1"/>
                <w:color w:val="auto"/>
              </w:rPr>
              <w:t>(111,874)</w:t>
            </w:r>
          </w:p>
        </w:tc>
        <w:tc>
          <w:tcPr>
            <w:tcW w:w="42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30,893</w:t>
            </w:r>
          </w:p>
        </w:tc>
        <w:tc>
          <w:tcPr>
            <w:tcW w:w="1260" w:type="dxa"/>
            <w:vAlign w:val="bottom"/>
          </w:tcPr>
          <w:p>
            <w:pPr>
              <w:jc w:val="right"/>
              <w:ind w:right="526"/>
              <w:spacing w:after="0" w:line="167" w:lineRule="exact"/>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gridSpan w:val="2"/>
          </w:tcPr>
          <w:p>
            <w:pPr>
              <w:jc w:val="right"/>
              <w:ind w:right="80"/>
              <w:spacing w:after="0" w:line="167" w:lineRule="exact"/>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b w:val="1"/>
                <w:bCs w:val="1"/>
                <w:color w:val="auto"/>
              </w:rPr>
              <w:t>(105,368)</w:t>
            </w:r>
          </w:p>
        </w:tc>
        <w:tc>
          <w:tcPr>
            <w:tcW w:w="40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96,286</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118110</wp:posOffset>
            </wp:positionV>
            <wp:extent cx="239585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95855" cy="7620"/>
                    </a:xfrm>
                    <a:prstGeom prst="rect">
                      <a:avLst/>
                    </a:prstGeom>
                    <a:noFill/>
                  </pic:spPr>
                </pic:pic>
              </a:graphicData>
            </a:graphic>
          </wp:anchor>
        </w:drawing>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3"/>
          <w:szCs w:val="13"/>
          <w:color w:val="auto"/>
        </w:rPr>
        <w:t>*Non-GAAP Measure</w:t>
      </w:r>
    </w:p>
    <w:p>
      <w:pPr>
        <w:spacing w:after="0" w:line="180"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Kaplan sold Kidum in August 2012, EduNeering in April 2012 and Kaplan Learning Technologies in February 2012. Consequently, the education divisi operating results exclude these businesses.</w:t>
      </w:r>
    </w:p>
    <w:p>
      <w:pPr>
        <w:spacing w:after="0" w:line="176" w:lineRule="exact"/>
        <w:rPr>
          <w:sz w:val="20"/>
          <w:szCs w:val="20"/>
          <w:color w:val="auto"/>
        </w:rPr>
      </w:pPr>
    </w:p>
    <w:p>
      <w:pPr>
        <w:jc w:val="both"/>
        <w:ind w:right="40"/>
        <w:spacing w:after="0" w:line="235" w:lineRule="auto"/>
        <w:rPr>
          <w:sz w:val="20"/>
          <w:szCs w:val="20"/>
          <w:color w:val="auto"/>
        </w:rPr>
      </w:pPr>
      <w:r>
        <w:rPr>
          <w:rFonts w:ascii="Arial" w:cs="Arial" w:eastAsia="Arial" w:hAnsi="Arial"/>
          <w:sz w:val="17"/>
          <w:szCs w:val="17"/>
          <w:color w:val="auto"/>
        </w:rPr>
        <w:t>KHE includes Kaplan’s domestic postsecondary education businesses, made up of fixed-facility colleges and online postsecondary and career progra KHE also includes the domestic professional training and other continuing education businesses.</w:t>
      </w:r>
    </w:p>
    <w:p>
      <w:pPr>
        <w:spacing w:after="0" w:line="176"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In September 2012, KHE announced a plan to consolidate its market presence at certain of its fixed-facility campuses. Under this plan, KHE has ceas new enrollments at nine ground campuses as it considers alternatives for these locations, and is in the process of consolidating operations of four oth campuses into existing, nearby locations. Revenues at these campuses represent approximately 4% of KHE’s total revenues. In the fourth quarter of 2 KHE also began implementing plans to consolidate facilities and reduce workforce at its online programs. In connection with these and other plans, K incurred $23.4 million in restructuring costs from accelerated depreciation, and severance and lease obligations in 2012 ($16.9 million was recorded in fourth quarter).</w:t>
      </w:r>
    </w:p>
    <w:p>
      <w:pPr>
        <w:spacing w:after="0" w:line="179"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In 2012 and the fourth quarter of 2012, KHE revenue declined 18% and 15%, respectively, due largely to declines in average enrollments that reflect w market demand over the past year. Operating income decreased 82% and 61% for 2012 and the fourth quarter of 2012, respectively. These declines due primarily to lower revenue, a decline in operating results from campuses planned for closure, and significant restructuring costs noted above that exceed similar charges in 2011. Offsetting the declines were expense reductions associated with lower enrollments and recent restructuring efforts.</w:t>
      </w:r>
    </w:p>
    <w:p>
      <w:pPr>
        <w:spacing w:after="0" w:line="3"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77"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871" w:right="139" w:bottom="1440" w:gutter="0" w:footer="0" w:header="0"/>
        </w:sectPr>
      </w:pPr>
    </w:p>
    <w:bookmarkStart w:id="8" w:name="page9"/>
    <w:bookmarkEnd w:id="8"/>
    <w:p>
      <w:pPr>
        <w:spacing w:after="0" w:line="235" w:lineRule="auto"/>
        <w:rPr>
          <w:sz w:val="20"/>
          <w:szCs w:val="20"/>
          <w:color w:val="auto"/>
        </w:rPr>
      </w:pPr>
      <w:r>
        <w:rPr>
          <w:rFonts w:ascii="Arial" w:cs="Arial" w:eastAsia="Arial" w:hAnsi="Arial"/>
          <w:sz w:val="17"/>
          <w:szCs w:val="17"/>
          <w:color w:val="auto"/>
        </w:rPr>
        <w:t>New student enrollments at Kaplan University and KHE Campuses decreased 1% in 2012. Total students at December 31, 2012 were down 12% com to December 31, 2011, and down 11% compared to September 30, 2012, as follows: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200" w:type="dxa"/>
            <w:vAlign w:val="bottom"/>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132"/>
              <w:spacing w:after="0"/>
              <w:rPr>
                <w:sz w:val="20"/>
                <w:szCs w:val="20"/>
                <w:color w:val="auto"/>
              </w:rPr>
            </w:pPr>
            <w:r>
              <w:rPr>
                <w:rFonts w:ascii="Arial" w:cs="Arial" w:eastAsia="Arial" w:hAnsi="Arial"/>
                <w:sz w:val="12"/>
                <w:szCs w:val="12"/>
                <w:b w:val="1"/>
                <w:bCs w:val="1"/>
                <w:color w:val="auto"/>
              </w:rPr>
              <w:t>Students as of</w:t>
            </w:r>
          </w:p>
        </w:tc>
        <w:tc>
          <w:tcPr>
            <w:tcW w:w="780" w:type="dxa"/>
            <w:vAlign w:val="bottom"/>
            <w:tcBorders>
              <w:bottom w:val="single" w:sz="8" w:color="auto"/>
            </w:tcBorders>
          </w:tcPr>
          <w:p>
            <w:pPr>
              <w:spacing w:after="0"/>
              <w:rPr>
                <w:sz w:val="13"/>
                <w:szCs w:val="13"/>
                <w:color w:val="auto"/>
              </w:rPr>
            </w:pPr>
          </w:p>
        </w:tc>
      </w:tr>
      <w:tr>
        <w:trPr>
          <w:trHeight w:val="114"/>
        </w:trPr>
        <w:tc>
          <w:tcPr>
            <w:tcW w:w="7200" w:type="dxa"/>
            <w:vAlign w:val="bottom"/>
          </w:tcPr>
          <w:p>
            <w:pPr>
              <w:spacing w:after="0"/>
              <w:rPr>
                <w:sz w:val="9"/>
                <w:szCs w:val="9"/>
                <w:color w:val="auto"/>
              </w:rPr>
            </w:pPr>
          </w:p>
        </w:tc>
        <w:tc>
          <w:tcPr>
            <w:tcW w:w="1460" w:type="dxa"/>
            <w:vAlign w:val="bottom"/>
          </w:tcPr>
          <w:p>
            <w:pPr>
              <w:jc w:val="right"/>
              <w:ind w:right="351"/>
              <w:spacing w:after="0" w:line="114" w:lineRule="exact"/>
              <w:rPr>
                <w:sz w:val="20"/>
                <w:szCs w:val="20"/>
                <w:color w:val="auto"/>
              </w:rPr>
            </w:pPr>
            <w:r>
              <w:rPr>
                <w:rFonts w:ascii="Arial" w:cs="Arial" w:eastAsia="Arial" w:hAnsi="Arial"/>
                <w:sz w:val="12"/>
                <w:szCs w:val="12"/>
                <w:b w:val="1"/>
                <w:bCs w:val="1"/>
                <w:color w:val="auto"/>
              </w:rPr>
              <w:t>December 31,</w:t>
            </w:r>
          </w:p>
        </w:tc>
        <w:tc>
          <w:tcPr>
            <w:tcW w:w="1500" w:type="dxa"/>
            <w:vAlign w:val="bottom"/>
          </w:tcPr>
          <w:p>
            <w:pPr>
              <w:jc w:val="center"/>
              <w:ind w:right="132"/>
              <w:spacing w:after="0" w:line="114" w:lineRule="exact"/>
              <w:rPr>
                <w:sz w:val="20"/>
                <w:szCs w:val="20"/>
                <w:color w:val="auto"/>
              </w:rPr>
            </w:pPr>
            <w:r>
              <w:rPr>
                <w:rFonts w:ascii="Arial" w:cs="Arial" w:eastAsia="Arial" w:hAnsi="Arial"/>
                <w:sz w:val="12"/>
                <w:szCs w:val="12"/>
                <w:color w:val="auto"/>
              </w:rPr>
              <w:t>September 30,</w:t>
            </w:r>
          </w:p>
        </w:tc>
        <w:tc>
          <w:tcPr>
            <w:tcW w:w="780" w:type="dxa"/>
            <w:vAlign w:val="bottom"/>
          </w:tcPr>
          <w:p>
            <w:pPr>
              <w:jc w:val="right"/>
              <w:spacing w:after="0" w:line="114" w:lineRule="exact"/>
              <w:rPr>
                <w:sz w:val="20"/>
                <w:szCs w:val="20"/>
                <w:color w:val="auto"/>
              </w:rPr>
            </w:pPr>
            <w:r>
              <w:rPr>
                <w:rFonts w:ascii="Arial" w:cs="Arial" w:eastAsia="Arial" w:hAnsi="Arial"/>
                <w:sz w:val="12"/>
                <w:szCs w:val="12"/>
                <w:color w:val="auto"/>
              </w:rPr>
              <w:t>Decembe</w:t>
            </w:r>
          </w:p>
        </w:tc>
      </w:tr>
      <w:tr>
        <w:trPr>
          <w:trHeight w:val="151"/>
        </w:trPr>
        <w:tc>
          <w:tcPr>
            <w:tcW w:w="7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31"/>
              <w:spacing w:after="0"/>
              <w:rPr>
                <w:sz w:val="20"/>
                <w:szCs w:val="20"/>
                <w:color w:val="auto"/>
              </w:rPr>
            </w:pPr>
            <w:r>
              <w:rPr>
                <w:rFonts w:ascii="Arial" w:cs="Arial" w:eastAsia="Arial" w:hAnsi="Arial"/>
                <w:sz w:val="12"/>
                <w:szCs w:val="12"/>
                <w:b w:val="1"/>
                <w:bCs w:val="1"/>
                <w:color w:val="auto"/>
              </w:rPr>
              <w:t>2012</w:t>
            </w:r>
          </w:p>
        </w:tc>
        <w:tc>
          <w:tcPr>
            <w:tcW w:w="1500" w:type="dxa"/>
            <w:vAlign w:val="bottom"/>
            <w:tcBorders>
              <w:bottom w:val="single" w:sz="8" w:color="auto"/>
            </w:tcBorders>
          </w:tcPr>
          <w:p>
            <w:pPr>
              <w:jc w:val="center"/>
              <w:ind w:right="152"/>
              <w:spacing w:after="0"/>
              <w:rPr>
                <w:sz w:val="20"/>
                <w:szCs w:val="20"/>
                <w:color w:val="auto"/>
              </w:rPr>
            </w:pPr>
            <w:r>
              <w:rPr>
                <w:rFonts w:ascii="Arial" w:cs="Arial" w:eastAsia="Arial" w:hAnsi="Arial"/>
                <w:sz w:val="12"/>
                <w:szCs w:val="12"/>
                <w:color w:val="auto"/>
              </w:rPr>
              <w:t>2012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2011</w:t>
            </w:r>
          </w:p>
        </w:tc>
      </w:tr>
      <w:tr>
        <w:trPr>
          <w:trHeight w:val="150"/>
        </w:trPr>
        <w:tc>
          <w:tcPr>
            <w:tcW w:w="7200" w:type="dxa"/>
            <w:vAlign w:val="bottom"/>
          </w:tcPr>
          <w:p>
            <w:pPr>
              <w:spacing w:after="0" w:line="150" w:lineRule="exact"/>
              <w:rPr>
                <w:sz w:val="20"/>
                <w:szCs w:val="20"/>
                <w:color w:val="auto"/>
              </w:rPr>
            </w:pPr>
            <w:r>
              <w:rPr>
                <w:rFonts w:ascii="Arial" w:cs="Arial" w:eastAsia="Arial" w:hAnsi="Arial"/>
                <w:sz w:val="15"/>
                <w:szCs w:val="15"/>
                <w:color w:val="auto"/>
              </w:rPr>
              <w:t>Kaplan University</w:t>
            </w:r>
          </w:p>
        </w:tc>
        <w:tc>
          <w:tcPr>
            <w:tcW w:w="1460" w:type="dxa"/>
            <w:vAlign w:val="bottom"/>
          </w:tcPr>
          <w:p>
            <w:pPr>
              <w:jc w:val="right"/>
              <w:ind w:right="171"/>
              <w:spacing w:after="0" w:line="150" w:lineRule="exact"/>
              <w:rPr>
                <w:sz w:val="20"/>
                <w:szCs w:val="20"/>
                <w:color w:val="auto"/>
              </w:rPr>
            </w:pPr>
            <w:r>
              <w:rPr>
                <w:rFonts w:ascii="Arial" w:cs="Arial" w:eastAsia="Arial" w:hAnsi="Arial"/>
                <w:sz w:val="15"/>
                <w:szCs w:val="15"/>
                <w:b w:val="1"/>
                <w:bCs w:val="1"/>
                <w:color w:val="auto"/>
              </w:rPr>
              <w:t>44,371</w:t>
            </w:r>
          </w:p>
        </w:tc>
        <w:tc>
          <w:tcPr>
            <w:tcW w:w="1500" w:type="dxa"/>
            <w:vAlign w:val="bottom"/>
          </w:tcPr>
          <w:p>
            <w:pPr>
              <w:jc w:val="right"/>
              <w:ind w:right="192"/>
              <w:spacing w:after="0" w:line="150" w:lineRule="exact"/>
              <w:rPr>
                <w:sz w:val="20"/>
                <w:szCs w:val="20"/>
                <w:color w:val="auto"/>
              </w:rPr>
            </w:pPr>
            <w:r>
              <w:rPr>
                <w:rFonts w:ascii="Arial" w:cs="Arial" w:eastAsia="Arial" w:hAnsi="Arial"/>
                <w:sz w:val="15"/>
                <w:szCs w:val="15"/>
                <w:color w:val="auto"/>
              </w:rPr>
              <w:t>49,132</w:t>
            </w:r>
          </w:p>
        </w:tc>
        <w:tc>
          <w:tcPr>
            <w:tcW w:w="780" w:type="dxa"/>
            <w:vAlign w:val="bottom"/>
          </w:tcPr>
          <w:p>
            <w:pPr>
              <w:spacing w:after="0"/>
              <w:rPr>
                <w:sz w:val="13"/>
                <w:szCs w:val="13"/>
                <w:color w:val="auto"/>
              </w:rPr>
            </w:pPr>
          </w:p>
        </w:tc>
      </w:tr>
      <w:tr>
        <w:trPr>
          <w:trHeight w:val="190"/>
        </w:trPr>
        <w:tc>
          <w:tcPr>
            <w:tcW w:w="7200" w:type="dxa"/>
            <w:vAlign w:val="bottom"/>
          </w:tcPr>
          <w:p>
            <w:pPr>
              <w:spacing w:after="0"/>
              <w:rPr>
                <w:sz w:val="20"/>
                <w:szCs w:val="20"/>
                <w:color w:val="auto"/>
              </w:rPr>
            </w:pPr>
            <w:r>
              <w:rPr>
                <w:rFonts w:ascii="Arial" w:cs="Arial" w:eastAsia="Arial" w:hAnsi="Arial"/>
                <w:sz w:val="15"/>
                <w:szCs w:val="15"/>
                <w:color w:val="auto"/>
              </w:rPr>
              <w:t>KHE Campuses</w:t>
            </w:r>
          </w:p>
        </w:tc>
        <w:tc>
          <w:tcPr>
            <w:tcW w:w="1460" w:type="dxa"/>
            <w:vAlign w:val="bottom"/>
            <w:tcBorders>
              <w:bottom w:val="single" w:sz="8" w:color="auto"/>
            </w:tcBorders>
          </w:tcPr>
          <w:p>
            <w:pPr>
              <w:jc w:val="right"/>
              <w:ind w:right="171"/>
              <w:spacing w:after="0"/>
              <w:rPr>
                <w:sz w:val="20"/>
                <w:szCs w:val="20"/>
                <w:color w:val="auto"/>
              </w:rPr>
            </w:pPr>
            <w:r>
              <w:rPr>
                <w:rFonts w:ascii="Arial" w:cs="Arial" w:eastAsia="Arial" w:hAnsi="Arial"/>
                <w:sz w:val="15"/>
                <w:szCs w:val="15"/>
                <w:b w:val="1"/>
                <w:bCs w:val="1"/>
                <w:color w:val="auto"/>
              </w:rPr>
              <w:t>21,099</w:t>
            </w:r>
          </w:p>
        </w:tc>
        <w:tc>
          <w:tcPr>
            <w:tcW w:w="1500" w:type="dxa"/>
            <w:vAlign w:val="bottom"/>
            <w:tcBorders>
              <w:bottom w:val="single" w:sz="8" w:color="auto"/>
            </w:tcBorders>
          </w:tcPr>
          <w:p>
            <w:pPr>
              <w:jc w:val="right"/>
              <w:ind w:right="192"/>
              <w:spacing w:after="0"/>
              <w:rPr>
                <w:sz w:val="20"/>
                <w:szCs w:val="20"/>
                <w:color w:val="auto"/>
              </w:rPr>
            </w:pPr>
            <w:r>
              <w:rPr>
                <w:rFonts w:ascii="Arial" w:cs="Arial" w:eastAsia="Arial" w:hAnsi="Arial"/>
                <w:sz w:val="15"/>
                <w:szCs w:val="15"/>
                <w:color w:val="auto"/>
              </w:rPr>
              <w:t>24,129</w:t>
            </w:r>
          </w:p>
        </w:tc>
        <w:tc>
          <w:tcPr>
            <w:tcW w:w="780" w:type="dxa"/>
            <w:vAlign w:val="bottom"/>
            <w:tcBorders>
              <w:bottom w:val="single" w:sz="8" w:color="auto"/>
            </w:tcBorders>
          </w:tcPr>
          <w:p>
            <w:pPr>
              <w:spacing w:after="0"/>
              <w:rPr>
                <w:sz w:val="16"/>
                <w:szCs w:val="16"/>
                <w:color w:val="auto"/>
              </w:rPr>
            </w:pPr>
          </w:p>
        </w:tc>
      </w:tr>
      <w:tr>
        <w:trPr>
          <w:trHeight w:val="166"/>
        </w:trPr>
        <w:tc>
          <w:tcPr>
            <w:tcW w:w="7200" w:type="dxa"/>
            <w:vAlign w:val="bottom"/>
          </w:tcPr>
          <w:p>
            <w:pPr>
              <w:spacing w:after="0"/>
              <w:rPr>
                <w:sz w:val="14"/>
                <w:szCs w:val="14"/>
                <w:color w:val="auto"/>
              </w:rPr>
            </w:pPr>
          </w:p>
        </w:tc>
        <w:tc>
          <w:tcPr>
            <w:tcW w:w="1460" w:type="dxa"/>
            <w:vAlign w:val="bottom"/>
            <w:tcBorders>
              <w:bottom w:val="single" w:sz="8" w:color="auto"/>
            </w:tcBorders>
          </w:tcPr>
          <w:p>
            <w:pPr>
              <w:jc w:val="right"/>
              <w:ind w:right="171"/>
              <w:spacing w:after="0" w:line="167" w:lineRule="exact"/>
              <w:rPr>
                <w:sz w:val="20"/>
                <w:szCs w:val="20"/>
                <w:color w:val="auto"/>
              </w:rPr>
            </w:pPr>
            <w:r>
              <w:rPr>
                <w:rFonts w:ascii="Arial" w:cs="Arial" w:eastAsia="Arial" w:hAnsi="Arial"/>
                <w:sz w:val="15"/>
                <w:szCs w:val="15"/>
                <w:b w:val="1"/>
                <w:bCs w:val="1"/>
                <w:color w:val="auto"/>
              </w:rPr>
              <w:t>65,470</w:t>
            </w:r>
          </w:p>
        </w:tc>
        <w:tc>
          <w:tcPr>
            <w:tcW w:w="1500" w:type="dxa"/>
            <w:vAlign w:val="bottom"/>
            <w:tcBorders>
              <w:bottom w:val="single" w:sz="8" w:color="auto"/>
            </w:tcBorders>
          </w:tcPr>
          <w:p>
            <w:pPr>
              <w:jc w:val="right"/>
              <w:ind w:right="192"/>
              <w:spacing w:after="0" w:line="167" w:lineRule="exact"/>
              <w:rPr>
                <w:sz w:val="20"/>
                <w:szCs w:val="20"/>
                <w:color w:val="auto"/>
              </w:rPr>
            </w:pPr>
            <w:r>
              <w:rPr>
                <w:rFonts w:ascii="Arial" w:cs="Arial" w:eastAsia="Arial" w:hAnsi="Arial"/>
                <w:sz w:val="15"/>
                <w:szCs w:val="15"/>
                <w:color w:val="auto"/>
              </w:rPr>
              <w:t>73,261</w:t>
            </w:r>
          </w:p>
        </w:tc>
        <w:tc>
          <w:tcPr>
            <w:tcW w:w="780" w:type="dxa"/>
            <w:vAlign w:val="bottom"/>
            <w:tcBorders>
              <w:bottom w:val="single" w:sz="8" w:color="auto"/>
            </w:tcBorders>
          </w:tcPr>
          <w:p>
            <w:pPr>
              <w:spacing w:after="0"/>
              <w:rPr>
                <w:sz w:val="14"/>
                <w:szCs w:val="14"/>
                <w:color w:val="auto"/>
              </w:rPr>
            </w:pPr>
          </w:p>
        </w:tc>
      </w:tr>
      <w:tr>
        <w:trPr>
          <w:trHeight w:val="20"/>
        </w:trPr>
        <w:tc>
          <w:tcPr>
            <w:tcW w:w="7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Kaplan University students included 5,625, 6,822 and 5,799 campus-based students as of December 31, 2012, September 30, 2012, and December 3 2011,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Kaplan University and KHE Campuses enrollments at December 31, 2012 and 2011, by degree and certificate programs,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60" w:type="dxa"/>
            <w:vAlign w:val="bottom"/>
          </w:tcPr>
          <w:p>
            <w:pPr>
              <w:spacing w:after="0"/>
              <w:rPr>
                <w:sz w:val="13"/>
                <w:szCs w:val="13"/>
                <w:color w:val="auto"/>
              </w:rPr>
            </w:pPr>
          </w:p>
        </w:tc>
        <w:tc>
          <w:tcPr>
            <w:tcW w:w="2100" w:type="dxa"/>
            <w:vAlign w:val="bottom"/>
            <w:tcBorders>
              <w:bottom w:val="single" w:sz="8" w:color="auto"/>
            </w:tcBorders>
          </w:tcPr>
          <w:p>
            <w:pPr>
              <w:jc w:val="right"/>
              <w:ind w:right="89"/>
              <w:spacing w:after="0"/>
              <w:rPr>
                <w:sz w:val="20"/>
                <w:szCs w:val="20"/>
                <w:color w:val="auto"/>
              </w:rPr>
            </w:pPr>
            <w:r>
              <w:rPr>
                <w:rFonts w:ascii="Arial" w:cs="Arial" w:eastAsia="Arial" w:hAnsi="Arial"/>
                <w:sz w:val="12"/>
                <w:szCs w:val="12"/>
                <w:b w:val="1"/>
                <w:bCs w:val="1"/>
                <w:color w:val="auto"/>
              </w:rPr>
              <w:t>As of December 31,</w:t>
            </w:r>
          </w:p>
        </w:tc>
        <w:tc>
          <w:tcPr>
            <w:tcW w:w="380" w:type="dxa"/>
            <w:vAlign w:val="bottom"/>
            <w:tcBorders>
              <w:bottom w:val="single" w:sz="8" w:color="auto"/>
            </w:tcBorders>
          </w:tcPr>
          <w:p>
            <w:pPr>
              <w:spacing w:after="0"/>
              <w:rPr>
                <w:sz w:val="13"/>
                <w:szCs w:val="13"/>
                <w:color w:val="auto"/>
              </w:rPr>
            </w:pPr>
          </w:p>
        </w:tc>
      </w:tr>
      <w:tr>
        <w:trPr>
          <w:trHeight w:val="129"/>
        </w:trPr>
        <w:tc>
          <w:tcPr>
            <w:tcW w:w="846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jc w:val="right"/>
              <w:ind w:right="1269"/>
              <w:spacing w:after="0" w:line="129" w:lineRule="exact"/>
              <w:rPr>
                <w:sz w:val="20"/>
                <w:szCs w:val="20"/>
                <w:color w:val="auto"/>
              </w:rPr>
            </w:pPr>
            <w:r>
              <w:rPr>
                <w:rFonts w:ascii="Arial" w:cs="Arial" w:eastAsia="Arial" w:hAnsi="Arial"/>
                <w:sz w:val="12"/>
                <w:szCs w:val="12"/>
                <w:b w:val="1"/>
                <w:bCs w:val="1"/>
                <w:color w:val="auto"/>
              </w:rPr>
              <w:t>2012</w:t>
            </w:r>
          </w:p>
        </w:tc>
        <w:tc>
          <w:tcPr>
            <w:tcW w:w="3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201</w:t>
            </w:r>
          </w:p>
        </w:tc>
      </w:tr>
      <w:tr>
        <w:trPr>
          <w:trHeight w:val="150"/>
        </w:trPr>
        <w:tc>
          <w:tcPr>
            <w:tcW w:w="8460" w:type="dxa"/>
            <w:vAlign w:val="bottom"/>
          </w:tcPr>
          <w:p>
            <w:pPr>
              <w:spacing w:after="0" w:line="150" w:lineRule="exact"/>
              <w:rPr>
                <w:sz w:val="20"/>
                <w:szCs w:val="20"/>
                <w:color w:val="auto"/>
              </w:rPr>
            </w:pPr>
            <w:r>
              <w:rPr>
                <w:rFonts w:ascii="Arial" w:cs="Arial" w:eastAsia="Arial" w:hAnsi="Arial"/>
                <w:sz w:val="15"/>
                <w:szCs w:val="15"/>
                <w:color w:val="auto"/>
              </w:rPr>
              <w:t>Certificate</w:t>
            </w:r>
          </w:p>
        </w:tc>
        <w:tc>
          <w:tcPr>
            <w:tcW w:w="2100" w:type="dxa"/>
            <w:vAlign w:val="bottom"/>
          </w:tcPr>
          <w:p>
            <w:pPr>
              <w:jc w:val="right"/>
              <w:ind w:right="869"/>
              <w:spacing w:after="0" w:line="150" w:lineRule="exact"/>
              <w:rPr>
                <w:sz w:val="20"/>
                <w:szCs w:val="20"/>
                <w:color w:val="auto"/>
              </w:rPr>
            </w:pPr>
            <w:r>
              <w:rPr>
                <w:rFonts w:ascii="Arial" w:cs="Arial" w:eastAsia="Arial" w:hAnsi="Arial"/>
                <w:sz w:val="15"/>
                <w:szCs w:val="15"/>
                <w:b w:val="1"/>
                <w:bCs w:val="1"/>
                <w:color w:val="auto"/>
              </w:rPr>
              <w:t>23.2 %</w:t>
            </w:r>
          </w:p>
        </w:tc>
        <w:tc>
          <w:tcPr>
            <w:tcW w:w="380" w:type="dxa"/>
            <w:vAlign w:val="bottom"/>
          </w:tcPr>
          <w:p>
            <w:pPr>
              <w:jc w:val="right"/>
              <w:spacing w:after="0" w:line="150" w:lineRule="exact"/>
              <w:rPr>
                <w:sz w:val="20"/>
                <w:szCs w:val="20"/>
                <w:color w:val="auto"/>
              </w:rPr>
            </w:pPr>
            <w:r>
              <w:rPr>
                <w:rFonts w:ascii="Arial" w:cs="Arial" w:eastAsia="Arial" w:hAnsi="Arial"/>
                <w:sz w:val="15"/>
                <w:szCs w:val="15"/>
                <w:color w:val="auto"/>
              </w:rPr>
              <w:t>2</w:t>
            </w: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Associate’s</w:t>
            </w:r>
          </w:p>
        </w:tc>
        <w:tc>
          <w:tcPr>
            <w:tcW w:w="2100" w:type="dxa"/>
            <w:vAlign w:val="bottom"/>
          </w:tcPr>
          <w:p>
            <w:pPr>
              <w:jc w:val="right"/>
              <w:ind w:right="869"/>
              <w:spacing w:after="0"/>
              <w:rPr>
                <w:sz w:val="20"/>
                <w:szCs w:val="20"/>
                <w:color w:val="auto"/>
              </w:rPr>
            </w:pPr>
            <w:r>
              <w:rPr>
                <w:rFonts w:ascii="Arial" w:cs="Arial" w:eastAsia="Arial" w:hAnsi="Arial"/>
                <w:sz w:val="15"/>
                <w:szCs w:val="15"/>
                <w:b w:val="1"/>
                <w:bCs w:val="1"/>
                <w:color w:val="auto"/>
              </w:rPr>
              <w:t>29.1 %</w:t>
            </w:r>
          </w:p>
        </w:tc>
        <w:tc>
          <w:tcPr>
            <w:tcW w:w="38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74"/>
        </w:trPr>
        <w:tc>
          <w:tcPr>
            <w:tcW w:w="8460" w:type="dxa"/>
            <w:vAlign w:val="bottom"/>
          </w:tcPr>
          <w:p>
            <w:pPr>
              <w:spacing w:after="0"/>
              <w:rPr>
                <w:sz w:val="20"/>
                <w:szCs w:val="20"/>
                <w:color w:val="auto"/>
              </w:rPr>
            </w:pPr>
            <w:r>
              <w:rPr>
                <w:rFonts w:ascii="Arial" w:cs="Arial" w:eastAsia="Arial" w:hAnsi="Arial"/>
                <w:sz w:val="15"/>
                <w:szCs w:val="15"/>
                <w:color w:val="auto"/>
              </w:rPr>
              <w:t>Bachelor’s</w:t>
            </w:r>
          </w:p>
        </w:tc>
        <w:tc>
          <w:tcPr>
            <w:tcW w:w="2100" w:type="dxa"/>
            <w:vAlign w:val="bottom"/>
          </w:tcPr>
          <w:p>
            <w:pPr>
              <w:jc w:val="right"/>
              <w:ind w:right="869"/>
              <w:spacing w:after="0"/>
              <w:rPr>
                <w:sz w:val="20"/>
                <w:szCs w:val="20"/>
                <w:color w:val="auto"/>
              </w:rPr>
            </w:pPr>
            <w:r>
              <w:rPr>
                <w:rFonts w:ascii="Arial" w:cs="Arial" w:eastAsia="Arial" w:hAnsi="Arial"/>
                <w:sz w:val="15"/>
                <w:szCs w:val="15"/>
                <w:b w:val="1"/>
                <w:bCs w:val="1"/>
                <w:color w:val="auto"/>
              </w:rPr>
              <w:t>33.8 %</w:t>
            </w:r>
          </w:p>
        </w:tc>
        <w:tc>
          <w:tcPr>
            <w:tcW w:w="38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90"/>
        </w:trPr>
        <w:tc>
          <w:tcPr>
            <w:tcW w:w="8460" w:type="dxa"/>
            <w:vAlign w:val="bottom"/>
          </w:tcPr>
          <w:p>
            <w:pPr>
              <w:spacing w:after="0"/>
              <w:rPr>
                <w:sz w:val="20"/>
                <w:szCs w:val="20"/>
                <w:color w:val="auto"/>
              </w:rPr>
            </w:pPr>
            <w:r>
              <w:rPr>
                <w:rFonts w:ascii="Arial" w:cs="Arial" w:eastAsia="Arial" w:hAnsi="Arial"/>
                <w:sz w:val="15"/>
                <w:szCs w:val="15"/>
                <w:color w:val="auto"/>
              </w:rPr>
              <w:t>Master’s</w:t>
            </w:r>
          </w:p>
        </w:tc>
        <w:tc>
          <w:tcPr>
            <w:tcW w:w="2100" w:type="dxa"/>
            <w:vAlign w:val="bottom"/>
            <w:tcBorders>
              <w:bottom w:val="single" w:sz="8" w:color="auto"/>
            </w:tcBorders>
          </w:tcPr>
          <w:p>
            <w:pPr>
              <w:jc w:val="right"/>
              <w:ind w:right="869"/>
              <w:spacing w:after="0"/>
              <w:rPr>
                <w:sz w:val="20"/>
                <w:szCs w:val="20"/>
                <w:color w:val="auto"/>
              </w:rPr>
            </w:pPr>
            <w:r>
              <w:rPr>
                <w:rFonts w:ascii="Arial" w:cs="Arial" w:eastAsia="Arial" w:hAnsi="Arial"/>
                <w:sz w:val="15"/>
                <w:szCs w:val="15"/>
                <w:b w:val="1"/>
                <w:bCs w:val="1"/>
                <w:color w:val="auto"/>
              </w:rPr>
              <w:t>13.9 %</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8460" w:type="dxa"/>
            <w:vAlign w:val="bottom"/>
          </w:tcPr>
          <w:p>
            <w:pPr>
              <w:spacing w:after="0"/>
              <w:rPr>
                <w:sz w:val="14"/>
                <w:szCs w:val="14"/>
                <w:color w:val="auto"/>
              </w:rPr>
            </w:pPr>
          </w:p>
        </w:tc>
        <w:tc>
          <w:tcPr>
            <w:tcW w:w="2100" w:type="dxa"/>
            <w:vAlign w:val="bottom"/>
            <w:tcBorders>
              <w:bottom w:val="single" w:sz="8" w:color="auto"/>
            </w:tcBorders>
          </w:tcPr>
          <w:p>
            <w:pPr>
              <w:jc w:val="right"/>
              <w:ind w:right="869"/>
              <w:spacing w:after="0" w:line="167" w:lineRule="exact"/>
              <w:rPr>
                <w:sz w:val="20"/>
                <w:szCs w:val="20"/>
                <w:color w:val="auto"/>
              </w:rPr>
            </w:pPr>
            <w:r>
              <w:rPr>
                <w:rFonts w:ascii="Arial" w:cs="Arial" w:eastAsia="Arial" w:hAnsi="Arial"/>
                <w:sz w:val="15"/>
                <w:szCs w:val="15"/>
                <w:b w:val="1"/>
                <w:bCs w:val="1"/>
                <w:color w:val="auto"/>
              </w:rPr>
              <w:t>100.0 %</w:t>
            </w:r>
          </w:p>
        </w:tc>
        <w:tc>
          <w:tcPr>
            <w:tcW w:w="3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w:t>
            </w:r>
          </w:p>
        </w:tc>
      </w:tr>
      <w:tr>
        <w:trPr>
          <w:trHeight w:val="20"/>
        </w:trPr>
        <w:tc>
          <w:tcPr>
            <w:tcW w:w="84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KTP includes Kaplan’s standardized test preparation and tutoring offerings. KTP revenue declined 6% in 2012 and 10% in the fourth quarter of 2012. Enrollment increased 5% and 11% for the fourth quarter and fiscal year 2012, respectively, driven by strength in pre-college, nursing and bar review programs. Enrollment increases were offset by competitive pricing pressure and a continued shift in demand to lower priced online test preparation offerings. The improvement in KTP operating results in 2012 is largely as a result of lower operating expenses due to restructuring activities in prior ye including $12.5 million in total KTP restructuring costs recorded in 2011. Fourth quarter 2012 results declined largely due to revenue reductions from a slowdown in enrollment growth in the fourth quarter of 2012.</w:t>
      </w:r>
    </w:p>
    <w:p>
      <w:pPr>
        <w:spacing w:after="0" w:line="179"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While overall results improved at KTP in 2012, Kaplan recorded a $111.6 million noncash goodwill and other long-lived assets impairment charge in connection with KTP in the fourth quarter of 2012. This impairment charge was determined as part of the Company’s annual goodwill and intangible a impairment testing based on KTP operating losses for the past three years and a recent slowdown in enrollment growth. KTP produced positive cash f from operations in 2012.</w:t>
      </w:r>
    </w:p>
    <w:p>
      <w:pPr>
        <w:spacing w:after="0" w:line="175"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Kaplan International includes English-language programs, and postsecondary education and professional training businesses outside the United State May 2011, Kaplan Australia acquired Franklyn Scholar and Carrick Education Group, national providers of vocational training and higher education in Australia. In June 2011, Kaplan acquired Structuralia, a provider of e-learning for the engineering and infrastructure sector in Spain. Kaplan Internation revenue increased 8% and 9% in 2012 and the fourth quarter of 2012, respectively. Excluding revenue from acquired businesses, Kaplan Internationa revenue increased 4% in 2012 due to enrollment growth in the English-language and Singapore higher education programs. Excluding revenue from acquired businesses, Kaplan International revenue increased 6% in the fourth quarter of 2012 due to enrollment growth in the pathways and Singapor higher education programs.</w:t>
      </w:r>
    </w:p>
    <w:p>
      <w:pPr>
        <w:spacing w:after="0" w:line="178"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Kaplan International operating income increased in 2012 due largely to strong results in Singapore, offset by combined losses from businesses acquir 2011. These losses occurred primarily at certain businesses in Australia where Kaplan has been consolidating and restructuring its businesses to opti operations. Restructuring costs at Kaplan International totaled $16.4 million in 2012 ($ 14.9 million in the fourth quarter of 2012). These restructuring c were largely in Australia and included lease obligations, accelerated depreciation and severance charges. The decline in Kaplan International operatin income in the fourth quarter of 2012 is due to these restructuring costs.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Corporate represents unallocated expenses of Kaplan, Inc.’s corporate office and other minor shared activities.</w:t>
      </w:r>
    </w:p>
    <w:p>
      <w:pPr>
        <w:spacing w:after="0" w:line="177"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In the fourth quarter of 2012, $2.6 million in restructuring costs is included in amortization of intangible assets, largely from accelerated intangible asse amortization associated with changes to business operations in Australia.</w:t>
      </w:r>
    </w:p>
    <w:p>
      <w:pPr>
        <w:spacing w:after="0" w:line="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77"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871" w:right="1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i w:val="1"/>
          <w:iCs w:val="1"/>
          <w:color w:val="auto"/>
        </w:rPr>
        <w:t>Cable Television</w:t>
      </w:r>
    </w:p>
    <w:p>
      <w:pPr>
        <w:spacing w:after="0" w:line="19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Cable television division revenue for 2012 increased 4% to $787.1 million, from $760.2 million in 2011; revenue totaled $201.7 million for the fourth qu of 2012, a 6% increase from $190.8 million for the fourth quarter of 2011. The revenue results reflect continued growth of the division’s Internet and telephone service revenues and rate increases for many subscribers in June 2012, offset by a decline in basic video subscribers.</w:t>
      </w:r>
    </w:p>
    <w:p>
      <w:pPr>
        <w:spacing w:after="0" w:line="175"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Cable television division operating income in 2012 decreased 1% to $154.6 million, from $156.8 million in 2011; operating income for the fourth quarte 2012 increased 4% to $43.4 million, from $41.9 million in the fourth quarter of 2011. The cable television division’s operating income for 2012 declined primarily due to increased programming and depreciation costs, offset partially by increased revenues. The division’s operating income for the fourth q of 2012 increased primarily due to higher revenues, offset by increased programming and depreciation costs.</w:t>
      </w:r>
    </w:p>
    <w:p>
      <w:pPr>
        <w:spacing w:after="0" w:line="175"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At December 31, 2012, Primary Service Units (PSUs) were down 1% from the prior year due to a decline in basic video subscribers, offset by growth i high-speed data and telephony subscribers. A summary of PSUs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680" w:type="dxa"/>
            <w:vAlign w:val="bottom"/>
          </w:tcPr>
          <w:p>
            <w:pPr>
              <w:spacing w:after="0"/>
              <w:rPr>
                <w:sz w:val="13"/>
                <w:szCs w:val="13"/>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As of December 31,</w:t>
            </w:r>
          </w:p>
        </w:tc>
        <w:tc>
          <w:tcPr>
            <w:tcW w:w="300" w:type="dxa"/>
            <w:vAlign w:val="bottom"/>
            <w:tcBorders>
              <w:bottom w:val="single" w:sz="8" w:color="auto"/>
            </w:tcBorders>
          </w:tcPr>
          <w:p>
            <w:pPr>
              <w:spacing w:after="0"/>
              <w:rPr>
                <w:sz w:val="13"/>
                <w:szCs w:val="13"/>
                <w:color w:val="auto"/>
              </w:rPr>
            </w:pPr>
          </w:p>
        </w:tc>
      </w:tr>
      <w:tr>
        <w:trPr>
          <w:trHeight w:val="129"/>
        </w:trPr>
        <w:tc>
          <w:tcPr>
            <w:tcW w:w="8680" w:type="dxa"/>
            <w:vAlign w:val="bottom"/>
            <w:tcBorders>
              <w:bottom w:val="single" w:sz="8" w:color="auto"/>
            </w:tcBorders>
          </w:tcPr>
          <w:p>
            <w:pPr>
              <w:spacing w:after="0"/>
              <w:rPr>
                <w:sz w:val="11"/>
                <w:szCs w:val="11"/>
                <w:color w:val="auto"/>
              </w:rPr>
            </w:pPr>
          </w:p>
        </w:tc>
        <w:tc>
          <w:tcPr>
            <w:tcW w:w="1960" w:type="dxa"/>
            <w:vAlign w:val="bottom"/>
            <w:tcBorders>
              <w:bottom w:val="single" w:sz="8" w:color="auto"/>
            </w:tcBorders>
          </w:tcPr>
          <w:p>
            <w:pPr>
              <w:jc w:val="right"/>
              <w:ind w:right="1130"/>
              <w:spacing w:after="0" w:line="129" w:lineRule="exact"/>
              <w:rPr>
                <w:sz w:val="20"/>
                <w:szCs w:val="20"/>
                <w:color w:val="auto"/>
              </w:rPr>
            </w:pPr>
            <w:r>
              <w:rPr>
                <w:rFonts w:ascii="Arial" w:cs="Arial" w:eastAsia="Arial" w:hAnsi="Arial"/>
                <w:sz w:val="12"/>
                <w:szCs w:val="12"/>
                <w:b w:val="1"/>
                <w:bCs w:val="1"/>
                <w:color w:val="auto"/>
              </w:rPr>
              <w:t>2012</w:t>
            </w:r>
          </w:p>
        </w:tc>
        <w:tc>
          <w:tcPr>
            <w:tcW w:w="3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97"/>
              </w:rPr>
              <w:t>2011</w:t>
            </w:r>
          </w:p>
        </w:tc>
      </w:tr>
      <w:tr>
        <w:trPr>
          <w:trHeight w:val="150"/>
        </w:trPr>
        <w:tc>
          <w:tcPr>
            <w:tcW w:w="8680" w:type="dxa"/>
            <w:vAlign w:val="bottom"/>
          </w:tcPr>
          <w:p>
            <w:pPr>
              <w:spacing w:after="0" w:line="150" w:lineRule="exact"/>
              <w:rPr>
                <w:sz w:val="20"/>
                <w:szCs w:val="20"/>
                <w:color w:val="auto"/>
              </w:rPr>
            </w:pPr>
            <w:r>
              <w:rPr>
                <w:rFonts w:ascii="Arial" w:cs="Arial" w:eastAsia="Arial" w:hAnsi="Arial"/>
                <w:sz w:val="15"/>
                <w:szCs w:val="15"/>
                <w:color w:val="auto"/>
              </w:rPr>
              <w:t>Basic video</w:t>
            </w:r>
          </w:p>
        </w:tc>
        <w:tc>
          <w:tcPr>
            <w:tcW w:w="1960" w:type="dxa"/>
            <w:vAlign w:val="bottom"/>
          </w:tcPr>
          <w:p>
            <w:pPr>
              <w:jc w:val="right"/>
              <w:ind w:right="670"/>
              <w:spacing w:after="0" w:line="150" w:lineRule="exact"/>
              <w:rPr>
                <w:sz w:val="20"/>
                <w:szCs w:val="20"/>
                <w:color w:val="auto"/>
              </w:rPr>
            </w:pPr>
            <w:r>
              <w:rPr>
                <w:rFonts w:ascii="Arial" w:cs="Arial" w:eastAsia="Arial" w:hAnsi="Arial"/>
                <w:sz w:val="15"/>
                <w:szCs w:val="15"/>
                <w:b w:val="1"/>
                <w:bCs w:val="1"/>
                <w:color w:val="auto"/>
              </w:rPr>
              <w:t>593,615</w:t>
            </w:r>
          </w:p>
        </w:tc>
        <w:tc>
          <w:tcPr>
            <w:tcW w:w="300" w:type="dxa"/>
            <w:vAlign w:val="bottom"/>
          </w:tcPr>
          <w:p>
            <w:pPr>
              <w:jc w:val="right"/>
              <w:spacing w:after="0" w:line="150" w:lineRule="exact"/>
              <w:rPr>
                <w:sz w:val="20"/>
                <w:szCs w:val="20"/>
                <w:color w:val="auto"/>
              </w:rPr>
            </w:pPr>
            <w:r>
              <w:rPr>
                <w:rFonts w:ascii="Arial" w:cs="Arial" w:eastAsia="Arial" w:hAnsi="Arial"/>
                <w:sz w:val="15"/>
                <w:szCs w:val="15"/>
                <w:color w:val="auto"/>
              </w:rPr>
              <w:t>6</w:t>
            </w:r>
          </w:p>
        </w:tc>
      </w:tr>
      <w:tr>
        <w:trPr>
          <w:trHeight w:val="174"/>
        </w:trPr>
        <w:tc>
          <w:tcPr>
            <w:tcW w:w="8680" w:type="dxa"/>
            <w:vAlign w:val="bottom"/>
          </w:tcPr>
          <w:p>
            <w:pPr>
              <w:spacing w:after="0"/>
              <w:rPr>
                <w:sz w:val="20"/>
                <w:szCs w:val="20"/>
                <w:color w:val="auto"/>
              </w:rPr>
            </w:pPr>
            <w:r>
              <w:rPr>
                <w:rFonts w:ascii="Arial" w:cs="Arial" w:eastAsia="Arial" w:hAnsi="Arial"/>
                <w:sz w:val="15"/>
                <w:szCs w:val="15"/>
                <w:color w:val="auto"/>
              </w:rPr>
              <w:t>High-speed data</w:t>
            </w:r>
          </w:p>
        </w:tc>
        <w:tc>
          <w:tcPr>
            <w:tcW w:w="1960" w:type="dxa"/>
            <w:vAlign w:val="bottom"/>
          </w:tcPr>
          <w:p>
            <w:pPr>
              <w:jc w:val="right"/>
              <w:ind w:right="670"/>
              <w:spacing w:after="0"/>
              <w:rPr>
                <w:sz w:val="20"/>
                <w:szCs w:val="20"/>
                <w:color w:val="auto"/>
              </w:rPr>
            </w:pPr>
            <w:r>
              <w:rPr>
                <w:rFonts w:ascii="Arial" w:cs="Arial" w:eastAsia="Arial" w:hAnsi="Arial"/>
                <w:sz w:val="15"/>
                <w:szCs w:val="15"/>
                <w:b w:val="1"/>
                <w:bCs w:val="1"/>
                <w:color w:val="auto"/>
              </w:rPr>
              <w:t>459,235</w:t>
            </w:r>
          </w:p>
        </w:tc>
        <w:tc>
          <w:tcPr>
            <w:tcW w:w="3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90"/>
        </w:trPr>
        <w:tc>
          <w:tcPr>
            <w:tcW w:w="8680" w:type="dxa"/>
            <w:vAlign w:val="bottom"/>
          </w:tcPr>
          <w:p>
            <w:pPr>
              <w:spacing w:after="0"/>
              <w:rPr>
                <w:sz w:val="20"/>
                <w:szCs w:val="20"/>
                <w:color w:val="auto"/>
              </w:rPr>
            </w:pPr>
            <w:r>
              <w:rPr>
                <w:rFonts w:ascii="Arial" w:cs="Arial" w:eastAsia="Arial" w:hAnsi="Arial"/>
                <w:sz w:val="15"/>
                <w:szCs w:val="15"/>
                <w:color w:val="auto"/>
              </w:rPr>
              <w:t>Telephony</w:t>
            </w:r>
          </w:p>
        </w:tc>
        <w:tc>
          <w:tcPr>
            <w:tcW w:w="1960" w:type="dxa"/>
            <w:vAlign w:val="bottom"/>
            <w:tcBorders>
              <w:bottom w:val="single" w:sz="8" w:color="auto"/>
            </w:tcBorders>
          </w:tcPr>
          <w:p>
            <w:pPr>
              <w:jc w:val="right"/>
              <w:ind w:right="670"/>
              <w:spacing w:after="0"/>
              <w:rPr>
                <w:sz w:val="20"/>
                <w:szCs w:val="20"/>
                <w:color w:val="auto"/>
              </w:rPr>
            </w:pPr>
            <w:r>
              <w:rPr>
                <w:rFonts w:ascii="Arial" w:cs="Arial" w:eastAsia="Arial" w:hAnsi="Arial"/>
                <w:sz w:val="15"/>
                <w:szCs w:val="15"/>
                <w:b w:val="1"/>
                <w:bCs w:val="1"/>
                <w:color w:val="auto"/>
              </w:rPr>
              <w:t>184,528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66"/>
        </w:trPr>
        <w:tc>
          <w:tcPr>
            <w:tcW w:w="8680" w:type="dxa"/>
            <w:vAlign w:val="bottom"/>
          </w:tcPr>
          <w:p>
            <w:pPr>
              <w:spacing w:after="0"/>
              <w:rPr>
                <w:sz w:val="14"/>
                <w:szCs w:val="14"/>
                <w:color w:val="auto"/>
              </w:rPr>
            </w:pPr>
          </w:p>
        </w:tc>
        <w:tc>
          <w:tcPr>
            <w:tcW w:w="1960" w:type="dxa"/>
            <w:vAlign w:val="bottom"/>
            <w:tcBorders>
              <w:bottom w:val="single" w:sz="8" w:color="auto"/>
            </w:tcBorders>
          </w:tcPr>
          <w:p>
            <w:pPr>
              <w:jc w:val="right"/>
              <w:ind w:right="670"/>
              <w:spacing w:after="0" w:line="167" w:lineRule="exact"/>
              <w:rPr>
                <w:sz w:val="20"/>
                <w:szCs w:val="20"/>
                <w:color w:val="auto"/>
              </w:rPr>
            </w:pPr>
            <w:r>
              <w:rPr>
                <w:rFonts w:ascii="Arial" w:cs="Arial" w:eastAsia="Arial" w:hAnsi="Arial"/>
                <w:sz w:val="15"/>
                <w:szCs w:val="15"/>
                <w:b w:val="1"/>
                <w:bCs w:val="1"/>
                <w:color w:val="auto"/>
              </w:rPr>
              <w:t>1,237,378</w:t>
            </w:r>
          </w:p>
        </w:tc>
        <w:tc>
          <w:tcPr>
            <w:tcW w:w="3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1,2</w:t>
            </w:r>
          </w:p>
        </w:tc>
      </w:tr>
      <w:tr>
        <w:trPr>
          <w:trHeight w:val="20"/>
        </w:trPr>
        <w:tc>
          <w:tcPr>
            <w:tcW w:w="86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Newspaper Publishing</w:t>
      </w:r>
    </w:p>
    <w:p>
      <w:pPr>
        <w:spacing w:after="0" w:line="197"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Newspaper publishing division revenue in 2012 declined 7% to $581.7 million, from $622.5 million in 2011; revenue totaled $162.1 million for the fourt quarter of 2012, a 6% decrease from $172.1 million for the fourth quarter of 2011. Print advertising revenue at The Washington Post in 2012 declined to $228.2 million, from $264.5 million in 2011, and decreased 12% to $67.5 million for the fourth quarter of 2012, from $77.1 million for the fourth quart 2011. The decline is largely due to reductions in general and retail advertising. Revenue generated by the Company’s online publishing activities, prim washingtonpost.com and Slate, increased 5% to $ 110.6 million, from $105.8 million in 2011; revenue increased 5% to $ 33.1 million in the fourth quart 2012, versus $31.5 million for the fourth quarter of 2011. Display online advertising revenue increased 6% in 2012, and 7% for the fourth quarter of 20 Online classified advertising revenue decreased 1% in 2012 and 2% for the fourth quarter of 2012.</w:t>
      </w:r>
    </w:p>
    <w:p>
      <w:pPr>
        <w:spacing w:after="0" w:line="17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 2012, daily circulation at The Washington Post declined 8.6%, and Sunday circulation declined 6.2%; average daily circulation at The Washington P totaled 471,800 and average Sunday circulation totaled 687,200.</w:t>
      </w:r>
    </w:p>
    <w:p>
      <w:pPr>
        <w:spacing w:after="0" w:line="176"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The newspaper publishing division reported an operating loss of $53.7 million in 2012, compared to an operating loss of $21.2 million in 2011, after inc pension expense of $42.4 million and $25.3 million, respectively. For the fourth quarter of 2012, the newspaper division reported operating income of $ million, compared to operating income of $6.8 million in the fourth quarter of 2011, after including pension expense of $ 9.9 million and $8.1 million, respectively. Included in pension expense for 2012 was an $8.5 million Voluntary Retirement Incentive Program (VRIP) for certain employees and a $0 million fourth quarter charge at The Herald in connection with its withdrawal from a multiemployer pension plan. Included in pension expense in the fo quarter of 2011 was a $2.4 million charge at The Herald in connection with its withdrawal from a multiemployer pension plan. In addition, voluntary severance and other early retirement expense of $9.0 million and $4.4 million was recorded at The Washington Post in 2012 and the fourth quarter of respectively.</w:t>
      </w:r>
    </w:p>
    <w:p>
      <w:pPr>
        <w:spacing w:after="0" w:line="17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decline in operating results for 2012 and the fourth quarter of 2012 is primarily due to the revenue reductions discussed above and the increase in combined early retirement, severance and multiemployer pension plan withdrawal expense, offset partially by a decline in other operating expenses. Newsprint expense was down 10% in 2012 and the fourth quarter of 2012 due to a decline in newsprint consumption.</w:t>
      </w:r>
    </w:p>
    <w:p>
      <w:pPr>
        <w:spacing w:after="0" w:line="175"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In February 2013, the Company announced that it had signed an agreement to sell The Herald, a daily and Sunday newspaper headquartered in Ever WA; the transaction is expected to close in March 2013.</w:t>
      </w:r>
    </w:p>
    <w:p>
      <w:pPr>
        <w:spacing w:after="0" w:line="1"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77"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851" w:right="1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i w:val="1"/>
          <w:iCs w:val="1"/>
          <w:color w:val="auto"/>
        </w:rPr>
        <w:t>Television Broadcasting</w:t>
      </w:r>
    </w:p>
    <w:p>
      <w:pPr>
        <w:spacing w:after="0" w:line="18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Revenue for the television broadcasting division increased 25% to $399.7 million in 2012, from $319.2 million in 2011; for the fourth quarter of 2012, revenue increased 32% to $116.2 million, from $88.3 million in 2011. Television broadcasting division operating income for 2012 increased 64% to $19 million, from $117.1 million in 2011. For the fourth quarter of 2012, operating income increased 54% to $62.8 million, from $40.9 million in 2011.</w:t>
      </w:r>
    </w:p>
    <w:p>
      <w:pPr>
        <w:spacing w:after="0" w:line="155"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increase in revenue and operating income for 2012 and the fourth quarter of 2012 reflects improved advertising demand across many product categories. These results include a $48.1 million and $25.9 million increase in political advertising revenue in 2012 and the fourth quarter of 2012, respectively; $10.8 million in incremental summer Olympics-related advertising at the Company’s NBC affiliates in the third quarter of 2012; and increa retransmission revenues.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Businesses</w:t>
      </w:r>
    </w:p>
    <w:p>
      <w:pPr>
        <w:spacing w:after="0" w:line="18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Other businesses includes the operating results of Social Code, a marketing solutions provider helping companies with marketing on social-media plat WaPo Labs, a digital team focused on emerging technologies and new product development; and Celtic Healthcare, Inc., a provider of home healthca hospice services in the northeastern and mid-Atlantic regions that was acquired by The Washington Post Company in November 2012.</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Office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Corporate office includes the expenses of the Company’s corporate office as well as a net pension credit.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Equity in Earnings (Losses) of Affiliates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Company holds a 16.5% interest in Classified Ventures, LLC, and interests in several other affiliates.</w:t>
      </w:r>
    </w:p>
    <w:p>
      <w:pPr>
        <w:spacing w:after="0" w:line="164" w:lineRule="exact"/>
        <w:rPr>
          <w:sz w:val="20"/>
          <w:szCs w:val="20"/>
          <w:color w:val="auto"/>
        </w:rPr>
      </w:pPr>
    </w:p>
    <w:p>
      <w:pPr>
        <w:jc w:val="both"/>
        <w:ind w:right="20"/>
        <w:spacing w:after="0" w:line="235" w:lineRule="auto"/>
        <w:rPr>
          <w:sz w:val="20"/>
          <w:szCs w:val="20"/>
          <w:color w:val="auto"/>
        </w:rPr>
      </w:pPr>
      <w:r>
        <w:rPr>
          <w:rFonts w:ascii="Arial" w:cs="Arial" w:eastAsia="Arial" w:hAnsi="Arial"/>
          <w:sz w:val="17"/>
          <w:szCs w:val="17"/>
          <w:color w:val="auto"/>
        </w:rPr>
        <w:t>In the fourth quarter of 2012, the Company sold its 49% interest in Bowater Mersey Paper Company for a nominal amount; no gain or loss was record the investment balance had previously been written-down to zero.</w:t>
      </w:r>
    </w:p>
    <w:p>
      <w:pPr>
        <w:spacing w:after="0" w:line="163"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The Company’s equity in earnings of affiliates, net, for 2012 was $14.1 million, compared to $5.9 million in 2011. For the fourth quarter of 2012, the Company’s equity in earnings of affiliates totaled $2.8 million, compared to $0.6 million for the fourth quarter of 2011. In 2011, a $9.2 million impairme charge was recorded on the Company’s interest in Bowater Mersey Paper Company.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Non-Operating (Expense) Income</w:t>
      </w:r>
    </w:p>
    <w:p>
      <w:pPr>
        <w:spacing w:after="0" w:line="18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Company recorded other non-operating expense, net, of $5.5 million in 2012, compared to other non-operating expense, net, of $55.2 million in 2 For the fourth quarter of 2012, the Company recorded other non-operating expense, net, of $17.6 million, compared to other non-operating income, ne $1.1 million for the fourth quarter of 2011.</w:t>
      </w:r>
    </w:p>
    <w:p>
      <w:pPr>
        <w:spacing w:after="0" w:line="163"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2012 non-operating expense, net, included an $18.0 million fourth quarter write-down of a marketable equity security, offset by $6.6 million in net from cost method investments, $3.1 million in unrealized foreign currency gains and other items. The 2011 non-operating expense, net, included a $ 5 million write-down of a marketable equity security, $3.3 million in unrealized foreign currency losses ($0.4 million in unrealized foreign currency gains i fourth quarter) and other items.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During 2012, on an overall basis, the fair value of the Company’s marketable securities appreciated by $32.5 million.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Net Interest Expense and Related Balances</w:t>
      </w:r>
    </w:p>
    <w:p>
      <w:pPr>
        <w:spacing w:after="0" w:line="197" w:lineRule="exact"/>
        <w:rPr>
          <w:sz w:val="20"/>
          <w:szCs w:val="20"/>
          <w:color w:val="auto"/>
        </w:rPr>
      </w:pPr>
    </w:p>
    <w:p>
      <w:pPr>
        <w:jc w:val="center"/>
        <w:spacing w:after="0" w:line="231" w:lineRule="auto"/>
        <w:rPr>
          <w:sz w:val="20"/>
          <w:szCs w:val="20"/>
          <w:color w:val="auto"/>
        </w:rPr>
      </w:pPr>
      <w:r>
        <w:rPr>
          <w:rFonts w:ascii="Arial" w:cs="Arial" w:eastAsia="Arial" w:hAnsi="Arial"/>
          <w:sz w:val="17"/>
          <w:szCs w:val="17"/>
          <w:color w:val="auto"/>
        </w:rPr>
        <w:t>The Company incurred net interest expense of $32.6 million in 2012, compared to $29.1 million in 2011; net interest expense totaled $8.2 million for th fourth quarter of 2012, versus $7.5 million for the fourth quarter of 2011. At December 31, 2012, the Company had $696.7 million in borrowings outsta at an average interest rate of 5.1%, and cash, marketable securities and other investments of $959.9 million. At December 31, 2011, the Company ha $565.2 million in borrowings outstanding at an average interest rate of 5.7%, and cash, marketable securities and other investments of $745.1 million. -more-</w:t>
      </w:r>
    </w:p>
    <w:p>
      <w:pPr>
        <w:spacing w:after="0" w:line="176"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851" w:right="1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u w:val="single" w:color="auto"/>
          <w:color w:val="auto"/>
        </w:rPr>
        <w:t>Provision for Income Taxes</w:t>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effective tax rate for income from continuing operations in 2012 was 59.4%. This effective tax rate was adversely impacted by $12.5 million in stat non-U.S. valuation allowances provided against deferred income tax benefits where realization is doubtful, and $12.8 million from nondeductible good connection with an impairment charge recorded in 2012, offset by tax benefits from lower rates at jurisdictions outside the United States.</w:t>
      </w:r>
    </w:p>
    <w:p>
      <w:pPr>
        <w:spacing w:after="0" w:line="16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effective tax rate for income from continuing operations in 2011 was 41.2%. This effective tax rate was adversely impacted by $17.8 million in stat non-U.S. valuation allowances provided against deferred income tax benefits where realization is doubtful, offset by tax benefits from lower rates at jurisdictions outside the United States.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Discontinued Operations</w:t>
      </w:r>
    </w:p>
    <w:p>
      <w:pPr>
        <w:spacing w:after="0" w:line="197" w:lineRule="exact"/>
        <w:rPr>
          <w:sz w:val="20"/>
          <w:szCs w:val="20"/>
          <w:color w:val="auto"/>
        </w:rPr>
      </w:pPr>
    </w:p>
    <w:p>
      <w:pPr>
        <w:jc w:val="both"/>
        <w:ind w:right="40"/>
        <w:spacing w:after="0" w:line="233" w:lineRule="auto"/>
        <w:rPr>
          <w:sz w:val="20"/>
          <w:szCs w:val="20"/>
          <w:color w:val="auto"/>
        </w:rPr>
      </w:pPr>
      <w:r>
        <w:rPr>
          <w:rFonts w:ascii="Arial" w:cs="Arial" w:eastAsia="Arial" w:hAnsi="Arial"/>
          <w:sz w:val="17"/>
          <w:szCs w:val="17"/>
          <w:color w:val="auto"/>
        </w:rPr>
        <w:t>Kaplan sold Kidum in August 2012, EduNeering in April 2012 and Kaplan Learning Technologies in February 2012. The Company also divested its int in Avenue100 Media Solutions on July 31, 2012. Consequently, the Company’s income from continuing operations excludes these businesses, which been reclassified to discontinued operations, net of tax.</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The sale of Kaplan Learning Technologies resulted in a pre-tax loss of $3.1 million, which was recorded in the first quarter of 2012. The sale of EduNe resulted in a pre-tax gain of $29.5 million, which was recorded in the second quarter of 2012. The sale of Kidum resulted in a pre-tax gain of $3.6 milli which was recorded in the third quarter of 2012.</w:t>
      </w:r>
    </w:p>
    <w:p>
      <w:pPr>
        <w:spacing w:after="0" w:line="17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 connection with each of the sales of the Company’s stock in EduNeering and Kaplan Learning Technologies, in the first quarter of 2012, the Compa recorded $23.2 million of income tax benefits related to the excess of the outside stock tax basis over the net book value of the net assets disposed.</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connection with the disposal of Avenue100 Media Solutions, Inc., the Company recorded a pre-tax loss of $ 5.7 million in the third quarter of 2012. A income tax benefit of $44.5 million was also recorded in the third quarter of 2012 as the Company determined that Avenue100 Media Solutions, Inc. h value. The income tax benefit is due to the Company’s tax basis in the stock of Avenue100 exceeding its net book value as a result of goodwill and oth intangible asset impairment charges recorded in 2008, 2010 and 2011, for which no tax benefit was previously recorded.</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Earnings (Loss) Per Share</w:t>
      </w:r>
    </w:p>
    <w:p>
      <w:pPr>
        <w:spacing w:after="0" w:line="19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calculation of diluted earnings (loss) per share for 2012 and the fourth quarter of 2012 were based on 7,403,946 and 7,223,281 weighted average shares, respectively, compared to 7,904,983 and 7,681,799 weighted average shares, respectively, for 2011 and the fourth quarter of 2011. In 2012, t Company repurchased 301,231 shares of its Class B common stock at a cost of $103.2 million. At December 31, 2012, there were 7,427,501 shares outstanding and the Company had remaining authorization from the Board of Directors to purchase up to 192,243 shares of Class B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17"/>
          <w:szCs w:val="17"/>
          <w:color w:val="auto"/>
        </w:rPr>
        <w:t>This report contains certain forward-looking statements that are based largely on the Company’s current expectations. Forward-looking statements ar subject to certain risks and uncertainties that could cause actual results and achievements to differ materially from those expressed in the forward-loo statements. For more information about these forward-looking statements and related risks, please refer to the section titled “Forward-Looking Statem in Part I of the Company’s Annual Report on Form 10-K.</w:t>
      </w:r>
    </w:p>
    <w:p>
      <w:pPr>
        <w:spacing w:after="0" w:line="2"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77"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851" w:right="139" w:bottom="1440" w:gutter="0" w:footer="0" w:header="0"/>
        </w:sectPr>
      </w:pPr>
    </w:p>
    <w:bookmarkStart w:id="12" w:name="page13"/>
    <w:bookmarkEnd w:id="12"/>
    <w:p>
      <w:pPr>
        <w:jc w:val="center"/>
        <w:ind w:left="1160"/>
        <w:spacing w:after="0"/>
        <w:rPr>
          <w:sz w:val="20"/>
          <w:szCs w:val="20"/>
          <w:color w:val="auto"/>
        </w:rPr>
      </w:pPr>
      <w:r>
        <w:rPr>
          <w:rFonts w:ascii="Arial" w:cs="Arial" w:eastAsia="Arial" w:hAnsi="Arial"/>
          <w:sz w:val="17"/>
          <w:szCs w:val="17"/>
          <w:color w:val="auto"/>
        </w:rPr>
        <w:t>THE WASHINGTON POST COMPANY</w:t>
      </w:r>
    </w:p>
    <w:p>
      <w:pPr>
        <w:jc w:val="center"/>
        <w:ind w:left="1160"/>
        <w:spacing w:after="0" w:line="228" w:lineRule="auto"/>
        <w:rPr>
          <w:sz w:val="20"/>
          <w:szCs w:val="20"/>
          <w:color w:val="auto"/>
        </w:rPr>
      </w:pPr>
      <w:r>
        <w:rPr>
          <w:rFonts w:ascii="Arial" w:cs="Arial" w:eastAsia="Arial" w:hAnsi="Arial"/>
          <w:sz w:val="17"/>
          <w:szCs w:val="17"/>
          <w:u w:val="single" w:color="auto"/>
          <w:color w:val="auto"/>
        </w:rPr>
        <w:t>CONSOLIDATED STATEMENTS OF OPERATIONS</w:t>
      </w:r>
    </w:p>
    <w:p>
      <w:pPr>
        <w:jc w:val="center"/>
        <w:ind w:left="1160"/>
        <w:spacing w:after="0"/>
        <w:rPr>
          <w:sz w:val="20"/>
          <w:szCs w:val="20"/>
          <w:color w:val="auto"/>
        </w:rPr>
      </w:pPr>
      <w:r>
        <w:rPr>
          <w:rFonts w:ascii="Arial" w:cs="Arial" w:eastAsia="Arial" w:hAnsi="Arial"/>
          <w:sz w:val="17"/>
          <w:szCs w:val="17"/>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right"/>
              <w:ind w:right="137"/>
              <w:spacing w:after="0"/>
              <w:rPr>
                <w:sz w:val="20"/>
                <w:szCs w:val="20"/>
                <w:color w:val="auto"/>
              </w:rPr>
            </w:pPr>
            <w:r>
              <w:rPr>
                <w:rFonts w:ascii="Arial" w:cs="Arial" w:eastAsia="Arial" w:hAnsi="Arial"/>
                <w:sz w:val="12"/>
                <w:szCs w:val="12"/>
                <w:b w:val="1"/>
                <w:bCs w:val="1"/>
                <w:color w:val="auto"/>
              </w:rPr>
              <w:t>December 31,</w:t>
            </w:r>
          </w:p>
        </w:tc>
        <w:tc>
          <w:tcPr>
            <w:tcW w:w="86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020" w:type="dxa"/>
            <w:vAlign w:val="bottom"/>
          </w:tcPr>
          <w:p>
            <w:pPr>
              <w:ind w:left="580"/>
              <w:spacing w:after="0"/>
              <w:rPr>
                <w:sz w:val="20"/>
                <w:szCs w:val="20"/>
                <w:color w:val="auto"/>
              </w:rPr>
            </w:pPr>
            <w:r>
              <w:rPr>
                <w:rFonts w:ascii="Arial" w:cs="Arial" w:eastAsia="Arial" w:hAnsi="Arial"/>
                <w:sz w:val="12"/>
                <w:szCs w:val="12"/>
                <w:color w:val="auto"/>
              </w:rPr>
              <w:t>(in thousands, except per share amounts)</w:t>
            </w:r>
          </w:p>
        </w:tc>
        <w:tc>
          <w:tcPr>
            <w:tcW w:w="18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2012</w:t>
            </w:r>
          </w:p>
        </w:tc>
        <w:tc>
          <w:tcPr>
            <w:tcW w:w="5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98"/>
              <w:spacing w:after="0"/>
              <w:rPr>
                <w:sz w:val="20"/>
                <w:szCs w:val="20"/>
                <w:color w:val="auto"/>
              </w:rPr>
            </w:pPr>
            <w:r>
              <w:rPr>
                <w:rFonts w:ascii="Arial" w:cs="Arial" w:eastAsia="Arial" w:hAnsi="Arial"/>
                <w:sz w:val="12"/>
                <w:szCs w:val="12"/>
                <w:color w:val="auto"/>
                <w:w w:val="97"/>
              </w:rPr>
              <w:t>2011</w:t>
            </w:r>
          </w:p>
        </w:tc>
        <w:tc>
          <w:tcPr>
            <w:tcW w:w="640" w:type="dxa"/>
            <w:vAlign w:val="bottom"/>
            <w:tcBorders>
              <w:bottom w:val="single" w:sz="8" w:color="auto"/>
            </w:tcBorders>
            <w:gridSpan w:val="2"/>
          </w:tcPr>
          <w:p>
            <w:pPr>
              <w:ind w:left="500"/>
              <w:spacing w:after="0"/>
              <w:rPr>
                <w:sz w:val="20"/>
                <w:szCs w:val="20"/>
                <w:color w:val="auto"/>
              </w:rPr>
            </w:pPr>
            <w:r>
              <w:rPr>
                <w:rFonts w:ascii="Arial" w:cs="Arial" w:eastAsia="Arial" w:hAnsi="Arial"/>
                <w:sz w:val="12"/>
                <w:szCs w:val="12"/>
                <w:color w:val="auto"/>
                <w:w w:val="77"/>
              </w:rPr>
              <w:t>Ch</w:t>
            </w: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color w:val="auto"/>
              </w:rPr>
              <w:t>Operating revenues</w:t>
            </w:r>
          </w:p>
        </w:tc>
        <w:tc>
          <w:tcPr>
            <w:tcW w:w="1880" w:type="dxa"/>
            <w:vAlign w:val="bottom"/>
          </w:tcPr>
          <w:p>
            <w:pPr>
              <w:spacing w:after="0"/>
              <w:rPr>
                <w:sz w:val="14"/>
                <w:szCs w:val="14"/>
                <w:color w:val="auto"/>
              </w:rPr>
            </w:pPr>
          </w:p>
        </w:tc>
        <w:tc>
          <w:tcPr>
            <w:tcW w:w="380" w:type="dxa"/>
            <w:vAlign w:val="bottom"/>
          </w:tcPr>
          <w:p>
            <w:pPr>
              <w:jc w:val="right"/>
              <w:ind w:right="57"/>
              <w:spacing w:after="0" w:line="170" w:lineRule="exact"/>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1,050,096</w:t>
            </w:r>
          </w:p>
        </w:tc>
        <w:tc>
          <w:tcPr>
            <w:tcW w:w="580" w:type="dxa"/>
            <w:vAlign w:val="bottom"/>
          </w:tcPr>
          <w:p>
            <w:pPr>
              <w:jc w:val="right"/>
              <w:ind w:right="217"/>
              <w:spacing w:after="0" w:line="170"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rPr>
              <w:t>1,040,421</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020" w:type="dxa"/>
            <w:vAlign w:val="bottom"/>
          </w:tcPr>
          <w:p>
            <w:pPr>
              <w:ind w:left="580"/>
              <w:spacing w:after="0"/>
              <w:rPr>
                <w:sz w:val="20"/>
                <w:szCs w:val="20"/>
                <w:color w:val="auto"/>
              </w:rPr>
            </w:pPr>
            <w:r>
              <w:rPr>
                <w:rFonts w:ascii="Arial" w:cs="Arial" w:eastAsia="Arial" w:hAnsi="Arial"/>
                <w:sz w:val="17"/>
                <w:szCs w:val="17"/>
                <w:color w:val="auto"/>
              </w:rPr>
              <w:t>Operating expenses</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(865,438)</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(863,184)</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20" w:type="dxa"/>
            <w:vAlign w:val="bottom"/>
          </w:tcPr>
          <w:p>
            <w:pPr>
              <w:ind w:left="580"/>
              <w:spacing w:after="0"/>
              <w:rPr>
                <w:sz w:val="20"/>
                <w:szCs w:val="20"/>
                <w:color w:val="auto"/>
              </w:rPr>
            </w:pPr>
            <w:r>
              <w:rPr>
                <w:rFonts w:ascii="Arial" w:cs="Arial" w:eastAsia="Arial" w:hAnsi="Arial"/>
                <w:sz w:val="17"/>
                <w:szCs w:val="17"/>
                <w:color w:val="auto"/>
              </w:rPr>
              <w:t>Depreciation of property, plant and equipment</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(79,880)</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(62,932)</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20" w:type="dxa"/>
            <w:vAlign w:val="bottom"/>
          </w:tcPr>
          <w:p>
            <w:pPr>
              <w:ind w:left="580"/>
              <w:spacing w:after="0"/>
              <w:rPr>
                <w:sz w:val="20"/>
                <w:szCs w:val="20"/>
                <w:color w:val="auto"/>
              </w:rPr>
            </w:pPr>
            <w:r>
              <w:rPr>
                <w:rFonts w:ascii="Arial" w:cs="Arial" w:eastAsia="Arial" w:hAnsi="Arial"/>
                <w:sz w:val="17"/>
                <w:szCs w:val="17"/>
                <w:color w:val="auto"/>
              </w:rPr>
              <w:t>Amortization of intangible assets</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(7,610)</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(5,042)</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Impairment of goodwill and other long-lived assets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(111,593)</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color w:val="auto"/>
              </w:rPr>
              <w:t>Operating (loss) income</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(14,425)</w:t>
            </w:r>
          </w:p>
        </w:tc>
        <w:tc>
          <w:tcPr>
            <w:tcW w:w="58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rPr>
              <w:t>109,263</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020" w:type="dxa"/>
            <w:vAlign w:val="bottom"/>
          </w:tcPr>
          <w:p>
            <w:pPr>
              <w:ind w:left="580"/>
              <w:spacing w:after="0"/>
              <w:rPr>
                <w:sz w:val="20"/>
                <w:szCs w:val="20"/>
                <w:color w:val="auto"/>
              </w:rPr>
            </w:pPr>
            <w:r>
              <w:rPr>
                <w:rFonts w:ascii="Arial" w:cs="Arial" w:eastAsia="Arial" w:hAnsi="Arial"/>
                <w:sz w:val="17"/>
                <w:szCs w:val="17"/>
                <w:color w:val="auto"/>
              </w:rPr>
              <w:t>Equity in earnings of affiliates, net</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2,785</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568</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20" w:type="dxa"/>
            <w:vAlign w:val="bottom"/>
          </w:tcPr>
          <w:p>
            <w:pPr>
              <w:ind w:left="580"/>
              <w:spacing w:after="0"/>
              <w:rPr>
                <w:sz w:val="20"/>
                <w:szCs w:val="20"/>
                <w:color w:val="auto"/>
              </w:rPr>
            </w:pPr>
            <w:r>
              <w:rPr>
                <w:rFonts w:ascii="Arial" w:cs="Arial" w:eastAsia="Arial" w:hAnsi="Arial"/>
                <w:sz w:val="17"/>
                <w:szCs w:val="17"/>
                <w:color w:val="auto"/>
              </w:rPr>
              <w:t>Interest income</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901</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1,174</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20" w:type="dxa"/>
            <w:vAlign w:val="bottom"/>
          </w:tcPr>
          <w:p>
            <w:pPr>
              <w:ind w:left="580"/>
              <w:spacing w:after="0"/>
              <w:rPr>
                <w:sz w:val="20"/>
                <w:szCs w:val="20"/>
                <w:color w:val="auto"/>
              </w:rPr>
            </w:pPr>
            <w:r>
              <w:rPr>
                <w:rFonts w:ascii="Arial" w:cs="Arial" w:eastAsia="Arial" w:hAnsi="Arial"/>
                <w:sz w:val="17"/>
                <w:szCs w:val="17"/>
                <w:color w:val="auto"/>
              </w:rPr>
              <w:t>Interest expense</w:t>
            </w:r>
          </w:p>
        </w:tc>
        <w:tc>
          <w:tcPr>
            <w:tcW w:w="1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(9,064)</w:t>
            </w:r>
          </w:p>
        </w:tc>
        <w:tc>
          <w:tcPr>
            <w:tcW w:w="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(8,638)</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Other (expense) income, net</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(17,572)</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1,073</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color w:val="auto"/>
              </w:rPr>
              <w:t>(Loss) income from continuing operations before income taxes</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(37,375)</w:t>
            </w:r>
          </w:p>
        </w:tc>
        <w:tc>
          <w:tcPr>
            <w:tcW w:w="58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rPr>
              <w:t>103,440</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Provision for income taxes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8,000</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42,000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color w:val="auto"/>
              </w:rPr>
              <w:t>(Loss) income from continuing operations</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(45,375)</w:t>
            </w:r>
          </w:p>
        </w:tc>
        <w:tc>
          <w:tcPr>
            <w:tcW w:w="58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rPr>
              <w:t>61,440</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Income from discontinued operations, net of tax</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color w:val="auto"/>
              </w:rPr>
              <w:t>Net (loss) income</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(45,375)</w:t>
            </w:r>
          </w:p>
        </w:tc>
        <w:tc>
          <w:tcPr>
            <w:tcW w:w="58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rPr>
              <w:t>61,731</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Net income attributable to noncontrolling interests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(64)</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color w:val="auto"/>
              </w:rPr>
              <w:t>Net (loss) income attributable to The Washington Post Company</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6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(45,439)</w:t>
            </w:r>
          </w:p>
        </w:tc>
        <w:tc>
          <w:tcPr>
            <w:tcW w:w="58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7"/>
                <w:szCs w:val="17"/>
                <w:color w:val="auto"/>
              </w:rPr>
              <w:t>61,714</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Redeemable preferred stock dividends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b w:val="1"/>
                <w:bCs w:val="1"/>
                <w:color w:val="auto"/>
              </w:rPr>
              <w:t>Net (Loss) Income Attributable to The Washington Post Company</w:t>
            </w:r>
          </w:p>
        </w:tc>
        <w:tc>
          <w:tcPr>
            <w:tcW w:w="226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(45,439)</w:t>
            </w: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20" w:type="dxa"/>
            <w:vAlign w:val="bottom"/>
          </w:tcPr>
          <w:p>
            <w:pPr>
              <w:ind w:left="800"/>
              <w:spacing w:after="0"/>
              <w:rPr>
                <w:sz w:val="20"/>
                <w:szCs w:val="20"/>
                <w:color w:val="auto"/>
              </w:rPr>
            </w:pPr>
            <w:r>
              <w:rPr>
                <w:rFonts w:ascii="Arial" w:cs="Arial" w:eastAsia="Arial" w:hAnsi="Arial"/>
                <w:sz w:val="17"/>
                <w:szCs w:val="17"/>
                <w:b w:val="1"/>
                <w:bCs w:val="1"/>
                <w:color w:val="auto"/>
              </w:rPr>
              <w:t>Common Stockholders</w:t>
            </w:r>
          </w:p>
        </w:tc>
        <w:tc>
          <w:tcPr>
            <w:tcW w:w="226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58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61,714</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580"/>
              <w:spacing w:after="0"/>
              <w:rPr>
                <w:sz w:val="20"/>
                <w:szCs w:val="20"/>
                <w:color w:val="auto"/>
              </w:rPr>
            </w:pPr>
            <w:r>
              <w:rPr>
                <w:rFonts w:ascii="Arial" w:cs="Arial" w:eastAsia="Arial" w:hAnsi="Arial"/>
                <w:sz w:val="17"/>
                <w:szCs w:val="17"/>
                <w:b w:val="1"/>
                <w:bCs w:val="1"/>
                <w:color w:val="auto"/>
              </w:rPr>
              <w:t>Amounts Attributable to The Washington Post Company</w:t>
            </w:r>
          </w:p>
        </w:tc>
        <w:tc>
          <w:tcPr>
            <w:tcW w:w="18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02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20" w:type="dxa"/>
            <w:vAlign w:val="bottom"/>
          </w:tcPr>
          <w:p>
            <w:pPr>
              <w:ind w:left="800"/>
              <w:spacing w:after="0"/>
              <w:rPr>
                <w:sz w:val="20"/>
                <w:szCs w:val="20"/>
                <w:color w:val="auto"/>
              </w:rPr>
            </w:pPr>
            <w:r>
              <w:rPr>
                <w:rFonts w:ascii="Arial" w:cs="Arial" w:eastAsia="Arial" w:hAnsi="Arial"/>
                <w:sz w:val="17"/>
                <w:szCs w:val="17"/>
                <w:b w:val="1"/>
                <w:bCs w:val="1"/>
                <w:color w:val="auto"/>
              </w:rPr>
              <w:t>Common Stockholders</w:t>
            </w:r>
          </w:p>
        </w:tc>
        <w:tc>
          <w:tcPr>
            <w:tcW w:w="226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(45,439)</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6020" w:type="dxa"/>
            <w:vAlign w:val="bottom"/>
          </w:tcPr>
          <w:p>
            <w:pPr>
              <w:ind w:left="580"/>
              <w:spacing w:after="0" w:line="180" w:lineRule="exact"/>
              <w:rPr>
                <w:sz w:val="20"/>
                <w:szCs w:val="20"/>
                <w:color w:val="auto"/>
              </w:rPr>
            </w:pPr>
            <w:r>
              <w:rPr>
                <w:rFonts w:ascii="Arial" w:cs="Arial" w:eastAsia="Arial" w:hAnsi="Arial"/>
                <w:sz w:val="17"/>
                <w:szCs w:val="17"/>
                <w:color w:val="auto"/>
              </w:rPr>
              <w:t>(Loss) income from continuing operations</w:t>
            </w:r>
          </w:p>
        </w:tc>
        <w:tc>
          <w:tcPr>
            <w:tcW w:w="226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580" w:type="dxa"/>
            <w:vAlign w:val="bottom"/>
          </w:tcPr>
          <w:p>
            <w:pPr>
              <w:jc w:val="right"/>
              <w:ind w:right="217"/>
              <w:spacing w:after="0" w:line="180"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80" w:lineRule="exact"/>
              <w:rPr>
                <w:sz w:val="20"/>
                <w:szCs w:val="20"/>
                <w:color w:val="auto"/>
              </w:rPr>
            </w:pPr>
            <w:r>
              <w:rPr>
                <w:rFonts w:ascii="Arial" w:cs="Arial" w:eastAsia="Arial" w:hAnsi="Arial"/>
                <w:sz w:val="17"/>
                <w:szCs w:val="17"/>
                <w:color w:val="auto"/>
              </w:rPr>
              <w:t>61,423</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Income from discontinued operations, net of tax</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020" w:type="dxa"/>
            <w:vAlign w:val="bottom"/>
          </w:tcPr>
          <w:p>
            <w:pPr>
              <w:ind w:left="580"/>
              <w:spacing w:after="0" w:line="179" w:lineRule="exact"/>
              <w:rPr>
                <w:sz w:val="20"/>
                <w:szCs w:val="20"/>
                <w:color w:val="auto"/>
              </w:rPr>
            </w:pPr>
            <w:r>
              <w:rPr>
                <w:rFonts w:ascii="Arial" w:cs="Arial" w:eastAsia="Arial" w:hAnsi="Arial"/>
                <w:sz w:val="17"/>
                <w:szCs w:val="17"/>
                <w:color w:val="auto"/>
              </w:rPr>
              <w:t>Net (loss) income</w:t>
            </w:r>
          </w:p>
        </w:tc>
        <w:tc>
          <w:tcPr>
            <w:tcW w:w="188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(45,439)</w:t>
            </w:r>
          </w:p>
        </w:tc>
        <w:tc>
          <w:tcPr>
            <w:tcW w:w="580" w:type="dxa"/>
            <w:vAlign w:val="bottom"/>
            <w:tcBorders>
              <w:bottom w:val="single" w:sz="8" w:color="auto"/>
            </w:tcBorders>
          </w:tcPr>
          <w:p>
            <w:pPr>
              <w:jc w:val="right"/>
              <w:ind w:right="217"/>
              <w:spacing w:after="0" w:line="17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61,714</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580"/>
              <w:spacing w:after="0"/>
              <w:rPr>
                <w:sz w:val="20"/>
                <w:szCs w:val="20"/>
                <w:color w:val="auto"/>
              </w:rPr>
            </w:pPr>
            <w:r>
              <w:rPr>
                <w:rFonts w:ascii="Arial" w:cs="Arial" w:eastAsia="Arial" w:hAnsi="Arial"/>
                <w:sz w:val="17"/>
                <w:szCs w:val="17"/>
                <w:b w:val="1"/>
                <w:bCs w:val="1"/>
                <w:color w:val="auto"/>
                <w:w w:val="96"/>
              </w:rPr>
              <w:t>Per Share Information Attributable to The Washington Post Company</w:t>
            </w:r>
          </w:p>
        </w:tc>
        <w:tc>
          <w:tcPr>
            <w:tcW w:w="1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02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20" w:type="dxa"/>
            <w:vAlign w:val="bottom"/>
          </w:tcPr>
          <w:p>
            <w:pPr>
              <w:ind w:left="860"/>
              <w:spacing w:after="0"/>
              <w:rPr>
                <w:sz w:val="20"/>
                <w:szCs w:val="20"/>
                <w:color w:val="auto"/>
              </w:rPr>
            </w:pPr>
            <w:r>
              <w:rPr>
                <w:rFonts w:ascii="Arial" w:cs="Arial" w:eastAsia="Arial" w:hAnsi="Arial"/>
                <w:sz w:val="17"/>
                <w:szCs w:val="17"/>
                <w:b w:val="1"/>
                <w:bCs w:val="1"/>
                <w:color w:val="auto"/>
              </w:rPr>
              <w:t>Common Stockholders</w:t>
            </w:r>
          </w:p>
        </w:tc>
        <w:tc>
          <w:tcPr>
            <w:tcW w:w="2260" w:type="dxa"/>
            <w:vAlign w:val="bottom"/>
            <w:gridSpan w:val="2"/>
            <w:vMerge w:val="restart"/>
          </w:tcPr>
          <w:p>
            <w:pPr>
              <w:jc w:val="right"/>
              <w:ind w:right="57"/>
              <w:spacing w:after="0"/>
              <w:rPr>
                <w:sz w:val="20"/>
                <w:szCs w:val="20"/>
                <w:color w:val="auto"/>
              </w:rPr>
            </w:pPr>
            <w:r>
              <w:rPr>
                <w:rFonts w:ascii="Arial" w:cs="Arial" w:eastAsia="Arial" w:hAnsi="Arial"/>
                <w:sz w:val="17"/>
                <w:szCs w:val="17"/>
                <w:b w:val="1"/>
                <w:bCs w:val="1"/>
                <w:color w:val="auto"/>
              </w:rPr>
              <w:t>$</w:t>
            </w:r>
          </w:p>
        </w:tc>
        <w:tc>
          <w:tcPr>
            <w:tcW w:w="116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(6.57)</w:t>
            </w: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6020" w:type="dxa"/>
            <w:vAlign w:val="bottom"/>
          </w:tcPr>
          <w:p>
            <w:pPr>
              <w:ind w:left="580"/>
              <w:spacing w:after="0" w:line="180" w:lineRule="exact"/>
              <w:rPr>
                <w:sz w:val="20"/>
                <w:szCs w:val="20"/>
                <w:color w:val="auto"/>
              </w:rPr>
            </w:pPr>
            <w:r>
              <w:rPr>
                <w:rFonts w:ascii="Arial" w:cs="Arial" w:eastAsia="Arial" w:hAnsi="Arial"/>
                <w:sz w:val="17"/>
                <w:szCs w:val="17"/>
                <w:color w:val="auto"/>
              </w:rPr>
              <w:t>Basic (loss) income per common share from continuing operations</w:t>
            </w:r>
          </w:p>
        </w:tc>
        <w:tc>
          <w:tcPr>
            <w:tcW w:w="226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580" w:type="dxa"/>
            <w:vAlign w:val="bottom"/>
          </w:tcPr>
          <w:p>
            <w:pPr>
              <w:jc w:val="right"/>
              <w:ind w:right="217"/>
              <w:spacing w:after="0" w:line="180" w:lineRule="exact"/>
              <w:rPr>
                <w:sz w:val="20"/>
                <w:szCs w:val="20"/>
                <w:color w:val="auto"/>
              </w:rPr>
            </w:pPr>
            <w:r>
              <w:rPr>
                <w:rFonts w:ascii="Arial" w:cs="Arial" w:eastAsia="Arial" w:hAnsi="Arial"/>
                <w:sz w:val="17"/>
                <w:szCs w:val="17"/>
                <w:color w:val="auto"/>
              </w:rPr>
              <w:t>$</w:t>
            </w:r>
          </w:p>
        </w:tc>
        <w:tc>
          <w:tcPr>
            <w:tcW w:w="860" w:type="dxa"/>
            <w:vAlign w:val="bottom"/>
          </w:tcPr>
          <w:p>
            <w:pPr>
              <w:jc w:val="right"/>
              <w:spacing w:after="0" w:line="180" w:lineRule="exact"/>
              <w:rPr>
                <w:sz w:val="20"/>
                <w:szCs w:val="20"/>
                <w:color w:val="auto"/>
              </w:rPr>
            </w:pPr>
            <w:r>
              <w:rPr>
                <w:rFonts w:ascii="Arial" w:cs="Arial" w:eastAsia="Arial" w:hAnsi="Arial"/>
                <w:sz w:val="17"/>
                <w:szCs w:val="17"/>
                <w:color w:val="auto"/>
              </w:rPr>
              <w:t>8.00</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Basic income per common share from discontinued operations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0.03</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020" w:type="dxa"/>
            <w:vAlign w:val="bottom"/>
          </w:tcPr>
          <w:p>
            <w:pPr>
              <w:ind w:left="580"/>
              <w:spacing w:after="0" w:line="179" w:lineRule="exact"/>
              <w:rPr>
                <w:sz w:val="20"/>
                <w:szCs w:val="20"/>
                <w:color w:val="auto"/>
              </w:rPr>
            </w:pPr>
            <w:r>
              <w:rPr>
                <w:rFonts w:ascii="Arial" w:cs="Arial" w:eastAsia="Arial" w:hAnsi="Arial"/>
                <w:sz w:val="17"/>
                <w:szCs w:val="17"/>
                <w:color w:val="auto"/>
              </w:rPr>
              <w:t>Basic net (loss) income per common share</w:t>
            </w:r>
          </w:p>
        </w:tc>
        <w:tc>
          <w:tcPr>
            <w:tcW w:w="188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(6.57)</w:t>
            </w:r>
          </w:p>
        </w:tc>
        <w:tc>
          <w:tcPr>
            <w:tcW w:w="580" w:type="dxa"/>
            <w:vAlign w:val="bottom"/>
            <w:tcBorders>
              <w:bottom w:val="single" w:sz="8" w:color="auto"/>
            </w:tcBorders>
          </w:tcPr>
          <w:p>
            <w:pPr>
              <w:jc w:val="right"/>
              <w:ind w:right="217"/>
              <w:spacing w:after="0" w:line="17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8.03</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20" w:type="dxa"/>
            <w:vAlign w:val="bottom"/>
          </w:tcPr>
          <w:p>
            <w:pPr>
              <w:ind w:left="580"/>
              <w:spacing w:after="0" w:line="163" w:lineRule="exact"/>
              <w:rPr>
                <w:sz w:val="20"/>
                <w:szCs w:val="20"/>
                <w:color w:val="auto"/>
              </w:rPr>
            </w:pPr>
            <w:r>
              <w:rPr>
                <w:rFonts w:ascii="Arial" w:cs="Arial" w:eastAsia="Arial" w:hAnsi="Arial"/>
                <w:sz w:val="17"/>
                <w:szCs w:val="17"/>
                <w:color w:val="auto"/>
              </w:rPr>
              <w:t>Basic average number of common shares outstanding</w:t>
            </w:r>
          </w:p>
        </w:tc>
        <w:tc>
          <w:tcPr>
            <w:tcW w:w="18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19"/>
              <w:spacing w:after="0" w:line="163" w:lineRule="exact"/>
              <w:rPr>
                <w:sz w:val="20"/>
                <w:szCs w:val="20"/>
                <w:color w:val="auto"/>
              </w:rPr>
            </w:pPr>
            <w:r>
              <w:rPr>
                <w:rFonts w:ascii="Arial" w:cs="Arial" w:eastAsia="Arial" w:hAnsi="Arial"/>
                <w:sz w:val="17"/>
                <w:szCs w:val="17"/>
                <w:b w:val="1"/>
                <w:bCs w:val="1"/>
                <w:color w:val="auto"/>
              </w:rPr>
              <w:t>7,223</w:t>
            </w: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7,601</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020" w:type="dxa"/>
            <w:vAlign w:val="bottom"/>
          </w:tcPr>
          <w:p>
            <w:pPr>
              <w:ind w:left="580"/>
              <w:spacing w:after="0"/>
              <w:rPr>
                <w:sz w:val="20"/>
                <w:szCs w:val="20"/>
                <w:color w:val="auto"/>
              </w:rPr>
            </w:pPr>
            <w:r>
              <w:rPr>
                <w:rFonts w:ascii="Arial" w:cs="Arial" w:eastAsia="Arial" w:hAnsi="Arial"/>
                <w:sz w:val="17"/>
                <w:szCs w:val="17"/>
                <w:color w:val="auto"/>
              </w:rPr>
              <w:t>Diluted (loss) income per common share from continuing operations</w:t>
            </w:r>
          </w:p>
        </w:tc>
        <w:tc>
          <w:tcPr>
            <w:tcW w:w="2260" w:type="dxa"/>
            <w:vAlign w:val="bottom"/>
            <w:gridSpan w:val="2"/>
          </w:tcPr>
          <w:p>
            <w:pPr>
              <w:jc w:val="right"/>
              <w:ind w:right="57"/>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ind w:right="119"/>
              <w:spacing w:after="0"/>
              <w:rPr>
                <w:sz w:val="20"/>
                <w:szCs w:val="20"/>
                <w:color w:val="auto"/>
              </w:rPr>
            </w:pPr>
            <w:r>
              <w:rPr>
                <w:rFonts w:ascii="Arial" w:cs="Arial" w:eastAsia="Arial" w:hAnsi="Arial"/>
                <w:sz w:val="17"/>
                <w:szCs w:val="17"/>
                <w:b w:val="1"/>
                <w:bCs w:val="1"/>
                <w:color w:val="auto"/>
              </w:rPr>
              <w:t>(6.57)</w:t>
            </w:r>
          </w:p>
        </w:tc>
        <w:tc>
          <w:tcPr>
            <w:tcW w:w="58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8.00</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Diluted income per common share from discontinued operations</w:t>
            </w:r>
          </w:p>
        </w:tc>
        <w:tc>
          <w:tcPr>
            <w:tcW w:w="18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0.03</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020" w:type="dxa"/>
            <w:vAlign w:val="bottom"/>
          </w:tcPr>
          <w:p>
            <w:pPr>
              <w:ind w:left="580"/>
              <w:spacing w:after="0" w:line="179" w:lineRule="exact"/>
              <w:rPr>
                <w:sz w:val="20"/>
                <w:szCs w:val="20"/>
                <w:color w:val="auto"/>
              </w:rPr>
            </w:pPr>
            <w:r>
              <w:rPr>
                <w:rFonts w:ascii="Arial" w:cs="Arial" w:eastAsia="Arial" w:hAnsi="Arial"/>
                <w:sz w:val="17"/>
                <w:szCs w:val="17"/>
                <w:color w:val="auto"/>
              </w:rPr>
              <w:t>Diluted net (loss) income per common share</w:t>
            </w:r>
          </w:p>
        </w:tc>
        <w:tc>
          <w:tcPr>
            <w:tcW w:w="1880" w:type="dxa"/>
            <w:vAlign w:val="bottom"/>
          </w:tcPr>
          <w:p>
            <w:pPr>
              <w:spacing w:after="0"/>
              <w:rPr>
                <w:sz w:val="15"/>
                <w:szCs w:val="15"/>
                <w:color w:val="auto"/>
              </w:rPr>
            </w:pPr>
          </w:p>
        </w:tc>
        <w:tc>
          <w:tcPr>
            <w:tcW w:w="38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(6.57)</w:t>
            </w:r>
          </w:p>
        </w:tc>
        <w:tc>
          <w:tcPr>
            <w:tcW w:w="580" w:type="dxa"/>
            <w:vAlign w:val="bottom"/>
            <w:tcBorders>
              <w:bottom w:val="single" w:sz="8" w:color="auto"/>
            </w:tcBorders>
          </w:tcPr>
          <w:p>
            <w:pPr>
              <w:jc w:val="right"/>
              <w:ind w:right="217"/>
              <w:spacing w:after="0" w:line="179" w:lineRule="exact"/>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8.03</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20" w:type="dxa"/>
            <w:vAlign w:val="bottom"/>
          </w:tcPr>
          <w:p>
            <w:pPr>
              <w:ind w:left="580"/>
              <w:spacing w:after="0" w:line="163" w:lineRule="exact"/>
              <w:rPr>
                <w:sz w:val="20"/>
                <w:szCs w:val="20"/>
                <w:color w:val="auto"/>
              </w:rPr>
            </w:pPr>
            <w:r>
              <w:rPr>
                <w:rFonts w:ascii="Arial" w:cs="Arial" w:eastAsia="Arial" w:hAnsi="Arial"/>
                <w:sz w:val="17"/>
                <w:szCs w:val="17"/>
                <w:color w:val="auto"/>
              </w:rPr>
              <w:t>Diluted average number of common shares outstanding</w:t>
            </w:r>
          </w:p>
        </w:tc>
        <w:tc>
          <w:tcPr>
            <w:tcW w:w="18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19"/>
              <w:spacing w:after="0" w:line="163" w:lineRule="exact"/>
              <w:rPr>
                <w:sz w:val="20"/>
                <w:szCs w:val="20"/>
                <w:color w:val="auto"/>
              </w:rPr>
            </w:pPr>
            <w:r>
              <w:rPr>
                <w:rFonts w:ascii="Arial" w:cs="Arial" w:eastAsia="Arial" w:hAnsi="Arial"/>
                <w:sz w:val="17"/>
                <w:szCs w:val="17"/>
                <w:b w:val="1"/>
                <w:bCs w:val="1"/>
                <w:color w:val="auto"/>
              </w:rPr>
              <w:t>7,223</w:t>
            </w:r>
          </w:p>
        </w:tc>
        <w:tc>
          <w:tcPr>
            <w:tcW w:w="5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7,682</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20" w:type="dxa"/>
            <w:vAlign w:val="bottom"/>
          </w:tcPr>
          <w:p>
            <w:pPr>
              <w:spacing w:after="0"/>
              <w:rPr>
                <w:sz w:val="15"/>
                <w:szCs w:val="15"/>
                <w:color w:val="auto"/>
              </w:rPr>
            </w:pPr>
          </w:p>
        </w:tc>
        <w:tc>
          <w:tcPr>
            <w:tcW w:w="1880" w:type="dxa"/>
            <w:vAlign w:val="bottom"/>
          </w:tcPr>
          <w:p>
            <w:pPr>
              <w:jc w:val="center"/>
              <w:ind w:right="1277"/>
              <w:spacing w:after="0" w:line="174" w:lineRule="exact"/>
              <w:rPr>
                <w:sz w:val="20"/>
                <w:szCs w:val="20"/>
                <w:color w:val="auto"/>
              </w:rPr>
            </w:pPr>
            <w:r>
              <w:rPr>
                <w:rFonts w:ascii="Arial" w:cs="Arial" w:eastAsia="Arial" w:hAnsi="Arial"/>
                <w:sz w:val="17"/>
                <w:szCs w:val="17"/>
                <w:color w:val="auto"/>
                <w:w w:val="95"/>
              </w:rPr>
              <w:t>-more-</w:t>
            </w:r>
          </w:p>
        </w:tc>
        <w:tc>
          <w:tcPr>
            <w:tcW w:w="3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6020" w:type="dxa"/>
            <w:vAlign w:val="bottom"/>
          </w:tcPr>
          <w:p>
            <w:pPr>
              <w:spacing w:after="0"/>
              <w:rPr>
                <w:sz w:val="24"/>
                <w:szCs w:val="24"/>
                <w:color w:val="auto"/>
              </w:rPr>
            </w:pPr>
          </w:p>
        </w:tc>
        <w:tc>
          <w:tcPr>
            <w:tcW w:w="1880" w:type="dxa"/>
            <w:vAlign w:val="bottom"/>
          </w:tcPr>
          <w:p>
            <w:pPr>
              <w:jc w:val="right"/>
              <w:ind w:right="1477"/>
              <w:spacing w:after="0"/>
              <w:rPr>
                <w:sz w:val="20"/>
                <w:szCs w:val="20"/>
                <w:color w:val="auto"/>
              </w:rPr>
            </w:pPr>
            <w:r>
              <w:rPr>
                <w:rFonts w:ascii="Arial" w:cs="Arial" w:eastAsia="Arial" w:hAnsi="Arial"/>
                <w:sz w:val="17"/>
                <w:szCs w:val="17"/>
                <w:color w:val="auto"/>
              </w:rPr>
              <w:t>8</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2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837" w:right="1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7"/>
          <w:szCs w:val="17"/>
          <w:color w:val="auto"/>
        </w:rPr>
        <w:t>THE WASHINGTON POST COMPANY</w:t>
      </w:r>
    </w:p>
    <w:p>
      <w:pPr>
        <w:jc w:val="center"/>
        <w:ind w:right="-39"/>
        <w:spacing w:after="0" w:line="228" w:lineRule="auto"/>
        <w:rPr>
          <w:sz w:val="20"/>
          <w:szCs w:val="20"/>
          <w:color w:val="auto"/>
        </w:rPr>
      </w:pPr>
      <w:r>
        <w:rPr>
          <w:rFonts w:ascii="Arial" w:cs="Arial" w:eastAsia="Arial" w:hAnsi="Arial"/>
          <w:sz w:val="17"/>
          <w:szCs w:val="17"/>
          <w:u w:val="single" w:color="auto"/>
          <w:color w:val="auto"/>
        </w:rPr>
        <w:t>CONSOLIDATED STATEMENTS OF OPERATIONS</w:t>
      </w:r>
    </w:p>
    <w:p>
      <w:pPr>
        <w:jc w:val="center"/>
        <w:ind w:right="-39"/>
        <w:spacing w:after="0"/>
        <w:rPr>
          <w:sz w:val="20"/>
          <w:szCs w:val="20"/>
          <w:color w:val="auto"/>
        </w:rPr>
      </w:pPr>
      <w:r>
        <w:rPr>
          <w:rFonts w:ascii="Arial" w:cs="Arial" w:eastAsia="Arial" w:hAnsi="Arial"/>
          <w:sz w:val="17"/>
          <w:szCs w:val="17"/>
          <w:color w:val="auto"/>
        </w:rPr>
        <w:t>(Unaudited)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20" w:type="dxa"/>
            <w:vAlign w:val="bottom"/>
            <w:gridSpan w:val="3"/>
          </w:tcPr>
          <w:p>
            <w:pPr>
              <w:jc w:val="right"/>
              <w:ind w:right="758"/>
              <w:spacing w:after="0"/>
              <w:rPr>
                <w:sz w:val="20"/>
                <w:szCs w:val="20"/>
                <w:color w:val="auto"/>
              </w:rPr>
            </w:pPr>
            <w:r>
              <w:rPr>
                <w:rFonts w:ascii="Arial" w:cs="Arial" w:eastAsia="Arial" w:hAnsi="Arial"/>
                <w:sz w:val="12"/>
                <w:szCs w:val="12"/>
                <w:b w:val="1"/>
                <w:bCs w:val="1"/>
                <w:color w:val="auto"/>
              </w:rPr>
              <w:t>Twelve Months Ended</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640" w:type="dxa"/>
            <w:vAlign w:val="bottom"/>
            <w:gridSpan w:val="2"/>
            <w:vMerge w:val="restart"/>
          </w:tcPr>
          <w:p>
            <w:pPr>
              <w:ind w:left="500"/>
              <w:spacing w:after="0"/>
              <w:rPr>
                <w:sz w:val="20"/>
                <w:szCs w:val="20"/>
                <w:color w:val="auto"/>
              </w:rPr>
            </w:pPr>
            <w:r>
              <w:rPr>
                <w:rFonts w:ascii="Arial" w:cs="Arial" w:eastAsia="Arial" w:hAnsi="Arial"/>
                <w:sz w:val="12"/>
                <w:szCs w:val="12"/>
                <w:b w:val="1"/>
                <w:bCs w:val="1"/>
                <w:color w:val="auto"/>
                <w:w w:val="74"/>
              </w:rPr>
              <w:t>Ch</w:t>
            </w:r>
          </w:p>
        </w:tc>
        <w:tc>
          <w:tcPr>
            <w:tcW w:w="0" w:type="dxa"/>
            <w:vAlign w:val="bottom"/>
          </w:tcPr>
          <w:p>
            <w:pPr>
              <w:spacing w:after="0"/>
              <w:rPr>
                <w:sz w:val="1"/>
                <w:szCs w:val="1"/>
                <w:color w:val="auto"/>
              </w:rPr>
            </w:pPr>
          </w:p>
        </w:tc>
      </w:tr>
      <w:tr>
        <w:trPr>
          <w:trHeight w:val="141"/>
        </w:trPr>
        <w:tc>
          <w:tcPr>
            <w:tcW w:w="6020" w:type="dxa"/>
            <w:vAlign w:val="bottom"/>
          </w:tcPr>
          <w:p>
            <w:pPr>
              <w:ind w:left="580"/>
              <w:spacing w:after="0"/>
              <w:rPr>
                <w:sz w:val="20"/>
                <w:szCs w:val="20"/>
                <w:color w:val="auto"/>
              </w:rPr>
            </w:pPr>
            <w:r>
              <w:rPr>
                <w:rFonts w:ascii="Arial" w:cs="Arial" w:eastAsia="Arial" w:hAnsi="Arial"/>
                <w:sz w:val="12"/>
                <w:szCs w:val="12"/>
                <w:color w:val="auto"/>
              </w:rPr>
              <w:t>(in thousands, except per share amounts)</w:t>
            </w:r>
          </w:p>
        </w:tc>
        <w:tc>
          <w:tcPr>
            <w:tcW w:w="18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39"/>
              <w:spacing w:after="0"/>
              <w:rPr>
                <w:sz w:val="20"/>
                <w:szCs w:val="20"/>
                <w:color w:val="auto"/>
              </w:rPr>
            </w:pPr>
            <w:r>
              <w:rPr>
                <w:rFonts w:ascii="Arial" w:cs="Arial" w:eastAsia="Arial" w:hAnsi="Arial"/>
                <w:sz w:val="12"/>
                <w:szCs w:val="12"/>
                <w:b w:val="1"/>
                <w:bCs w:val="1"/>
                <w:color w:val="auto"/>
              </w:rPr>
              <w:t>2012</w:t>
            </w: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98"/>
              <w:spacing w:after="0"/>
              <w:rPr>
                <w:sz w:val="20"/>
                <w:szCs w:val="20"/>
                <w:color w:val="auto"/>
              </w:rPr>
            </w:pPr>
            <w:r>
              <w:rPr>
                <w:rFonts w:ascii="Arial" w:cs="Arial" w:eastAsia="Arial" w:hAnsi="Arial"/>
                <w:sz w:val="12"/>
                <w:szCs w:val="12"/>
                <w:color w:val="auto"/>
              </w:rPr>
              <w:t>2011</w:t>
            </w:r>
          </w:p>
        </w:tc>
        <w:tc>
          <w:tcPr>
            <w:tcW w:w="64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color w:val="auto"/>
              </w:rPr>
              <w:t>Operating revenues</w:t>
            </w:r>
          </w:p>
        </w:tc>
        <w:tc>
          <w:tcPr>
            <w:tcW w:w="1880" w:type="dxa"/>
            <w:vAlign w:val="bottom"/>
          </w:tcPr>
          <w:p>
            <w:pPr>
              <w:spacing w:after="0"/>
              <w:rPr>
                <w:sz w:val="14"/>
                <w:szCs w:val="14"/>
                <w:color w:val="auto"/>
              </w:rPr>
            </w:pPr>
          </w:p>
        </w:tc>
        <w:tc>
          <w:tcPr>
            <w:tcW w:w="360" w:type="dxa"/>
            <w:vAlign w:val="bottom"/>
          </w:tcPr>
          <w:p>
            <w:pPr>
              <w:jc w:val="right"/>
              <w:ind w:right="37"/>
              <w:spacing w:after="0" w:line="170" w:lineRule="exact"/>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4,017,653</w:t>
            </w:r>
          </w:p>
        </w:tc>
        <w:tc>
          <w:tcPr>
            <w:tcW w:w="440" w:type="dxa"/>
            <w:vAlign w:val="bottom"/>
          </w:tcPr>
          <w:p>
            <w:pPr>
              <w:jc w:val="right"/>
              <w:ind w:right="77"/>
              <w:spacing w:after="0" w:line="170"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70" w:lineRule="exact"/>
              <w:rPr>
                <w:sz w:val="20"/>
                <w:szCs w:val="20"/>
                <w:color w:val="auto"/>
              </w:rPr>
            </w:pPr>
            <w:r>
              <w:rPr>
                <w:rFonts w:ascii="Arial" w:cs="Arial" w:eastAsia="Arial" w:hAnsi="Arial"/>
                <w:sz w:val="17"/>
                <w:szCs w:val="17"/>
                <w:color w:val="auto"/>
              </w:rPr>
              <w:t>4,131,145</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020" w:type="dxa"/>
            <w:vAlign w:val="bottom"/>
          </w:tcPr>
          <w:p>
            <w:pPr>
              <w:ind w:left="580"/>
              <w:spacing w:after="0"/>
              <w:rPr>
                <w:sz w:val="20"/>
                <w:szCs w:val="20"/>
                <w:color w:val="auto"/>
              </w:rPr>
            </w:pPr>
            <w:r>
              <w:rPr>
                <w:rFonts w:ascii="Arial" w:cs="Arial" w:eastAsia="Arial" w:hAnsi="Arial"/>
                <w:sz w:val="17"/>
                <w:szCs w:val="17"/>
                <w:color w:val="auto"/>
              </w:rPr>
              <w:t>Operating expenses</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7"/>
                <w:szCs w:val="17"/>
                <w:b w:val="1"/>
                <w:bCs w:val="1"/>
                <w:color w:val="auto"/>
              </w:rPr>
              <w:t>(3,471,884)</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(3,533,887)</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20" w:type="dxa"/>
            <w:vAlign w:val="bottom"/>
          </w:tcPr>
          <w:p>
            <w:pPr>
              <w:ind w:left="580"/>
              <w:spacing w:after="0"/>
              <w:rPr>
                <w:sz w:val="20"/>
                <w:szCs w:val="20"/>
                <w:color w:val="auto"/>
              </w:rPr>
            </w:pPr>
            <w:r>
              <w:rPr>
                <w:rFonts w:ascii="Arial" w:cs="Arial" w:eastAsia="Arial" w:hAnsi="Arial"/>
                <w:sz w:val="17"/>
                <w:szCs w:val="17"/>
                <w:color w:val="auto"/>
              </w:rPr>
              <w:t>Depreciation of property, plant and equipment</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7"/>
                <w:szCs w:val="17"/>
                <w:b w:val="1"/>
                <w:bCs w:val="1"/>
                <w:color w:val="auto"/>
              </w:rPr>
              <w:t>(268,643)</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(249,065)</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20" w:type="dxa"/>
            <w:vAlign w:val="bottom"/>
          </w:tcPr>
          <w:p>
            <w:pPr>
              <w:ind w:left="580"/>
              <w:spacing w:after="0"/>
              <w:rPr>
                <w:sz w:val="20"/>
                <w:szCs w:val="20"/>
                <w:color w:val="auto"/>
              </w:rPr>
            </w:pPr>
            <w:r>
              <w:rPr>
                <w:rFonts w:ascii="Arial" w:cs="Arial" w:eastAsia="Arial" w:hAnsi="Arial"/>
                <w:sz w:val="17"/>
                <w:szCs w:val="17"/>
                <w:color w:val="auto"/>
              </w:rPr>
              <w:t>Amortization of intangible assets</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7"/>
                <w:szCs w:val="17"/>
                <w:b w:val="1"/>
                <w:bCs w:val="1"/>
                <w:color w:val="auto"/>
              </w:rPr>
              <w:t>(21,002)</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(22,335)</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Impairment of goodwill and other long-lived assets</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(111,593)</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color w:val="auto"/>
              </w:rPr>
              <w:t>Operating income</w:t>
            </w: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144,531</w:t>
            </w:r>
          </w:p>
        </w:tc>
        <w:tc>
          <w:tcPr>
            <w:tcW w:w="440" w:type="dxa"/>
            <w:vAlign w:val="bottom"/>
          </w:tcPr>
          <w:p>
            <w:pPr>
              <w:spacing w:after="0"/>
              <w:rPr>
                <w:sz w:val="14"/>
                <w:szCs w:val="14"/>
                <w:color w:val="auto"/>
              </w:rPr>
            </w:pPr>
          </w:p>
        </w:tc>
        <w:tc>
          <w:tcPr>
            <w:tcW w:w="1000" w:type="dxa"/>
            <w:vAlign w:val="bottom"/>
          </w:tcPr>
          <w:p>
            <w:pPr>
              <w:jc w:val="right"/>
              <w:spacing w:after="0" w:line="170" w:lineRule="exact"/>
              <w:rPr>
                <w:sz w:val="20"/>
                <w:szCs w:val="20"/>
                <w:color w:val="auto"/>
              </w:rPr>
            </w:pPr>
            <w:r>
              <w:rPr>
                <w:rFonts w:ascii="Arial" w:cs="Arial" w:eastAsia="Arial" w:hAnsi="Arial"/>
                <w:sz w:val="17"/>
                <w:szCs w:val="17"/>
                <w:color w:val="auto"/>
              </w:rPr>
              <w:t>325,858</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6020" w:type="dxa"/>
            <w:vAlign w:val="bottom"/>
          </w:tcPr>
          <w:p>
            <w:pPr>
              <w:ind w:left="580"/>
              <w:spacing w:after="0"/>
              <w:rPr>
                <w:sz w:val="20"/>
                <w:szCs w:val="20"/>
                <w:color w:val="auto"/>
              </w:rPr>
            </w:pPr>
            <w:r>
              <w:rPr>
                <w:rFonts w:ascii="Arial" w:cs="Arial" w:eastAsia="Arial" w:hAnsi="Arial"/>
                <w:sz w:val="17"/>
                <w:szCs w:val="17"/>
                <w:color w:val="auto"/>
              </w:rPr>
              <w:t>Equity in earnings of affiliates, net</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7"/>
                <w:szCs w:val="17"/>
                <w:b w:val="1"/>
                <w:bCs w:val="1"/>
                <w:color w:val="auto"/>
              </w:rPr>
              <w:t>14,086</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5,949</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20" w:type="dxa"/>
            <w:vAlign w:val="bottom"/>
          </w:tcPr>
          <w:p>
            <w:pPr>
              <w:ind w:left="580"/>
              <w:spacing w:after="0"/>
              <w:rPr>
                <w:sz w:val="20"/>
                <w:szCs w:val="20"/>
                <w:color w:val="auto"/>
              </w:rPr>
            </w:pPr>
            <w:r>
              <w:rPr>
                <w:rFonts w:ascii="Arial" w:cs="Arial" w:eastAsia="Arial" w:hAnsi="Arial"/>
                <w:sz w:val="17"/>
                <w:szCs w:val="17"/>
                <w:color w:val="auto"/>
              </w:rPr>
              <w:t>Interest income</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7"/>
                <w:szCs w:val="17"/>
                <w:b w:val="1"/>
                <w:bCs w:val="1"/>
                <w:color w:val="auto"/>
              </w:rPr>
              <w:t>3,393</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4,147</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20" w:type="dxa"/>
            <w:vAlign w:val="bottom"/>
          </w:tcPr>
          <w:p>
            <w:pPr>
              <w:ind w:left="580"/>
              <w:spacing w:after="0"/>
              <w:rPr>
                <w:sz w:val="20"/>
                <w:szCs w:val="20"/>
                <w:color w:val="auto"/>
              </w:rPr>
            </w:pPr>
            <w:r>
              <w:rPr>
                <w:rFonts w:ascii="Arial" w:cs="Arial" w:eastAsia="Arial" w:hAnsi="Arial"/>
                <w:sz w:val="17"/>
                <w:szCs w:val="17"/>
                <w:color w:val="auto"/>
              </w:rPr>
              <w:t>Interest expense</w:t>
            </w:r>
          </w:p>
        </w:tc>
        <w:tc>
          <w:tcPr>
            <w:tcW w:w="1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7"/>
                <w:szCs w:val="17"/>
                <w:b w:val="1"/>
                <w:bCs w:val="1"/>
                <w:color w:val="auto"/>
              </w:rPr>
              <w:t>(35,944)</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(33,226)</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Other expense, net</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(5,456)</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(55,200)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color w:val="auto"/>
              </w:rPr>
              <w:t>Income from continuing operations before income taxes</w:t>
            </w: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120,610</w:t>
            </w:r>
          </w:p>
        </w:tc>
        <w:tc>
          <w:tcPr>
            <w:tcW w:w="440" w:type="dxa"/>
            <w:vAlign w:val="bottom"/>
          </w:tcPr>
          <w:p>
            <w:pPr>
              <w:spacing w:after="0"/>
              <w:rPr>
                <w:sz w:val="14"/>
                <w:szCs w:val="14"/>
                <w:color w:val="auto"/>
              </w:rPr>
            </w:pPr>
          </w:p>
        </w:tc>
        <w:tc>
          <w:tcPr>
            <w:tcW w:w="1000" w:type="dxa"/>
            <w:vAlign w:val="bottom"/>
          </w:tcPr>
          <w:p>
            <w:pPr>
              <w:jc w:val="right"/>
              <w:spacing w:after="0" w:line="170" w:lineRule="exact"/>
              <w:rPr>
                <w:sz w:val="20"/>
                <w:szCs w:val="20"/>
                <w:color w:val="auto"/>
              </w:rPr>
            </w:pPr>
            <w:r>
              <w:rPr>
                <w:rFonts w:ascii="Arial" w:cs="Arial" w:eastAsia="Arial" w:hAnsi="Arial"/>
                <w:sz w:val="17"/>
                <w:szCs w:val="17"/>
                <w:color w:val="auto"/>
              </w:rPr>
              <w:t>247,528</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Provision for income taxes</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71,600</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101,900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color w:val="auto"/>
              </w:rPr>
              <w:t>Income from continuing operations</w:t>
            </w: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49,010</w:t>
            </w:r>
          </w:p>
        </w:tc>
        <w:tc>
          <w:tcPr>
            <w:tcW w:w="440" w:type="dxa"/>
            <w:vAlign w:val="bottom"/>
          </w:tcPr>
          <w:p>
            <w:pPr>
              <w:spacing w:after="0"/>
              <w:rPr>
                <w:sz w:val="14"/>
                <w:szCs w:val="14"/>
                <w:color w:val="auto"/>
              </w:rPr>
            </w:pPr>
          </w:p>
        </w:tc>
        <w:tc>
          <w:tcPr>
            <w:tcW w:w="1000" w:type="dxa"/>
            <w:vAlign w:val="bottom"/>
          </w:tcPr>
          <w:p>
            <w:pPr>
              <w:jc w:val="right"/>
              <w:spacing w:after="0" w:line="170" w:lineRule="exact"/>
              <w:rPr>
                <w:sz w:val="20"/>
                <w:szCs w:val="20"/>
                <w:color w:val="auto"/>
              </w:rPr>
            </w:pPr>
            <w:r>
              <w:rPr>
                <w:rFonts w:ascii="Arial" w:cs="Arial" w:eastAsia="Arial" w:hAnsi="Arial"/>
                <w:sz w:val="17"/>
                <w:szCs w:val="17"/>
                <w:color w:val="auto"/>
              </w:rPr>
              <w:t>145,628</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Income (loss) from discontinued operations, net of tax</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83,177</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(28,471)</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color w:val="auto"/>
              </w:rPr>
              <w:t>Net income</w:t>
            </w: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132,187</w:t>
            </w:r>
          </w:p>
        </w:tc>
        <w:tc>
          <w:tcPr>
            <w:tcW w:w="440" w:type="dxa"/>
            <w:vAlign w:val="bottom"/>
          </w:tcPr>
          <w:p>
            <w:pPr>
              <w:spacing w:after="0"/>
              <w:rPr>
                <w:sz w:val="14"/>
                <w:szCs w:val="14"/>
                <w:color w:val="auto"/>
              </w:rPr>
            </w:pPr>
          </w:p>
        </w:tc>
        <w:tc>
          <w:tcPr>
            <w:tcW w:w="1000" w:type="dxa"/>
            <w:vAlign w:val="bottom"/>
          </w:tcPr>
          <w:p>
            <w:pPr>
              <w:jc w:val="right"/>
              <w:spacing w:after="0" w:line="170" w:lineRule="exact"/>
              <w:rPr>
                <w:sz w:val="20"/>
                <w:szCs w:val="20"/>
                <w:color w:val="auto"/>
              </w:rPr>
            </w:pPr>
            <w:r>
              <w:rPr>
                <w:rFonts w:ascii="Arial" w:cs="Arial" w:eastAsia="Arial" w:hAnsi="Arial"/>
                <w:sz w:val="17"/>
                <w:szCs w:val="17"/>
                <w:color w:val="auto"/>
              </w:rPr>
              <w:t>117,157</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Net income attributable to noncontrolling interests</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(74)</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color w:val="auto"/>
              </w:rPr>
              <w:t>Net income attributable to The Washington Post Company</w:t>
            </w: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ind w:right="119"/>
              <w:spacing w:after="0" w:line="170" w:lineRule="exact"/>
              <w:rPr>
                <w:sz w:val="20"/>
                <w:szCs w:val="20"/>
                <w:color w:val="auto"/>
              </w:rPr>
            </w:pPr>
            <w:r>
              <w:rPr>
                <w:rFonts w:ascii="Arial" w:cs="Arial" w:eastAsia="Arial" w:hAnsi="Arial"/>
                <w:sz w:val="17"/>
                <w:szCs w:val="17"/>
                <w:b w:val="1"/>
                <w:bCs w:val="1"/>
                <w:color w:val="auto"/>
              </w:rPr>
              <w:t>132,113</w:t>
            </w:r>
          </w:p>
        </w:tc>
        <w:tc>
          <w:tcPr>
            <w:tcW w:w="440" w:type="dxa"/>
            <w:vAlign w:val="bottom"/>
          </w:tcPr>
          <w:p>
            <w:pPr>
              <w:spacing w:after="0"/>
              <w:rPr>
                <w:sz w:val="14"/>
                <w:szCs w:val="14"/>
                <w:color w:val="auto"/>
              </w:rPr>
            </w:pPr>
          </w:p>
        </w:tc>
        <w:tc>
          <w:tcPr>
            <w:tcW w:w="1000" w:type="dxa"/>
            <w:vAlign w:val="bottom"/>
          </w:tcPr>
          <w:p>
            <w:pPr>
              <w:jc w:val="right"/>
              <w:spacing w:after="0" w:line="170" w:lineRule="exact"/>
              <w:rPr>
                <w:sz w:val="20"/>
                <w:szCs w:val="20"/>
                <w:color w:val="auto"/>
              </w:rPr>
            </w:pPr>
            <w:r>
              <w:rPr>
                <w:rFonts w:ascii="Arial" w:cs="Arial" w:eastAsia="Arial" w:hAnsi="Arial"/>
                <w:sz w:val="17"/>
                <w:szCs w:val="17"/>
                <w:color w:val="auto"/>
              </w:rPr>
              <w:t>117,150</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Redeemable preferred stock dividends</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(895)</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(917)</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020" w:type="dxa"/>
            <w:vAlign w:val="bottom"/>
          </w:tcPr>
          <w:p>
            <w:pPr>
              <w:ind w:left="580"/>
              <w:spacing w:after="0" w:line="170" w:lineRule="exact"/>
              <w:rPr>
                <w:sz w:val="20"/>
                <w:szCs w:val="20"/>
                <w:color w:val="auto"/>
              </w:rPr>
            </w:pPr>
            <w:r>
              <w:rPr>
                <w:rFonts w:ascii="Arial" w:cs="Arial" w:eastAsia="Arial" w:hAnsi="Arial"/>
                <w:sz w:val="17"/>
                <w:szCs w:val="17"/>
                <w:b w:val="1"/>
                <w:bCs w:val="1"/>
                <w:color w:val="auto"/>
              </w:rPr>
              <w:t>Net Income Attributable to The Washington Post Company</w:t>
            </w:r>
          </w:p>
        </w:tc>
        <w:tc>
          <w:tcPr>
            <w:tcW w:w="2240" w:type="dxa"/>
            <w:vAlign w:val="bottom"/>
            <w:gridSpan w:val="2"/>
            <w:vMerge w:val="restart"/>
          </w:tcPr>
          <w:p>
            <w:pPr>
              <w:jc w:val="right"/>
              <w:ind w:right="37"/>
              <w:spacing w:after="0"/>
              <w:rPr>
                <w:sz w:val="20"/>
                <w:szCs w:val="20"/>
                <w:color w:val="auto"/>
              </w:rPr>
            </w:pPr>
            <w:r>
              <w:rPr>
                <w:rFonts w:ascii="Arial" w:cs="Arial" w:eastAsia="Arial" w:hAnsi="Arial"/>
                <w:sz w:val="17"/>
                <w:szCs w:val="17"/>
                <w:b w:val="1"/>
                <w:bCs w:val="1"/>
                <w:color w:val="auto"/>
              </w:rPr>
              <w:t>$</w:t>
            </w:r>
          </w:p>
        </w:tc>
        <w:tc>
          <w:tcPr>
            <w:tcW w:w="118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131,218</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20" w:type="dxa"/>
            <w:vAlign w:val="bottom"/>
          </w:tcPr>
          <w:p>
            <w:pPr>
              <w:ind w:left="800"/>
              <w:spacing w:after="0"/>
              <w:rPr>
                <w:sz w:val="20"/>
                <w:szCs w:val="20"/>
                <w:color w:val="auto"/>
              </w:rPr>
            </w:pPr>
            <w:r>
              <w:rPr>
                <w:rFonts w:ascii="Arial" w:cs="Arial" w:eastAsia="Arial" w:hAnsi="Arial"/>
                <w:sz w:val="17"/>
                <w:szCs w:val="17"/>
                <w:b w:val="1"/>
                <w:bCs w:val="1"/>
                <w:color w:val="auto"/>
              </w:rPr>
              <w:t>Common Stockholders</w:t>
            </w:r>
          </w:p>
        </w:tc>
        <w:tc>
          <w:tcPr>
            <w:tcW w:w="224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44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116,233</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580"/>
              <w:spacing w:after="0"/>
              <w:rPr>
                <w:sz w:val="20"/>
                <w:szCs w:val="20"/>
                <w:color w:val="auto"/>
              </w:rPr>
            </w:pPr>
            <w:r>
              <w:rPr>
                <w:rFonts w:ascii="Arial" w:cs="Arial" w:eastAsia="Arial" w:hAnsi="Arial"/>
                <w:sz w:val="17"/>
                <w:szCs w:val="17"/>
                <w:b w:val="1"/>
                <w:bCs w:val="1"/>
                <w:color w:val="auto"/>
              </w:rPr>
              <w:t>Amounts Attributable to The Washington Post Company</w:t>
            </w:r>
          </w:p>
        </w:tc>
        <w:tc>
          <w:tcPr>
            <w:tcW w:w="18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02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20" w:type="dxa"/>
            <w:vAlign w:val="bottom"/>
          </w:tcPr>
          <w:p>
            <w:pPr>
              <w:ind w:left="860"/>
              <w:spacing w:after="0"/>
              <w:rPr>
                <w:sz w:val="20"/>
                <w:szCs w:val="20"/>
                <w:color w:val="auto"/>
              </w:rPr>
            </w:pPr>
            <w:r>
              <w:rPr>
                <w:rFonts w:ascii="Arial" w:cs="Arial" w:eastAsia="Arial" w:hAnsi="Arial"/>
                <w:sz w:val="17"/>
                <w:szCs w:val="17"/>
                <w:b w:val="1"/>
                <w:bCs w:val="1"/>
                <w:color w:val="auto"/>
              </w:rPr>
              <w:t>Common Stockholders</w:t>
            </w:r>
          </w:p>
        </w:tc>
        <w:tc>
          <w:tcPr>
            <w:tcW w:w="2240" w:type="dxa"/>
            <w:vAlign w:val="bottom"/>
            <w:gridSpan w:val="2"/>
            <w:vMerge w:val="restart"/>
          </w:tcPr>
          <w:p>
            <w:pPr>
              <w:jc w:val="right"/>
              <w:ind w:right="37"/>
              <w:spacing w:after="0"/>
              <w:rPr>
                <w:sz w:val="20"/>
                <w:szCs w:val="20"/>
                <w:color w:val="auto"/>
              </w:rPr>
            </w:pPr>
            <w:r>
              <w:rPr>
                <w:rFonts w:ascii="Arial" w:cs="Arial" w:eastAsia="Arial" w:hAnsi="Arial"/>
                <w:sz w:val="17"/>
                <w:szCs w:val="17"/>
                <w:b w:val="1"/>
                <w:bCs w:val="1"/>
                <w:color w:val="auto"/>
              </w:rPr>
              <w:t>$</w:t>
            </w:r>
          </w:p>
        </w:tc>
        <w:tc>
          <w:tcPr>
            <w:tcW w:w="118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48,041</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6020" w:type="dxa"/>
            <w:vAlign w:val="bottom"/>
          </w:tcPr>
          <w:p>
            <w:pPr>
              <w:ind w:left="580"/>
              <w:spacing w:after="0" w:line="180" w:lineRule="exact"/>
              <w:rPr>
                <w:sz w:val="20"/>
                <w:szCs w:val="20"/>
                <w:color w:val="auto"/>
              </w:rPr>
            </w:pPr>
            <w:r>
              <w:rPr>
                <w:rFonts w:ascii="Arial" w:cs="Arial" w:eastAsia="Arial" w:hAnsi="Arial"/>
                <w:sz w:val="17"/>
                <w:szCs w:val="17"/>
                <w:color w:val="auto"/>
              </w:rPr>
              <w:t>Income from continuing operations</w:t>
            </w:r>
          </w:p>
        </w:tc>
        <w:tc>
          <w:tcPr>
            <w:tcW w:w="224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440" w:type="dxa"/>
            <w:vAlign w:val="bottom"/>
          </w:tcPr>
          <w:p>
            <w:pPr>
              <w:jc w:val="right"/>
              <w:ind w:right="77"/>
              <w:spacing w:after="0" w:line="180"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80" w:lineRule="exact"/>
              <w:rPr>
                <w:sz w:val="20"/>
                <w:szCs w:val="20"/>
                <w:color w:val="auto"/>
              </w:rPr>
            </w:pPr>
            <w:r>
              <w:rPr>
                <w:rFonts w:ascii="Arial" w:cs="Arial" w:eastAsia="Arial" w:hAnsi="Arial"/>
                <w:sz w:val="17"/>
                <w:szCs w:val="17"/>
                <w:color w:val="auto"/>
              </w:rPr>
              <w:t>144,704</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Income (loss) from discontinued operations, net of tax</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83,177</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(28,471)</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020" w:type="dxa"/>
            <w:vAlign w:val="bottom"/>
          </w:tcPr>
          <w:p>
            <w:pPr>
              <w:ind w:left="580"/>
              <w:spacing w:after="0" w:line="179" w:lineRule="exact"/>
              <w:rPr>
                <w:sz w:val="20"/>
                <w:szCs w:val="20"/>
                <w:color w:val="auto"/>
              </w:rPr>
            </w:pPr>
            <w:r>
              <w:rPr>
                <w:rFonts w:ascii="Arial" w:cs="Arial" w:eastAsia="Arial" w:hAnsi="Arial"/>
                <w:sz w:val="17"/>
                <w:szCs w:val="17"/>
                <w:color w:val="auto"/>
              </w:rPr>
              <w:t>Net income</w:t>
            </w:r>
          </w:p>
        </w:tc>
        <w:tc>
          <w:tcPr>
            <w:tcW w:w="1880" w:type="dxa"/>
            <w:vAlign w:val="bottom"/>
          </w:tcPr>
          <w:p>
            <w:pPr>
              <w:spacing w:after="0"/>
              <w:rPr>
                <w:sz w:val="15"/>
                <w:szCs w:val="15"/>
                <w:color w:val="auto"/>
              </w:rPr>
            </w:pPr>
          </w:p>
        </w:tc>
        <w:tc>
          <w:tcPr>
            <w:tcW w:w="360" w:type="dxa"/>
            <w:vAlign w:val="bottom"/>
            <w:tcBorders>
              <w:bottom w:val="single" w:sz="8" w:color="auto"/>
            </w:tcBorders>
          </w:tcPr>
          <w:p>
            <w:pPr>
              <w:jc w:val="right"/>
              <w:ind w:right="37"/>
              <w:spacing w:after="0" w:line="179" w:lineRule="exact"/>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131,218</w:t>
            </w:r>
          </w:p>
        </w:tc>
        <w:tc>
          <w:tcPr>
            <w:tcW w:w="440" w:type="dxa"/>
            <w:vAlign w:val="bottom"/>
            <w:tcBorders>
              <w:bottom w:val="single" w:sz="8" w:color="auto"/>
            </w:tcBorders>
          </w:tcPr>
          <w:p>
            <w:pPr>
              <w:jc w:val="right"/>
              <w:ind w:right="77"/>
              <w:spacing w:after="0" w:line="17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116,233</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580"/>
              <w:spacing w:after="0"/>
              <w:rPr>
                <w:sz w:val="20"/>
                <w:szCs w:val="20"/>
                <w:color w:val="auto"/>
              </w:rPr>
            </w:pPr>
            <w:r>
              <w:rPr>
                <w:rFonts w:ascii="Arial" w:cs="Arial" w:eastAsia="Arial" w:hAnsi="Arial"/>
                <w:sz w:val="17"/>
                <w:szCs w:val="17"/>
                <w:b w:val="1"/>
                <w:bCs w:val="1"/>
                <w:color w:val="auto"/>
                <w:w w:val="96"/>
              </w:rPr>
              <w:t>Per Share Information Attributable to The Washington Post Company</w:t>
            </w:r>
          </w:p>
        </w:tc>
        <w:tc>
          <w:tcPr>
            <w:tcW w:w="1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02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020" w:type="dxa"/>
            <w:vAlign w:val="bottom"/>
          </w:tcPr>
          <w:p>
            <w:pPr>
              <w:ind w:left="860"/>
              <w:spacing w:after="0"/>
              <w:rPr>
                <w:sz w:val="20"/>
                <w:szCs w:val="20"/>
                <w:color w:val="auto"/>
              </w:rPr>
            </w:pPr>
            <w:r>
              <w:rPr>
                <w:rFonts w:ascii="Arial" w:cs="Arial" w:eastAsia="Arial" w:hAnsi="Arial"/>
                <w:sz w:val="17"/>
                <w:szCs w:val="17"/>
                <w:b w:val="1"/>
                <w:bCs w:val="1"/>
                <w:color w:val="auto"/>
              </w:rPr>
              <w:t>Common Stockholders</w:t>
            </w:r>
          </w:p>
        </w:tc>
        <w:tc>
          <w:tcPr>
            <w:tcW w:w="2240" w:type="dxa"/>
            <w:vAlign w:val="bottom"/>
            <w:gridSpan w:val="2"/>
            <w:vMerge w:val="restart"/>
          </w:tcPr>
          <w:p>
            <w:pPr>
              <w:jc w:val="right"/>
              <w:ind w:right="37"/>
              <w:spacing w:after="0"/>
              <w:rPr>
                <w:sz w:val="20"/>
                <w:szCs w:val="20"/>
                <w:color w:val="auto"/>
              </w:rPr>
            </w:pPr>
            <w:r>
              <w:rPr>
                <w:rFonts w:ascii="Arial" w:cs="Arial" w:eastAsia="Arial" w:hAnsi="Arial"/>
                <w:sz w:val="17"/>
                <w:szCs w:val="17"/>
                <w:b w:val="1"/>
                <w:bCs w:val="1"/>
                <w:color w:val="auto"/>
              </w:rPr>
              <w:t>$</w:t>
            </w:r>
          </w:p>
        </w:tc>
        <w:tc>
          <w:tcPr>
            <w:tcW w:w="118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6.09</w:t>
            </w: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6020" w:type="dxa"/>
            <w:vAlign w:val="bottom"/>
          </w:tcPr>
          <w:p>
            <w:pPr>
              <w:ind w:left="580"/>
              <w:spacing w:after="0" w:line="180" w:lineRule="exact"/>
              <w:rPr>
                <w:sz w:val="20"/>
                <w:szCs w:val="20"/>
                <w:color w:val="auto"/>
              </w:rPr>
            </w:pPr>
            <w:r>
              <w:rPr>
                <w:rFonts w:ascii="Arial" w:cs="Arial" w:eastAsia="Arial" w:hAnsi="Arial"/>
                <w:sz w:val="17"/>
                <w:szCs w:val="17"/>
                <w:color w:val="auto"/>
              </w:rPr>
              <w:t>Basic income per common share from continuing operations</w:t>
            </w:r>
          </w:p>
        </w:tc>
        <w:tc>
          <w:tcPr>
            <w:tcW w:w="2240" w:type="dxa"/>
            <w:vAlign w:val="bottom"/>
            <w:gridSpan w:val="2"/>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440" w:type="dxa"/>
            <w:vAlign w:val="bottom"/>
          </w:tcPr>
          <w:p>
            <w:pPr>
              <w:jc w:val="right"/>
              <w:ind w:right="77"/>
              <w:spacing w:after="0" w:line="180" w:lineRule="exact"/>
              <w:rPr>
                <w:sz w:val="20"/>
                <w:szCs w:val="20"/>
                <w:color w:val="auto"/>
              </w:rPr>
            </w:pPr>
            <w:r>
              <w:rPr>
                <w:rFonts w:ascii="Arial" w:cs="Arial" w:eastAsia="Arial" w:hAnsi="Arial"/>
                <w:sz w:val="17"/>
                <w:szCs w:val="17"/>
                <w:color w:val="auto"/>
              </w:rPr>
              <w:t>$</w:t>
            </w:r>
          </w:p>
        </w:tc>
        <w:tc>
          <w:tcPr>
            <w:tcW w:w="1000" w:type="dxa"/>
            <w:vAlign w:val="bottom"/>
          </w:tcPr>
          <w:p>
            <w:pPr>
              <w:jc w:val="right"/>
              <w:spacing w:after="0" w:line="180" w:lineRule="exact"/>
              <w:rPr>
                <w:sz w:val="20"/>
                <w:szCs w:val="20"/>
                <w:color w:val="auto"/>
              </w:rPr>
            </w:pPr>
            <w:r>
              <w:rPr>
                <w:rFonts w:ascii="Arial" w:cs="Arial" w:eastAsia="Arial" w:hAnsi="Arial"/>
                <w:sz w:val="17"/>
                <w:szCs w:val="17"/>
                <w:color w:val="auto"/>
              </w:rPr>
              <w:t>18.30</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Basic income (loss) per common share from discontinued operations</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11.30</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020" w:type="dxa"/>
            <w:vAlign w:val="bottom"/>
          </w:tcPr>
          <w:p>
            <w:pPr>
              <w:ind w:left="580"/>
              <w:spacing w:after="0" w:line="179" w:lineRule="exact"/>
              <w:rPr>
                <w:sz w:val="20"/>
                <w:szCs w:val="20"/>
                <w:color w:val="auto"/>
              </w:rPr>
            </w:pPr>
            <w:r>
              <w:rPr>
                <w:rFonts w:ascii="Arial" w:cs="Arial" w:eastAsia="Arial" w:hAnsi="Arial"/>
                <w:sz w:val="17"/>
                <w:szCs w:val="17"/>
                <w:color w:val="auto"/>
              </w:rPr>
              <w:t>Basic net income per common share</w:t>
            </w:r>
          </w:p>
        </w:tc>
        <w:tc>
          <w:tcPr>
            <w:tcW w:w="1880" w:type="dxa"/>
            <w:vAlign w:val="bottom"/>
          </w:tcPr>
          <w:p>
            <w:pPr>
              <w:spacing w:after="0"/>
              <w:rPr>
                <w:sz w:val="15"/>
                <w:szCs w:val="15"/>
                <w:color w:val="auto"/>
              </w:rPr>
            </w:pPr>
          </w:p>
        </w:tc>
        <w:tc>
          <w:tcPr>
            <w:tcW w:w="360" w:type="dxa"/>
            <w:vAlign w:val="bottom"/>
            <w:tcBorders>
              <w:bottom w:val="single" w:sz="8" w:color="auto"/>
            </w:tcBorders>
          </w:tcPr>
          <w:p>
            <w:pPr>
              <w:jc w:val="right"/>
              <w:ind w:right="37"/>
              <w:spacing w:after="0" w:line="179" w:lineRule="exact"/>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17.39</w:t>
            </w:r>
          </w:p>
        </w:tc>
        <w:tc>
          <w:tcPr>
            <w:tcW w:w="440" w:type="dxa"/>
            <w:vAlign w:val="bottom"/>
            <w:tcBorders>
              <w:bottom w:val="single" w:sz="8" w:color="auto"/>
            </w:tcBorders>
          </w:tcPr>
          <w:p>
            <w:pPr>
              <w:jc w:val="right"/>
              <w:ind w:right="77"/>
              <w:spacing w:after="0" w:line="17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14.70</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20" w:type="dxa"/>
            <w:vAlign w:val="bottom"/>
          </w:tcPr>
          <w:p>
            <w:pPr>
              <w:ind w:left="580"/>
              <w:spacing w:after="0" w:line="163" w:lineRule="exact"/>
              <w:rPr>
                <w:sz w:val="20"/>
                <w:szCs w:val="20"/>
                <w:color w:val="auto"/>
              </w:rPr>
            </w:pPr>
            <w:r>
              <w:rPr>
                <w:rFonts w:ascii="Arial" w:cs="Arial" w:eastAsia="Arial" w:hAnsi="Arial"/>
                <w:sz w:val="17"/>
                <w:szCs w:val="17"/>
                <w:color w:val="auto"/>
              </w:rPr>
              <w:t>Basic average number of common shares outstanding</w:t>
            </w:r>
          </w:p>
        </w:tc>
        <w:tc>
          <w:tcPr>
            <w:tcW w:w="18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19"/>
              <w:spacing w:after="0" w:line="163" w:lineRule="exact"/>
              <w:rPr>
                <w:sz w:val="20"/>
                <w:szCs w:val="20"/>
                <w:color w:val="auto"/>
              </w:rPr>
            </w:pPr>
            <w:r>
              <w:rPr>
                <w:rFonts w:ascii="Arial" w:cs="Arial" w:eastAsia="Arial" w:hAnsi="Arial"/>
                <w:sz w:val="17"/>
                <w:szCs w:val="17"/>
                <w:b w:val="1"/>
                <w:bCs w:val="1"/>
                <w:color w:val="auto"/>
              </w:rPr>
              <w:t>7,360</w:t>
            </w: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7,826</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6020" w:type="dxa"/>
            <w:vAlign w:val="bottom"/>
          </w:tcPr>
          <w:p>
            <w:pPr>
              <w:ind w:left="580"/>
              <w:spacing w:after="0"/>
              <w:rPr>
                <w:sz w:val="20"/>
                <w:szCs w:val="20"/>
                <w:color w:val="auto"/>
              </w:rPr>
            </w:pPr>
            <w:r>
              <w:rPr>
                <w:rFonts w:ascii="Arial" w:cs="Arial" w:eastAsia="Arial" w:hAnsi="Arial"/>
                <w:sz w:val="17"/>
                <w:szCs w:val="17"/>
                <w:color w:val="auto"/>
              </w:rPr>
              <w:t>Diluted income per common share from continuing operations</w:t>
            </w:r>
          </w:p>
        </w:tc>
        <w:tc>
          <w:tcPr>
            <w:tcW w:w="2240" w:type="dxa"/>
            <w:vAlign w:val="bottom"/>
            <w:gridSpan w:val="2"/>
          </w:tcPr>
          <w:p>
            <w:pPr>
              <w:jc w:val="right"/>
              <w:ind w:right="37"/>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119"/>
              <w:spacing w:after="0"/>
              <w:rPr>
                <w:sz w:val="20"/>
                <w:szCs w:val="20"/>
                <w:color w:val="auto"/>
              </w:rPr>
            </w:pPr>
            <w:r>
              <w:rPr>
                <w:rFonts w:ascii="Arial" w:cs="Arial" w:eastAsia="Arial" w:hAnsi="Arial"/>
                <w:sz w:val="17"/>
                <w:szCs w:val="17"/>
                <w:b w:val="1"/>
                <w:bCs w:val="1"/>
                <w:color w:val="auto"/>
              </w:rPr>
              <w:t>6.09</w:t>
            </w:r>
          </w:p>
        </w:tc>
        <w:tc>
          <w:tcPr>
            <w:tcW w:w="440" w:type="dxa"/>
            <w:vAlign w:val="bottom"/>
          </w:tcPr>
          <w:p>
            <w:pPr>
              <w:jc w:val="right"/>
              <w:ind w:right="77"/>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18.30</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580"/>
              <w:spacing w:after="0"/>
              <w:rPr>
                <w:sz w:val="20"/>
                <w:szCs w:val="20"/>
                <w:color w:val="auto"/>
              </w:rPr>
            </w:pPr>
            <w:r>
              <w:rPr>
                <w:rFonts w:ascii="Arial" w:cs="Arial" w:eastAsia="Arial" w:hAnsi="Arial"/>
                <w:sz w:val="17"/>
                <w:szCs w:val="17"/>
                <w:color w:val="auto"/>
              </w:rPr>
              <w:t>Diluted income (loss) per common share from discontinued operations</w:t>
            </w:r>
          </w:p>
        </w:tc>
        <w:tc>
          <w:tcPr>
            <w:tcW w:w="18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11.30</w:t>
            </w: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020" w:type="dxa"/>
            <w:vAlign w:val="bottom"/>
          </w:tcPr>
          <w:p>
            <w:pPr>
              <w:ind w:left="580"/>
              <w:spacing w:after="0" w:line="179" w:lineRule="exact"/>
              <w:rPr>
                <w:sz w:val="20"/>
                <w:szCs w:val="20"/>
                <w:color w:val="auto"/>
              </w:rPr>
            </w:pPr>
            <w:r>
              <w:rPr>
                <w:rFonts w:ascii="Arial" w:cs="Arial" w:eastAsia="Arial" w:hAnsi="Arial"/>
                <w:sz w:val="17"/>
                <w:szCs w:val="17"/>
                <w:color w:val="auto"/>
              </w:rPr>
              <w:t>Diluted net income per common share</w:t>
            </w:r>
          </w:p>
        </w:tc>
        <w:tc>
          <w:tcPr>
            <w:tcW w:w="1880" w:type="dxa"/>
            <w:vAlign w:val="bottom"/>
          </w:tcPr>
          <w:p>
            <w:pPr>
              <w:spacing w:after="0"/>
              <w:rPr>
                <w:sz w:val="15"/>
                <w:szCs w:val="15"/>
                <w:color w:val="auto"/>
              </w:rPr>
            </w:pPr>
          </w:p>
        </w:tc>
        <w:tc>
          <w:tcPr>
            <w:tcW w:w="360" w:type="dxa"/>
            <w:vAlign w:val="bottom"/>
            <w:tcBorders>
              <w:bottom w:val="single" w:sz="8" w:color="auto"/>
            </w:tcBorders>
          </w:tcPr>
          <w:p>
            <w:pPr>
              <w:jc w:val="right"/>
              <w:ind w:right="37"/>
              <w:spacing w:after="0" w:line="179" w:lineRule="exact"/>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17.39</w:t>
            </w:r>
          </w:p>
        </w:tc>
        <w:tc>
          <w:tcPr>
            <w:tcW w:w="440" w:type="dxa"/>
            <w:vAlign w:val="bottom"/>
            <w:tcBorders>
              <w:bottom w:val="single" w:sz="8" w:color="auto"/>
            </w:tcBorders>
          </w:tcPr>
          <w:p>
            <w:pPr>
              <w:jc w:val="right"/>
              <w:ind w:right="77"/>
              <w:spacing w:after="0" w:line="179"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14.70</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20" w:type="dxa"/>
            <w:vAlign w:val="bottom"/>
          </w:tcPr>
          <w:p>
            <w:pPr>
              <w:ind w:left="580"/>
              <w:spacing w:after="0" w:line="163" w:lineRule="exact"/>
              <w:rPr>
                <w:sz w:val="20"/>
                <w:szCs w:val="20"/>
                <w:color w:val="auto"/>
              </w:rPr>
            </w:pPr>
            <w:r>
              <w:rPr>
                <w:rFonts w:ascii="Arial" w:cs="Arial" w:eastAsia="Arial" w:hAnsi="Arial"/>
                <w:sz w:val="17"/>
                <w:szCs w:val="17"/>
                <w:color w:val="auto"/>
              </w:rPr>
              <w:t>Diluted average number of common shares outstanding</w:t>
            </w:r>
          </w:p>
        </w:tc>
        <w:tc>
          <w:tcPr>
            <w:tcW w:w="18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19"/>
              <w:spacing w:after="0" w:line="163" w:lineRule="exact"/>
              <w:rPr>
                <w:sz w:val="20"/>
                <w:szCs w:val="20"/>
                <w:color w:val="auto"/>
              </w:rPr>
            </w:pPr>
            <w:r>
              <w:rPr>
                <w:rFonts w:ascii="Arial" w:cs="Arial" w:eastAsia="Arial" w:hAnsi="Arial"/>
                <w:sz w:val="17"/>
                <w:szCs w:val="17"/>
                <w:b w:val="1"/>
                <w:bCs w:val="1"/>
                <w:color w:val="auto"/>
              </w:rPr>
              <w:t>7,404</w:t>
            </w:r>
          </w:p>
        </w:tc>
        <w:tc>
          <w:tcPr>
            <w:tcW w:w="4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7,905</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20" w:type="dxa"/>
            <w:vAlign w:val="bottom"/>
          </w:tcPr>
          <w:p>
            <w:pPr>
              <w:spacing w:after="0"/>
              <w:rPr>
                <w:sz w:val="15"/>
                <w:szCs w:val="15"/>
                <w:color w:val="auto"/>
              </w:rPr>
            </w:pPr>
          </w:p>
        </w:tc>
        <w:tc>
          <w:tcPr>
            <w:tcW w:w="1880" w:type="dxa"/>
            <w:vAlign w:val="bottom"/>
          </w:tcPr>
          <w:p>
            <w:pPr>
              <w:jc w:val="center"/>
              <w:ind w:right="1277"/>
              <w:spacing w:after="0" w:line="174" w:lineRule="exact"/>
              <w:rPr>
                <w:sz w:val="20"/>
                <w:szCs w:val="20"/>
                <w:color w:val="auto"/>
              </w:rPr>
            </w:pPr>
            <w:r>
              <w:rPr>
                <w:rFonts w:ascii="Arial" w:cs="Arial" w:eastAsia="Arial" w:hAnsi="Arial"/>
                <w:sz w:val="17"/>
                <w:szCs w:val="17"/>
                <w:color w:val="auto"/>
                <w:w w:val="95"/>
              </w:rPr>
              <w:t>-more-</w:t>
            </w: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2"/>
        </w:trPr>
        <w:tc>
          <w:tcPr>
            <w:tcW w:w="6020" w:type="dxa"/>
            <w:vAlign w:val="bottom"/>
          </w:tcPr>
          <w:p>
            <w:pPr>
              <w:spacing w:after="0"/>
              <w:rPr>
                <w:sz w:val="24"/>
                <w:szCs w:val="24"/>
                <w:color w:val="auto"/>
              </w:rPr>
            </w:pPr>
          </w:p>
        </w:tc>
        <w:tc>
          <w:tcPr>
            <w:tcW w:w="1880" w:type="dxa"/>
            <w:vAlign w:val="bottom"/>
          </w:tcPr>
          <w:p>
            <w:pPr>
              <w:jc w:val="right"/>
              <w:ind w:right="1477"/>
              <w:spacing w:after="0"/>
              <w:rPr>
                <w:sz w:val="20"/>
                <w:szCs w:val="20"/>
                <w:color w:val="auto"/>
              </w:rPr>
            </w:pPr>
            <w:r>
              <w:rPr>
                <w:rFonts w:ascii="Arial" w:cs="Arial" w:eastAsia="Arial" w:hAnsi="Arial"/>
                <w:sz w:val="17"/>
                <w:szCs w:val="17"/>
                <w:color w:val="auto"/>
              </w:rPr>
              <w:t>9</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2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520"/>
          </w:cols>
          <w:pgMar w:left="240" w:top="862" w:right="139" w:bottom="1440" w:gutter="0" w:footer="0" w:header="0"/>
        </w:sectPr>
      </w:pPr>
    </w:p>
    <w:bookmarkStart w:id="14" w:name="page15"/>
    <w:bookmarkEnd w:id="14"/>
    <w:p>
      <w:pPr>
        <w:jc w:val="center"/>
        <w:ind w:left="1100"/>
        <w:spacing w:after="0"/>
        <w:rPr>
          <w:sz w:val="20"/>
          <w:szCs w:val="20"/>
          <w:color w:val="auto"/>
        </w:rPr>
      </w:pPr>
      <w:r>
        <w:rPr>
          <w:rFonts w:ascii="Arial" w:cs="Arial" w:eastAsia="Arial" w:hAnsi="Arial"/>
          <w:sz w:val="16"/>
          <w:szCs w:val="16"/>
          <w:color w:val="auto"/>
        </w:rPr>
        <w:t>THE WASHINGTON POST COMPANY</w:t>
      </w:r>
    </w:p>
    <w:p>
      <w:pPr>
        <w:spacing w:after="0" w:line="39" w:lineRule="exact"/>
        <w:rPr>
          <w:sz w:val="20"/>
          <w:szCs w:val="20"/>
          <w:color w:val="auto"/>
        </w:rPr>
      </w:pPr>
    </w:p>
    <w:p>
      <w:pPr>
        <w:jc w:val="center"/>
        <w:ind w:left="1100"/>
        <w:spacing w:after="0"/>
        <w:rPr>
          <w:sz w:val="20"/>
          <w:szCs w:val="20"/>
          <w:color w:val="auto"/>
        </w:rPr>
      </w:pPr>
      <w:r>
        <w:rPr>
          <w:rFonts w:ascii="Arial" w:cs="Arial" w:eastAsia="Arial" w:hAnsi="Arial"/>
          <w:sz w:val="16"/>
          <w:szCs w:val="16"/>
          <w:u w:val="single" w:color="auto"/>
          <w:color w:val="auto"/>
        </w:rPr>
        <w:t>BUSINESS SEGMENT INFORMATION</w:t>
      </w:r>
    </w:p>
    <w:p>
      <w:pPr>
        <w:spacing w:after="0" w:line="39" w:lineRule="exact"/>
        <w:rPr>
          <w:sz w:val="20"/>
          <w:szCs w:val="20"/>
          <w:color w:val="auto"/>
        </w:rPr>
      </w:pPr>
    </w:p>
    <w:p>
      <w:pPr>
        <w:jc w:val="center"/>
        <w:ind w:left="1100"/>
        <w:spacing w:after="0"/>
        <w:rPr>
          <w:sz w:val="20"/>
          <w:szCs w:val="20"/>
          <w:color w:val="auto"/>
        </w:rPr>
      </w:pPr>
      <w:r>
        <w:rPr>
          <w:rFonts w:ascii="Arial" w:cs="Arial" w:eastAsia="Arial" w:hAnsi="Arial"/>
          <w:sz w:val="16"/>
          <w:szCs w:val="16"/>
          <w:color w:val="auto"/>
        </w:rPr>
        <w:t>(Unaudited)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60" w:type="dxa"/>
            <w:vAlign w:val="bottom"/>
            <w:gridSpan w:val="3"/>
          </w:tcPr>
          <w:p>
            <w:pPr>
              <w:jc w:val="right"/>
              <w:ind w:right="702"/>
              <w:spacing w:after="0"/>
              <w:rPr>
                <w:sz w:val="20"/>
                <w:szCs w:val="20"/>
                <w:color w:val="auto"/>
              </w:rPr>
            </w:pPr>
            <w:r>
              <w:rPr>
                <w:rFonts w:ascii="Arial" w:cs="Arial" w:eastAsia="Arial" w:hAnsi="Arial"/>
                <w:sz w:val="12"/>
                <w:szCs w:val="12"/>
                <w:b w:val="1"/>
                <w:bCs w:val="1"/>
                <w:color w:val="auto"/>
              </w:rPr>
              <w:t>Three Months Ended</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80" w:type="dxa"/>
            <w:vAlign w:val="bottom"/>
            <w:gridSpan w:val="3"/>
          </w:tcPr>
          <w:p>
            <w:pPr>
              <w:jc w:val="right"/>
              <w:ind w:right="742"/>
              <w:spacing w:after="0"/>
              <w:rPr>
                <w:sz w:val="20"/>
                <w:szCs w:val="20"/>
                <w:color w:val="auto"/>
              </w:rPr>
            </w:pPr>
            <w:r>
              <w:rPr>
                <w:rFonts w:ascii="Arial" w:cs="Arial" w:eastAsia="Arial" w:hAnsi="Arial"/>
                <w:sz w:val="12"/>
                <w:szCs w:val="12"/>
                <w:b w:val="1"/>
                <w:bCs w:val="1"/>
                <w:color w:val="auto"/>
              </w:rPr>
              <w:t>Twelve Months Ended</w:t>
            </w:r>
          </w:p>
        </w:tc>
        <w:tc>
          <w:tcPr>
            <w:tcW w:w="260" w:type="dxa"/>
            <w:vAlign w:val="bottom"/>
          </w:tcPr>
          <w:p>
            <w:pPr>
              <w:spacing w:after="0"/>
              <w:rPr>
                <w:sz w:val="14"/>
                <w:szCs w:val="14"/>
                <w:color w:val="auto"/>
              </w:rPr>
            </w:pPr>
          </w:p>
        </w:tc>
      </w:tr>
      <w:tr>
        <w:trPr>
          <w:trHeight w:val="212"/>
        </w:trPr>
        <w:tc>
          <w:tcPr>
            <w:tcW w:w="4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2"/>
                <w:szCs w:val="12"/>
                <w:b w:val="1"/>
                <w:bCs w:val="1"/>
                <w:color w:val="auto"/>
              </w:rPr>
              <w:t>December 31,</w:t>
            </w:r>
          </w:p>
        </w:tc>
        <w:tc>
          <w:tcPr>
            <w:tcW w:w="920" w:type="dxa"/>
            <w:vAlign w:val="bottom"/>
            <w:tcBorders>
              <w:bottom w:val="single" w:sz="8" w:color="auto"/>
            </w:tcBorders>
          </w:tcPr>
          <w:p>
            <w:pPr>
              <w:spacing w:after="0"/>
              <w:rPr>
                <w:sz w:val="18"/>
                <w:szCs w:val="18"/>
                <w:color w:val="auto"/>
              </w:rPr>
            </w:pPr>
          </w:p>
        </w:tc>
        <w:tc>
          <w:tcPr>
            <w:tcW w:w="680" w:type="dxa"/>
            <w:vAlign w:val="bottom"/>
          </w:tcPr>
          <w:p>
            <w:pPr>
              <w:jc w:val="right"/>
              <w:ind w:right="202"/>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2"/>
                <w:szCs w:val="12"/>
                <w:b w:val="1"/>
                <w:bCs w:val="1"/>
                <w:color w:val="auto"/>
              </w:rPr>
              <w:t>December 31,</w:t>
            </w:r>
          </w:p>
        </w:tc>
        <w:tc>
          <w:tcPr>
            <w:tcW w:w="9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203"/>
        </w:trPr>
        <w:tc>
          <w:tcPr>
            <w:tcW w:w="42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22"/>
              <w:spacing w:after="0"/>
              <w:rPr>
                <w:sz w:val="20"/>
                <w:szCs w:val="20"/>
                <w:color w:val="auto"/>
              </w:rPr>
            </w:pPr>
            <w:r>
              <w:rPr>
                <w:rFonts w:ascii="Arial" w:cs="Arial" w:eastAsia="Arial" w:hAnsi="Arial"/>
                <w:sz w:val="12"/>
                <w:szCs w:val="12"/>
                <w:b w:val="1"/>
                <w:bCs w:val="1"/>
                <w:color w:val="auto"/>
              </w:rPr>
              <w:t>2012</w:t>
            </w: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2"/>
              <w:spacing w:after="0"/>
              <w:rPr>
                <w:sz w:val="20"/>
                <w:szCs w:val="20"/>
                <w:color w:val="auto"/>
              </w:rPr>
            </w:pPr>
            <w:r>
              <w:rPr>
                <w:rFonts w:ascii="Arial" w:cs="Arial" w:eastAsia="Arial" w:hAnsi="Arial"/>
                <w:sz w:val="12"/>
                <w:szCs w:val="12"/>
                <w:color w:val="auto"/>
              </w:rPr>
              <w:t>2011</w:t>
            </w: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Change</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42"/>
              <w:spacing w:after="0"/>
              <w:rPr>
                <w:sz w:val="20"/>
                <w:szCs w:val="20"/>
                <w:color w:val="auto"/>
              </w:rPr>
            </w:pPr>
            <w:r>
              <w:rPr>
                <w:rFonts w:ascii="Arial" w:cs="Arial" w:eastAsia="Arial" w:hAnsi="Arial"/>
                <w:sz w:val="12"/>
                <w:szCs w:val="12"/>
                <w:b w:val="1"/>
                <w:bCs w:val="1"/>
                <w:color w:val="auto"/>
              </w:rPr>
              <w:t>2012</w:t>
            </w: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22"/>
              <w:spacing w:after="0"/>
              <w:rPr>
                <w:sz w:val="20"/>
                <w:szCs w:val="20"/>
                <w:color w:val="auto"/>
              </w:rPr>
            </w:pPr>
            <w:r>
              <w:rPr>
                <w:rFonts w:ascii="Arial" w:cs="Arial" w:eastAsia="Arial" w:hAnsi="Arial"/>
                <w:sz w:val="12"/>
                <w:szCs w:val="12"/>
                <w:color w:val="auto"/>
              </w:rPr>
              <w:t>2011</w:t>
            </w:r>
          </w:p>
        </w:tc>
        <w:tc>
          <w:tcPr>
            <w:tcW w:w="260" w:type="dxa"/>
            <w:vAlign w:val="bottom"/>
            <w:tcBorders>
              <w:bottom w:val="single" w:sz="8" w:color="auto"/>
            </w:tcBorders>
          </w:tcPr>
          <w:p>
            <w:pPr>
              <w:ind w:left="120"/>
              <w:spacing w:after="0"/>
              <w:rPr>
                <w:sz w:val="20"/>
                <w:szCs w:val="20"/>
                <w:color w:val="auto"/>
              </w:rPr>
            </w:pPr>
            <w:r>
              <w:rPr>
                <w:rFonts w:ascii="Arial" w:cs="Arial" w:eastAsia="Arial" w:hAnsi="Arial"/>
                <w:sz w:val="12"/>
                <w:szCs w:val="12"/>
                <w:color w:val="auto"/>
                <w:w w:val="77"/>
              </w:rPr>
              <w:t>Ch</w:t>
            </w:r>
          </w:p>
        </w:tc>
      </w:tr>
      <w:tr>
        <w:trPr>
          <w:trHeight w:val="212"/>
        </w:trPr>
        <w:tc>
          <w:tcPr>
            <w:tcW w:w="4260" w:type="dxa"/>
            <w:vAlign w:val="bottom"/>
          </w:tcPr>
          <w:p>
            <w:pPr>
              <w:spacing w:after="0"/>
              <w:rPr>
                <w:sz w:val="20"/>
                <w:szCs w:val="20"/>
                <w:color w:val="auto"/>
              </w:rPr>
            </w:pPr>
            <w:r>
              <w:rPr>
                <w:rFonts w:ascii="Arial" w:cs="Arial" w:eastAsia="Arial" w:hAnsi="Arial"/>
                <w:sz w:val="16"/>
                <w:szCs w:val="16"/>
                <w:b w:val="1"/>
                <w:bCs w:val="1"/>
                <w:color w:val="auto"/>
              </w:rPr>
              <w:t>Operating Revenues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4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544,429</w:t>
            </w:r>
          </w:p>
        </w:tc>
        <w:tc>
          <w:tcPr>
            <w:tcW w:w="48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580,763</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36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2,196,496</w:t>
            </w:r>
          </w:p>
        </w:tc>
        <w:tc>
          <w:tcPr>
            <w:tcW w:w="50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2,404,459</w:t>
            </w:r>
          </w:p>
        </w:tc>
        <w:tc>
          <w:tcPr>
            <w:tcW w:w="260" w:type="dxa"/>
            <w:vAlign w:val="bottom"/>
          </w:tcPr>
          <w:p>
            <w:pPr>
              <w:spacing w:after="0"/>
              <w:rPr>
                <w:sz w:val="19"/>
                <w:szCs w:val="19"/>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Cable television</w:t>
            </w:r>
          </w:p>
        </w:tc>
        <w:tc>
          <w:tcPr>
            <w:tcW w:w="34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201,703</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190,818</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787,117</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760,221</w:t>
            </w:r>
          </w:p>
        </w:tc>
        <w:tc>
          <w:tcPr>
            <w:tcW w:w="260" w:type="dxa"/>
            <w:vAlign w:val="bottom"/>
          </w:tcPr>
          <w:p>
            <w:pPr>
              <w:spacing w:after="0"/>
              <w:rPr>
                <w:sz w:val="19"/>
                <w:szCs w:val="19"/>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Newspaper publishing</w:t>
            </w:r>
          </w:p>
        </w:tc>
        <w:tc>
          <w:tcPr>
            <w:tcW w:w="34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162,136</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172,121</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581,686</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622,532</w:t>
            </w:r>
          </w:p>
        </w:tc>
        <w:tc>
          <w:tcPr>
            <w:tcW w:w="260" w:type="dxa"/>
            <w:vAlign w:val="bottom"/>
          </w:tcPr>
          <w:p>
            <w:pPr>
              <w:spacing w:after="0"/>
              <w:rPr>
                <w:sz w:val="19"/>
                <w:szCs w:val="19"/>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4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116,192</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88,253</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32</w:t>
            </w:r>
          </w:p>
        </w:tc>
        <w:tc>
          <w:tcPr>
            <w:tcW w:w="3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399,691</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319,206</w:t>
            </w:r>
          </w:p>
        </w:tc>
        <w:tc>
          <w:tcPr>
            <w:tcW w:w="260" w:type="dxa"/>
            <w:vAlign w:val="bottom"/>
          </w:tcPr>
          <w:p>
            <w:pPr>
              <w:spacing w:after="0"/>
              <w:rPr>
                <w:sz w:val="19"/>
                <w:szCs w:val="19"/>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4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25,761</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8,890</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53,540</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25,507</w:t>
            </w:r>
          </w:p>
        </w:tc>
        <w:tc>
          <w:tcPr>
            <w:tcW w:w="260" w:type="dxa"/>
            <w:vAlign w:val="bottom"/>
          </w:tcPr>
          <w:p>
            <w:pPr>
              <w:spacing w:after="0"/>
              <w:rPr>
                <w:sz w:val="19"/>
                <w:szCs w:val="19"/>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4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r>
      <w:tr>
        <w:trPr>
          <w:trHeight w:val="215"/>
        </w:trPr>
        <w:tc>
          <w:tcPr>
            <w:tcW w:w="42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(125)</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(877)</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w:t>
            </w:r>
          </w:p>
        </w:tc>
        <w:tc>
          <w:tcPr>
            <w:tcW w:w="260" w:type="dxa"/>
            <w:vAlign w:val="bottom"/>
          </w:tcPr>
          <w:p>
            <w:pPr>
              <w:spacing w:after="0"/>
              <w:rPr>
                <w:sz w:val="18"/>
                <w:szCs w:val="18"/>
                <w:color w:val="auto"/>
              </w:rPr>
            </w:pPr>
          </w:p>
        </w:tc>
      </w:tr>
      <w:tr>
        <w:trPr>
          <w:trHeight w:val="203"/>
        </w:trPr>
        <w:tc>
          <w:tcPr>
            <w:tcW w:w="4260" w:type="dxa"/>
            <w:vAlign w:val="bottom"/>
          </w:tcPr>
          <w:p>
            <w:pPr>
              <w:spacing w:after="0"/>
              <w:rPr>
                <w:sz w:val="17"/>
                <w:szCs w:val="17"/>
                <w:color w:val="auto"/>
              </w:rPr>
            </w:pP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1,050,096</w:t>
            </w:r>
          </w:p>
        </w:tc>
        <w:tc>
          <w:tcPr>
            <w:tcW w:w="4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1,040,421</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4,017,653</w:t>
            </w:r>
          </w:p>
        </w:tc>
        <w:tc>
          <w:tcPr>
            <w:tcW w:w="5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4,131,145</w:t>
            </w:r>
          </w:p>
        </w:tc>
        <w:tc>
          <w:tcPr>
            <w:tcW w:w="260" w:type="dxa"/>
            <w:vAlign w:val="bottom"/>
          </w:tcPr>
          <w:p>
            <w:pPr>
              <w:spacing w:after="0"/>
              <w:rPr>
                <w:sz w:val="17"/>
                <w:szCs w:val="17"/>
                <w:color w:val="auto"/>
              </w:rPr>
            </w:pPr>
          </w:p>
        </w:tc>
      </w:tr>
      <w:tr>
        <w:trPr>
          <w:trHeight w:val="212"/>
        </w:trPr>
        <w:tc>
          <w:tcPr>
            <w:tcW w:w="426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4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656,303</w:t>
            </w:r>
          </w:p>
        </w:tc>
        <w:tc>
          <w:tcPr>
            <w:tcW w:w="48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549,870</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19</w:t>
            </w:r>
          </w:p>
        </w:tc>
        <w:tc>
          <w:tcPr>
            <w:tcW w:w="36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2,301,864</w:t>
            </w:r>
          </w:p>
        </w:tc>
        <w:tc>
          <w:tcPr>
            <w:tcW w:w="50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2,308,173</w:t>
            </w:r>
          </w:p>
        </w:tc>
        <w:tc>
          <w:tcPr>
            <w:tcW w:w="260" w:type="dxa"/>
            <w:vAlign w:val="bottom"/>
          </w:tcPr>
          <w:p>
            <w:pPr>
              <w:spacing w:after="0"/>
              <w:rPr>
                <w:sz w:val="19"/>
                <w:szCs w:val="19"/>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Cable television</w:t>
            </w:r>
          </w:p>
        </w:tc>
        <w:tc>
          <w:tcPr>
            <w:tcW w:w="34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158,258</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148,901</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6</w:t>
            </w:r>
          </w:p>
        </w:tc>
        <w:tc>
          <w:tcPr>
            <w:tcW w:w="3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632,536</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603,377</w:t>
            </w:r>
          </w:p>
        </w:tc>
        <w:tc>
          <w:tcPr>
            <w:tcW w:w="260" w:type="dxa"/>
            <w:vAlign w:val="bottom"/>
          </w:tcPr>
          <w:p>
            <w:pPr>
              <w:spacing w:after="0"/>
              <w:rPr>
                <w:sz w:val="19"/>
                <w:szCs w:val="19"/>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Newspaper publishing</w:t>
            </w:r>
          </w:p>
        </w:tc>
        <w:tc>
          <w:tcPr>
            <w:tcW w:w="34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159,503</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165,328</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635,388</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643,736</w:t>
            </w:r>
          </w:p>
        </w:tc>
        <w:tc>
          <w:tcPr>
            <w:tcW w:w="260" w:type="dxa"/>
            <w:vAlign w:val="bottom"/>
          </w:tcPr>
          <w:p>
            <w:pPr>
              <w:spacing w:after="0"/>
              <w:rPr>
                <w:sz w:val="19"/>
                <w:szCs w:val="19"/>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4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53,359</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47,399</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3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208,049</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202,117</w:t>
            </w:r>
          </w:p>
        </w:tc>
        <w:tc>
          <w:tcPr>
            <w:tcW w:w="260" w:type="dxa"/>
            <w:vAlign w:val="bottom"/>
          </w:tcPr>
          <w:p>
            <w:pPr>
              <w:spacing w:after="0"/>
              <w:rPr>
                <w:sz w:val="19"/>
                <w:szCs w:val="19"/>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4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32,339</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11,954</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76,784</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34,242</w:t>
            </w:r>
          </w:p>
        </w:tc>
        <w:tc>
          <w:tcPr>
            <w:tcW w:w="260" w:type="dxa"/>
            <w:vAlign w:val="bottom"/>
          </w:tcPr>
          <w:p>
            <w:pPr>
              <w:spacing w:after="0"/>
              <w:rPr>
                <w:sz w:val="19"/>
                <w:szCs w:val="19"/>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4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4,884</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8,130</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(40)</w:t>
            </w:r>
          </w:p>
        </w:tc>
        <w:tc>
          <w:tcPr>
            <w:tcW w:w="3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19,378</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14,422</w:t>
            </w:r>
          </w:p>
        </w:tc>
        <w:tc>
          <w:tcPr>
            <w:tcW w:w="260" w:type="dxa"/>
            <w:vAlign w:val="bottom"/>
          </w:tcPr>
          <w:p>
            <w:pPr>
              <w:spacing w:after="0"/>
              <w:rPr>
                <w:sz w:val="19"/>
                <w:szCs w:val="19"/>
                <w:color w:val="auto"/>
              </w:rPr>
            </w:pPr>
          </w:p>
        </w:tc>
      </w:tr>
      <w:tr>
        <w:trPr>
          <w:trHeight w:val="215"/>
        </w:trPr>
        <w:tc>
          <w:tcPr>
            <w:tcW w:w="42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(125)</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(877)</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(780)</w:t>
            </w:r>
          </w:p>
        </w:tc>
        <w:tc>
          <w:tcPr>
            <w:tcW w:w="260" w:type="dxa"/>
            <w:vAlign w:val="bottom"/>
          </w:tcPr>
          <w:p>
            <w:pPr>
              <w:spacing w:after="0"/>
              <w:rPr>
                <w:sz w:val="18"/>
                <w:szCs w:val="18"/>
                <w:color w:val="auto"/>
              </w:rPr>
            </w:pPr>
          </w:p>
        </w:tc>
      </w:tr>
      <w:tr>
        <w:trPr>
          <w:trHeight w:val="203"/>
        </w:trPr>
        <w:tc>
          <w:tcPr>
            <w:tcW w:w="4260" w:type="dxa"/>
            <w:vAlign w:val="bottom"/>
          </w:tcPr>
          <w:p>
            <w:pPr>
              <w:spacing w:after="0"/>
              <w:rPr>
                <w:sz w:val="17"/>
                <w:szCs w:val="17"/>
                <w:color w:val="auto"/>
              </w:rPr>
            </w:pP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1,064,521</w:t>
            </w:r>
          </w:p>
        </w:tc>
        <w:tc>
          <w:tcPr>
            <w:tcW w:w="4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931,158</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14</w:t>
            </w:r>
          </w:p>
        </w:tc>
        <w:tc>
          <w:tcPr>
            <w:tcW w:w="3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3,873,122</w:t>
            </w:r>
          </w:p>
        </w:tc>
        <w:tc>
          <w:tcPr>
            <w:tcW w:w="5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3,805,287</w:t>
            </w:r>
          </w:p>
        </w:tc>
        <w:tc>
          <w:tcPr>
            <w:tcW w:w="260" w:type="dxa"/>
            <w:vAlign w:val="bottom"/>
          </w:tcPr>
          <w:p>
            <w:pPr>
              <w:spacing w:after="0"/>
              <w:rPr>
                <w:sz w:val="17"/>
                <w:szCs w:val="17"/>
                <w:color w:val="auto"/>
              </w:rPr>
            </w:pPr>
          </w:p>
        </w:tc>
      </w:tr>
      <w:tr>
        <w:trPr>
          <w:trHeight w:val="212"/>
        </w:trPr>
        <w:tc>
          <w:tcPr>
            <w:tcW w:w="4260" w:type="dxa"/>
            <w:vAlign w:val="bottom"/>
          </w:tcPr>
          <w:p>
            <w:pPr>
              <w:spacing w:after="0"/>
              <w:rPr>
                <w:sz w:val="20"/>
                <w:szCs w:val="20"/>
                <w:color w:val="auto"/>
              </w:rPr>
            </w:pPr>
            <w:r>
              <w:rPr>
                <w:rFonts w:ascii="Arial" w:cs="Arial" w:eastAsia="Arial" w:hAnsi="Arial"/>
                <w:sz w:val="16"/>
                <w:szCs w:val="16"/>
                <w:b w:val="1"/>
                <w:bCs w:val="1"/>
                <w:color w:val="auto"/>
              </w:rPr>
              <w:t>Operating Income (Loss)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4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(111,874)</w:t>
            </w:r>
          </w:p>
        </w:tc>
        <w:tc>
          <w:tcPr>
            <w:tcW w:w="48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30,893</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(105,368)</w:t>
            </w:r>
          </w:p>
        </w:tc>
        <w:tc>
          <w:tcPr>
            <w:tcW w:w="50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96,286</w:t>
            </w:r>
          </w:p>
        </w:tc>
        <w:tc>
          <w:tcPr>
            <w:tcW w:w="260" w:type="dxa"/>
            <w:vAlign w:val="bottom"/>
          </w:tcPr>
          <w:p>
            <w:pPr>
              <w:spacing w:after="0"/>
              <w:rPr>
                <w:sz w:val="19"/>
                <w:szCs w:val="19"/>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Cable television</w:t>
            </w:r>
          </w:p>
        </w:tc>
        <w:tc>
          <w:tcPr>
            <w:tcW w:w="34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43,445</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41,917</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154,581</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156,844</w:t>
            </w:r>
          </w:p>
        </w:tc>
        <w:tc>
          <w:tcPr>
            <w:tcW w:w="260" w:type="dxa"/>
            <w:vAlign w:val="bottom"/>
          </w:tcPr>
          <w:p>
            <w:pPr>
              <w:spacing w:after="0"/>
              <w:rPr>
                <w:sz w:val="19"/>
                <w:szCs w:val="19"/>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Newspaper publishing</w:t>
            </w:r>
          </w:p>
        </w:tc>
        <w:tc>
          <w:tcPr>
            <w:tcW w:w="34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2,633</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6,793</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(61)</w:t>
            </w:r>
          </w:p>
        </w:tc>
        <w:tc>
          <w:tcPr>
            <w:tcW w:w="3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(53,702)</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(21,204)</w:t>
            </w:r>
          </w:p>
        </w:tc>
        <w:tc>
          <w:tcPr>
            <w:tcW w:w="260" w:type="dxa"/>
            <w:vAlign w:val="bottom"/>
          </w:tcPr>
          <w:p>
            <w:pPr>
              <w:spacing w:after="0"/>
              <w:rPr>
                <w:sz w:val="19"/>
                <w:szCs w:val="19"/>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4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62,833</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40,854</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54</w:t>
            </w:r>
          </w:p>
        </w:tc>
        <w:tc>
          <w:tcPr>
            <w:tcW w:w="3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191,642</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117,089</w:t>
            </w:r>
          </w:p>
        </w:tc>
        <w:tc>
          <w:tcPr>
            <w:tcW w:w="260" w:type="dxa"/>
            <w:vAlign w:val="bottom"/>
          </w:tcPr>
          <w:p>
            <w:pPr>
              <w:spacing w:after="0"/>
              <w:rPr>
                <w:sz w:val="19"/>
                <w:szCs w:val="19"/>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4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(6,578)</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(3,064)</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(23,244)</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(8,735)</w:t>
            </w:r>
          </w:p>
        </w:tc>
        <w:tc>
          <w:tcPr>
            <w:tcW w:w="260" w:type="dxa"/>
            <w:vAlign w:val="bottom"/>
          </w:tcPr>
          <w:p>
            <w:pPr>
              <w:spacing w:after="0"/>
              <w:rPr>
                <w:sz w:val="19"/>
                <w:szCs w:val="19"/>
                <w:color w:val="auto"/>
              </w:rPr>
            </w:pPr>
          </w:p>
        </w:tc>
      </w:tr>
      <w:tr>
        <w:trPr>
          <w:trHeight w:val="215"/>
        </w:trPr>
        <w:tc>
          <w:tcPr>
            <w:tcW w:w="42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(4,884)</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(8,130)</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40</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(19,378)</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(14,422)</w:t>
            </w:r>
          </w:p>
        </w:tc>
        <w:tc>
          <w:tcPr>
            <w:tcW w:w="260" w:type="dxa"/>
            <w:vAlign w:val="bottom"/>
          </w:tcPr>
          <w:p>
            <w:pPr>
              <w:spacing w:after="0"/>
              <w:rPr>
                <w:sz w:val="18"/>
                <w:szCs w:val="18"/>
                <w:color w:val="auto"/>
              </w:rPr>
            </w:pPr>
          </w:p>
        </w:tc>
      </w:tr>
      <w:tr>
        <w:trPr>
          <w:trHeight w:val="203"/>
        </w:trPr>
        <w:tc>
          <w:tcPr>
            <w:tcW w:w="4260" w:type="dxa"/>
            <w:vAlign w:val="bottom"/>
          </w:tcPr>
          <w:p>
            <w:pPr>
              <w:spacing w:after="0"/>
              <w:rPr>
                <w:sz w:val="17"/>
                <w:szCs w:val="17"/>
                <w:color w:val="auto"/>
              </w:rPr>
            </w:pP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(14,425)</w:t>
            </w:r>
          </w:p>
        </w:tc>
        <w:tc>
          <w:tcPr>
            <w:tcW w:w="4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109,263</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144,531</w:t>
            </w:r>
          </w:p>
        </w:tc>
        <w:tc>
          <w:tcPr>
            <w:tcW w:w="5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325,858</w:t>
            </w:r>
          </w:p>
        </w:tc>
        <w:tc>
          <w:tcPr>
            <w:tcW w:w="260" w:type="dxa"/>
            <w:vAlign w:val="bottom"/>
          </w:tcPr>
          <w:p>
            <w:pPr>
              <w:spacing w:after="0"/>
              <w:rPr>
                <w:sz w:val="17"/>
                <w:szCs w:val="17"/>
                <w:color w:val="auto"/>
              </w:rPr>
            </w:pPr>
          </w:p>
        </w:tc>
      </w:tr>
      <w:tr>
        <w:trPr>
          <w:trHeight w:val="212"/>
        </w:trPr>
        <w:tc>
          <w:tcPr>
            <w:tcW w:w="4260" w:type="dxa"/>
            <w:vAlign w:val="bottom"/>
          </w:tcPr>
          <w:p>
            <w:pPr>
              <w:spacing w:after="0"/>
              <w:rPr>
                <w:sz w:val="20"/>
                <w:szCs w:val="20"/>
                <w:color w:val="auto"/>
              </w:rPr>
            </w:pPr>
            <w:r>
              <w:rPr>
                <w:rFonts w:ascii="Arial" w:cs="Arial" w:eastAsia="Arial" w:hAnsi="Arial"/>
                <w:sz w:val="16"/>
                <w:szCs w:val="16"/>
                <w:b w:val="1"/>
                <w:bCs w:val="1"/>
                <w:color w:val="auto"/>
              </w:rPr>
              <w:t>Depreciation</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4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37,431</w:t>
            </w:r>
          </w:p>
        </w:tc>
        <w:tc>
          <w:tcPr>
            <w:tcW w:w="48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22,100</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69</w:t>
            </w:r>
          </w:p>
        </w:tc>
        <w:tc>
          <w:tcPr>
            <w:tcW w:w="36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101,183</w:t>
            </w:r>
          </w:p>
        </w:tc>
        <w:tc>
          <w:tcPr>
            <w:tcW w:w="50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83,735</w:t>
            </w:r>
          </w:p>
        </w:tc>
        <w:tc>
          <w:tcPr>
            <w:tcW w:w="260" w:type="dxa"/>
            <w:vAlign w:val="bottom"/>
          </w:tcPr>
          <w:p>
            <w:pPr>
              <w:spacing w:after="0"/>
              <w:rPr>
                <w:sz w:val="19"/>
                <w:szCs w:val="19"/>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Cable television</w:t>
            </w:r>
          </w:p>
        </w:tc>
        <w:tc>
          <w:tcPr>
            <w:tcW w:w="34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32,366</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31,322</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129,107</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126,302</w:t>
            </w:r>
          </w:p>
        </w:tc>
        <w:tc>
          <w:tcPr>
            <w:tcW w:w="260" w:type="dxa"/>
            <w:vAlign w:val="bottom"/>
          </w:tcPr>
          <w:p>
            <w:pPr>
              <w:spacing w:after="0"/>
              <w:rPr>
                <w:sz w:val="19"/>
                <w:szCs w:val="19"/>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Newspaper publishing</w:t>
            </w:r>
          </w:p>
        </w:tc>
        <w:tc>
          <w:tcPr>
            <w:tcW w:w="34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6,280</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6,443</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25,072</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26,336</w:t>
            </w:r>
          </w:p>
        </w:tc>
        <w:tc>
          <w:tcPr>
            <w:tcW w:w="260" w:type="dxa"/>
            <w:vAlign w:val="bottom"/>
          </w:tcPr>
          <w:p>
            <w:pPr>
              <w:spacing w:after="0"/>
              <w:rPr>
                <w:sz w:val="19"/>
                <w:szCs w:val="19"/>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4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3,545</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3,067</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16</w:t>
            </w:r>
          </w:p>
        </w:tc>
        <w:tc>
          <w:tcPr>
            <w:tcW w:w="3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13,018</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12,448</w:t>
            </w:r>
          </w:p>
        </w:tc>
        <w:tc>
          <w:tcPr>
            <w:tcW w:w="260" w:type="dxa"/>
            <w:vAlign w:val="bottom"/>
          </w:tcPr>
          <w:p>
            <w:pPr>
              <w:spacing w:after="0"/>
              <w:rPr>
                <w:sz w:val="19"/>
                <w:szCs w:val="19"/>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4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258</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263</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r>
      <w:tr>
        <w:trPr>
          <w:trHeight w:val="215"/>
        </w:trPr>
        <w:tc>
          <w:tcPr>
            <w:tcW w:w="42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260" w:type="dxa"/>
            <w:vAlign w:val="bottom"/>
          </w:tcPr>
          <w:p>
            <w:pPr>
              <w:spacing w:after="0"/>
              <w:rPr>
                <w:sz w:val="18"/>
                <w:szCs w:val="18"/>
                <w:color w:val="auto"/>
              </w:rPr>
            </w:pPr>
          </w:p>
        </w:tc>
      </w:tr>
      <w:tr>
        <w:trPr>
          <w:trHeight w:val="203"/>
        </w:trPr>
        <w:tc>
          <w:tcPr>
            <w:tcW w:w="4260" w:type="dxa"/>
            <w:vAlign w:val="bottom"/>
          </w:tcPr>
          <w:p>
            <w:pPr>
              <w:spacing w:after="0"/>
              <w:rPr>
                <w:sz w:val="17"/>
                <w:szCs w:val="17"/>
                <w:color w:val="auto"/>
              </w:rPr>
            </w:pP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79,880</w:t>
            </w:r>
          </w:p>
        </w:tc>
        <w:tc>
          <w:tcPr>
            <w:tcW w:w="4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62,932</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27</w:t>
            </w:r>
          </w:p>
        </w:tc>
        <w:tc>
          <w:tcPr>
            <w:tcW w:w="3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268,643</w:t>
            </w:r>
          </w:p>
        </w:tc>
        <w:tc>
          <w:tcPr>
            <w:tcW w:w="5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249,065</w:t>
            </w:r>
          </w:p>
        </w:tc>
        <w:tc>
          <w:tcPr>
            <w:tcW w:w="260" w:type="dxa"/>
            <w:vAlign w:val="bottom"/>
          </w:tcPr>
          <w:p>
            <w:pPr>
              <w:spacing w:after="0"/>
              <w:rPr>
                <w:sz w:val="17"/>
                <w:szCs w:val="17"/>
                <w:color w:val="auto"/>
              </w:rPr>
            </w:pPr>
          </w:p>
        </w:tc>
      </w:tr>
      <w:tr>
        <w:trPr>
          <w:trHeight w:val="212"/>
        </w:trPr>
        <w:tc>
          <w:tcPr>
            <w:tcW w:w="4260" w:type="dxa"/>
            <w:vAlign w:val="bottom"/>
          </w:tcPr>
          <w:p>
            <w:pPr>
              <w:spacing w:after="0"/>
              <w:rPr>
                <w:sz w:val="20"/>
                <w:szCs w:val="20"/>
                <w:color w:val="auto"/>
              </w:rPr>
            </w:pPr>
            <w:r>
              <w:rPr>
                <w:rFonts w:ascii="Arial" w:cs="Arial" w:eastAsia="Arial" w:hAnsi="Arial"/>
                <w:sz w:val="16"/>
                <w:szCs w:val="16"/>
                <w:b w:val="1"/>
                <w:bCs w:val="1"/>
                <w:color w:val="auto"/>
              </w:rPr>
              <w:t>Amortization of Intangible Assets and</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b w:val="1"/>
                <w:bCs w:val="1"/>
                <w:color w:val="auto"/>
                <w:w w:val="99"/>
              </w:rPr>
              <w:t>Impairment of Goodwill and Other Long-Lived Assets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4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117,784</w:t>
            </w:r>
          </w:p>
        </w:tc>
        <w:tc>
          <w:tcPr>
            <w:tcW w:w="48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4,394</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129,312</w:t>
            </w:r>
          </w:p>
        </w:tc>
        <w:tc>
          <w:tcPr>
            <w:tcW w:w="50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19,417</w:t>
            </w:r>
          </w:p>
        </w:tc>
        <w:tc>
          <w:tcPr>
            <w:tcW w:w="260" w:type="dxa"/>
            <w:vAlign w:val="bottom"/>
          </w:tcPr>
          <w:p>
            <w:pPr>
              <w:spacing w:after="0"/>
              <w:rPr>
                <w:sz w:val="19"/>
                <w:szCs w:val="19"/>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Cable television</w:t>
            </w:r>
          </w:p>
        </w:tc>
        <w:tc>
          <w:tcPr>
            <w:tcW w:w="34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52</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(21)</w:t>
            </w:r>
          </w:p>
        </w:tc>
        <w:tc>
          <w:tcPr>
            <w:tcW w:w="3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211</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267</w:t>
            </w:r>
          </w:p>
        </w:tc>
        <w:tc>
          <w:tcPr>
            <w:tcW w:w="260" w:type="dxa"/>
            <w:vAlign w:val="bottom"/>
          </w:tcPr>
          <w:p>
            <w:pPr>
              <w:spacing w:after="0"/>
              <w:rPr>
                <w:sz w:val="19"/>
                <w:szCs w:val="19"/>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Newspaper publishing</w:t>
            </w:r>
          </w:p>
        </w:tc>
        <w:tc>
          <w:tcPr>
            <w:tcW w:w="34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149</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(18)</w:t>
            </w:r>
          </w:p>
        </w:tc>
        <w:tc>
          <w:tcPr>
            <w:tcW w:w="3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654</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1,051</w:t>
            </w:r>
          </w:p>
        </w:tc>
        <w:tc>
          <w:tcPr>
            <w:tcW w:w="260" w:type="dxa"/>
            <w:vAlign w:val="bottom"/>
          </w:tcPr>
          <w:p>
            <w:pPr>
              <w:spacing w:after="0"/>
              <w:rPr>
                <w:sz w:val="19"/>
                <w:szCs w:val="19"/>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4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4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1,218</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400</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2,418</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1,600</w:t>
            </w:r>
          </w:p>
        </w:tc>
        <w:tc>
          <w:tcPr>
            <w:tcW w:w="260" w:type="dxa"/>
            <w:vAlign w:val="bottom"/>
          </w:tcPr>
          <w:p>
            <w:pPr>
              <w:spacing w:after="0"/>
              <w:rPr>
                <w:sz w:val="19"/>
                <w:szCs w:val="19"/>
                <w:color w:val="auto"/>
              </w:rPr>
            </w:pPr>
          </w:p>
        </w:tc>
      </w:tr>
      <w:tr>
        <w:trPr>
          <w:trHeight w:val="215"/>
        </w:trPr>
        <w:tc>
          <w:tcPr>
            <w:tcW w:w="42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r>
      <w:tr>
        <w:trPr>
          <w:trHeight w:val="203"/>
        </w:trPr>
        <w:tc>
          <w:tcPr>
            <w:tcW w:w="4260" w:type="dxa"/>
            <w:vAlign w:val="bottom"/>
          </w:tcPr>
          <w:p>
            <w:pPr>
              <w:spacing w:after="0"/>
              <w:rPr>
                <w:sz w:val="17"/>
                <w:szCs w:val="17"/>
                <w:color w:val="auto"/>
              </w:rPr>
            </w:pP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119,203</w:t>
            </w:r>
          </w:p>
        </w:tc>
        <w:tc>
          <w:tcPr>
            <w:tcW w:w="4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5,042</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132,595</w:t>
            </w:r>
          </w:p>
        </w:tc>
        <w:tc>
          <w:tcPr>
            <w:tcW w:w="5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22,335</w:t>
            </w:r>
          </w:p>
        </w:tc>
        <w:tc>
          <w:tcPr>
            <w:tcW w:w="260" w:type="dxa"/>
            <w:vAlign w:val="bottom"/>
          </w:tcPr>
          <w:p>
            <w:pPr>
              <w:spacing w:after="0"/>
              <w:rPr>
                <w:sz w:val="17"/>
                <w:szCs w:val="17"/>
                <w:color w:val="auto"/>
              </w:rPr>
            </w:pPr>
          </w:p>
        </w:tc>
      </w:tr>
      <w:tr>
        <w:trPr>
          <w:trHeight w:val="212"/>
        </w:trPr>
        <w:tc>
          <w:tcPr>
            <w:tcW w:w="4260" w:type="dxa"/>
            <w:vAlign w:val="bottom"/>
          </w:tcPr>
          <w:p>
            <w:pPr>
              <w:spacing w:after="0"/>
              <w:rPr>
                <w:sz w:val="20"/>
                <w:szCs w:val="20"/>
                <w:color w:val="auto"/>
              </w:rPr>
            </w:pPr>
            <w:r>
              <w:rPr>
                <w:rFonts w:ascii="Arial" w:cs="Arial" w:eastAsia="Arial" w:hAnsi="Arial"/>
                <w:sz w:val="16"/>
                <w:szCs w:val="16"/>
                <w:b w:val="1"/>
                <w:bCs w:val="1"/>
                <w:color w:val="auto"/>
              </w:rPr>
              <w:t>Pension Expense (Credit)</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34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3,701</w:t>
            </w:r>
          </w:p>
        </w:tc>
        <w:tc>
          <w:tcPr>
            <w:tcW w:w="48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1,486</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11,584</w:t>
            </w:r>
          </w:p>
        </w:tc>
        <w:tc>
          <w:tcPr>
            <w:tcW w:w="50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6,345</w:t>
            </w:r>
          </w:p>
        </w:tc>
        <w:tc>
          <w:tcPr>
            <w:tcW w:w="260" w:type="dxa"/>
            <w:vAlign w:val="bottom"/>
          </w:tcPr>
          <w:p>
            <w:pPr>
              <w:spacing w:after="0"/>
              <w:rPr>
                <w:sz w:val="19"/>
                <w:szCs w:val="19"/>
                <w:color w:val="auto"/>
              </w:rPr>
            </w:pPr>
          </w:p>
        </w:tc>
      </w:tr>
      <w:tr>
        <w:trPr>
          <w:trHeight w:val="220"/>
        </w:trPr>
        <w:tc>
          <w:tcPr>
            <w:tcW w:w="4260" w:type="dxa"/>
            <w:vAlign w:val="bottom"/>
          </w:tcPr>
          <w:p>
            <w:pPr>
              <w:ind w:left="220"/>
              <w:spacing w:after="0"/>
              <w:rPr>
                <w:sz w:val="20"/>
                <w:szCs w:val="20"/>
                <w:color w:val="auto"/>
              </w:rPr>
            </w:pPr>
            <w:r>
              <w:rPr>
                <w:rFonts w:ascii="Arial" w:cs="Arial" w:eastAsia="Arial" w:hAnsi="Arial"/>
                <w:sz w:val="16"/>
                <w:szCs w:val="16"/>
                <w:color w:val="auto"/>
              </w:rPr>
              <w:t>Cable television</w:t>
            </w:r>
          </w:p>
        </w:tc>
        <w:tc>
          <w:tcPr>
            <w:tcW w:w="34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802</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454</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77</w:t>
            </w:r>
          </w:p>
        </w:tc>
        <w:tc>
          <w:tcPr>
            <w:tcW w:w="3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2,540</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1,924</w:t>
            </w:r>
          </w:p>
        </w:tc>
        <w:tc>
          <w:tcPr>
            <w:tcW w:w="260" w:type="dxa"/>
            <w:vAlign w:val="bottom"/>
          </w:tcPr>
          <w:p>
            <w:pPr>
              <w:spacing w:after="0"/>
              <w:rPr>
                <w:sz w:val="19"/>
                <w:szCs w:val="19"/>
                <w:color w:val="auto"/>
              </w:rPr>
            </w:pPr>
          </w:p>
        </w:tc>
      </w:tr>
      <w:tr>
        <w:trPr>
          <w:trHeight w:val="242"/>
        </w:trPr>
        <w:tc>
          <w:tcPr>
            <w:tcW w:w="4260" w:type="dxa"/>
            <w:vAlign w:val="bottom"/>
          </w:tcPr>
          <w:p>
            <w:pPr>
              <w:ind w:left="220"/>
              <w:spacing w:after="0" w:line="242" w:lineRule="exact"/>
              <w:rPr>
                <w:sz w:val="20"/>
                <w:szCs w:val="20"/>
                <w:color w:val="auto"/>
              </w:rPr>
            </w:pPr>
            <w:r>
              <w:rPr>
                <w:rFonts w:ascii="Arial" w:cs="Arial" w:eastAsia="Arial" w:hAnsi="Arial"/>
                <w:sz w:val="16"/>
                <w:szCs w:val="16"/>
                <w:color w:val="auto"/>
              </w:rPr>
              <w:t>Newspaper publishing</w:t>
            </w:r>
            <w:r>
              <w:rPr>
                <w:rFonts w:ascii="Arial" w:cs="Arial" w:eastAsia="Arial" w:hAnsi="Arial"/>
                <w:sz w:val="26"/>
                <w:szCs w:val="26"/>
                <w:color w:val="auto"/>
                <w:vertAlign w:val="superscript"/>
              </w:rPr>
              <w:t>(1)</w:t>
            </w:r>
          </w:p>
        </w:tc>
        <w:tc>
          <w:tcPr>
            <w:tcW w:w="340" w:type="dxa"/>
            <w:vAlign w:val="bottom"/>
          </w:tcPr>
          <w:p>
            <w:pPr>
              <w:spacing w:after="0"/>
              <w:rPr>
                <w:sz w:val="21"/>
                <w:szCs w:val="21"/>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9,882</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8,057</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23</w:t>
            </w:r>
          </w:p>
        </w:tc>
        <w:tc>
          <w:tcPr>
            <w:tcW w:w="360" w:type="dxa"/>
            <w:vAlign w:val="bottom"/>
          </w:tcPr>
          <w:p>
            <w:pPr>
              <w:spacing w:after="0"/>
              <w:rPr>
                <w:sz w:val="21"/>
                <w:szCs w:val="21"/>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42,436</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25,283</w:t>
            </w:r>
          </w:p>
        </w:tc>
        <w:tc>
          <w:tcPr>
            <w:tcW w:w="260" w:type="dxa"/>
            <w:vAlign w:val="bottom"/>
          </w:tcPr>
          <w:p>
            <w:pPr>
              <w:spacing w:after="0"/>
              <w:rPr>
                <w:sz w:val="21"/>
                <w:szCs w:val="21"/>
                <w:color w:val="auto"/>
              </w:rPr>
            </w:pPr>
          </w:p>
        </w:tc>
      </w:tr>
      <w:tr>
        <w:trPr>
          <w:trHeight w:val="208"/>
        </w:trPr>
        <w:tc>
          <w:tcPr>
            <w:tcW w:w="42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340" w:type="dxa"/>
            <w:vAlign w:val="bottom"/>
          </w:tcPr>
          <w:p>
            <w:pPr>
              <w:spacing w:after="0"/>
              <w:rPr>
                <w:sz w:val="18"/>
                <w:szCs w:val="18"/>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1,523</w:t>
            </w: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363</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4,970</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1,669</w:t>
            </w:r>
          </w:p>
        </w:tc>
        <w:tc>
          <w:tcPr>
            <w:tcW w:w="260" w:type="dxa"/>
            <w:vAlign w:val="bottom"/>
          </w:tcPr>
          <w:p>
            <w:pPr>
              <w:spacing w:after="0"/>
              <w:rPr>
                <w:sz w:val="18"/>
                <w:szCs w:val="18"/>
                <w:color w:val="auto"/>
              </w:rPr>
            </w:pPr>
          </w:p>
        </w:tc>
      </w:tr>
      <w:tr>
        <w:trPr>
          <w:trHeight w:val="223"/>
        </w:trPr>
        <w:tc>
          <w:tcPr>
            <w:tcW w:w="42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34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6"/>
                <w:szCs w:val="16"/>
                <w:b w:val="1"/>
                <w:bCs w:val="1"/>
                <w:color w:val="auto"/>
              </w:rPr>
              <w:t>22</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b w:val="1"/>
                <w:bCs w:val="1"/>
                <w:color w:val="auto"/>
              </w:rPr>
              <w:t>60</w:t>
            </w: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19"/>
                <w:szCs w:val="19"/>
                <w:color w:val="auto"/>
              </w:rPr>
            </w:pPr>
          </w:p>
        </w:tc>
      </w:tr>
      <w:tr>
        <w:trPr>
          <w:trHeight w:val="215"/>
        </w:trPr>
        <w:tc>
          <w:tcPr>
            <w:tcW w:w="42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(8,982)</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(9,254)</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(36,197)</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(36,983)</w:t>
            </w:r>
          </w:p>
        </w:tc>
        <w:tc>
          <w:tcPr>
            <w:tcW w:w="260" w:type="dxa"/>
            <w:vAlign w:val="bottom"/>
          </w:tcPr>
          <w:p>
            <w:pPr>
              <w:spacing w:after="0"/>
              <w:rPr>
                <w:sz w:val="18"/>
                <w:szCs w:val="18"/>
                <w:color w:val="auto"/>
              </w:rPr>
            </w:pPr>
          </w:p>
        </w:tc>
      </w:tr>
      <w:tr>
        <w:trPr>
          <w:trHeight w:val="203"/>
        </w:trPr>
        <w:tc>
          <w:tcPr>
            <w:tcW w:w="4260" w:type="dxa"/>
            <w:vAlign w:val="bottom"/>
          </w:tcPr>
          <w:p>
            <w:pPr>
              <w:spacing w:after="0"/>
              <w:rPr>
                <w:sz w:val="17"/>
                <w:szCs w:val="17"/>
                <w:color w:val="auto"/>
              </w:rPr>
            </w:pP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6,948</w:t>
            </w:r>
          </w:p>
        </w:tc>
        <w:tc>
          <w:tcPr>
            <w:tcW w:w="4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w:t>
            </w:r>
          </w:p>
        </w:tc>
        <w:tc>
          <w:tcPr>
            <w:tcW w:w="6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25,393</w:t>
            </w:r>
          </w:p>
        </w:tc>
        <w:tc>
          <w:tcPr>
            <w:tcW w:w="5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(1,745)</w:t>
            </w:r>
          </w:p>
        </w:tc>
        <w:tc>
          <w:tcPr>
            <w:tcW w:w="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141605</wp:posOffset>
            </wp:positionV>
            <wp:extent cx="695325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53250" cy="7620"/>
                    </a:xfrm>
                    <a:prstGeom prst="rect">
                      <a:avLst/>
                    </a:prstGeom>
                    <a:noFill/>
                  </pic:spPr>
                </pic:pic>
              </a:graphicData>
            </a:graphic>
          </wp:anchor>
        </w:drawing>
      </w:r>
    </w:p>
    <w:p>
      <w:pPr>
        <w:spacing w:after="0" w:line="215" w:lineRule="exact"/>
        <w:rPr>
          <w:sz w:val="20"/>
          <w:szCs w:val="20"/>
          <w:color w:val="auto"/>
        </w:rPr>
      </w:pPr>
    </w:p>
    <w:p>
      <w:pPr>
        <w:ind w:left="220" w:hanging="192"/>
        <w:spacing w:after="0"/>
        <w:tabs>
          <w:tab w:leader="none" w:pos="220" w:val="left"/>
        </w:tabs>
        <w:numPr>
          <w:ilvl w:val="0"/>
          <w:numId w:val="5"/>
        </w:numPr>
        <w:rPr>
          <w:rFonts w:ascii="Arial" w:cs="Arial" w:eastAsia="Arial" w:hAnsi="Arial"/>
          <w:sz w:val="13"/>
          <w:szCs w:val="13"/>
          <w:color w:val="auto"/>
        </w:rPr>
      </w:pPr>
      <w:r>
        <w:rPr>
          <w:rFonts w:ascii="Arial" w:cs="Arial" w:eastAsia="Arial" w:hAnsi="Arial"/>
          <w:sz w:val="12"/>
          <w:szCs w:val="12"/>
          <w:color w:val="auto"/>
        </w:rPr>
        <w:t>Includes $0.9 million in charges for the fourth quarter and fiscal year 2012 and $2.4 million in charges for the fourth quarter and fiscal year 2011 related to the withdrawal from a multiemployer pens plan.</w:t>
      </w:r>
    </w:p>
    <w:p>
      <w:pPr>
        <w:spacing w:after="0" w:line="21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77"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854" w:right="139" w:bottom="1440" w:gutter="0" w:footer="0" w:header="0"/>
        </w:sectPr>
      </w:pPr>
    </w:p>
    <w:bookmarkStart w:id="15" w:name="page16"/>
    <w:bookmarkEnd w:id="15"/>
    <w:p>
      <w:pPr>
        <w:jc w:val="center"/>
        <w:ind w:left="1060"/>
        <w:spacing w:after="0"/>
        <w:rPr>
          <w:sz w:val="20"/>
          <w:szCs w:val="20"/>
          <w:color w:val="auto"/>
        </w:rPr>
      </w:pPr>
      <w:r>
        <w:rPr>
          <w:rFonts w:ascii="Arial" w:cs="Arial" w:eastAsia="Arial" w:hAnsi="Arial"/>
          <w:sz w:val="16"/>
          <w:szCs w:val="16"/>
          <w:color w:val="auto"/>
        </w:rPr>
        <w:t>THE WASHINGTON POST COMPANY</w:t>
      </w:r>
    </w:p>
    <w:p>
      <w:pPr>
        <w:spacing w:after="0" w:line="39" w:lineRule="exact"/>
        <w:rPr>
          <w:sz w:val="20"/>
          <w:szCs w:val="20"/>
          <w:color w:val="auto"/>
        </w:rPr>
      </w:pPr>
    </w:p>
    <w:p>
      <w:pPr>
        <w:jc w:val="center"/>
        <w:ind w:left="1060"/>
        <w:spacing w:after="0"/>
        <w:rPr>
          <w:sz w:val="20"/>
          <w:szCs w:val="20"/>
          <w:color w:val="auto"/>
        </w:rPr>
      </w:pPr>
      <w:r>
        <w:rPr>
          <w:rFonts w:ascii="Arial" w:cs="Arial" w:eastAsia="Arial" w:hAnsi="Arial"/>
          <w:sz w:val="16"/>
          <w:szCs w:val="16"/>
          <w:u w:val="single" w:color="auto"/>
          <w:color w:val="auto"/>
        </w:rPr>
        <w:t>EDUCATION DIVISION INFORMATION</w:t>
      </w:r>
    </w:p>
    <w:p>
      <w:pPr>
        <w:spacing w:after="0" w:line="39" w:lineRule="exact"/>
        <w:rPr>
          <w:sz w:val="20"/>
          <w:szCs w:val="20"/>
          <w:color w:val="auto"/>
        </w:rPr>
      </w:pPr>
    </w:p>
    <w:p>
      <w:pPr>
        <w:jc w:val="center"/>
        <w:ind w:left="1060"/>
        <w:spacing w:after="0"/>
        <w:rPr>
          <w:sz w:val="20"/>
          <w:szCs w:val="20"/>
          <w:color w:val="auto"/>
        </w:rPr>
      </w:pPr>
      <w:r>
        <w:rPr>
          <w:rFonts w:ascii="Arial" w:cs="Arial" w:eastAsia="Arial" w:hAnsi="Arial"/>
          <w:sz w:val="16"/>
          <w:szCs w:val="16"/>
          <w:color w:val="auto"/>
        </w:rPr>
        <w:t>(Unaudited)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40" w:type="dxa"/>
            <w:vAlign w:val="bottom"/>
            <w:gridSpan w:val="3"/>
          </w:tcPr>
          <w:p>
            <w:pPr>
              <w:jc w:val="right"/>
              <w:ind w:right="702"/>
              <w:spacing w:after="0"/>
              <w:rPr>
                <w:sz w:val="20"/>
                <w:szCs w:val="20"/>
                <w:color w:val="auto"/>
              </w:rPr>
            </w:pPr>
            <w:r>
              <w:rPr>
                <w:rFonts w:ascii="Arial" w:cs="Arial" w:eastAsia="Arial" w:hAnsi="Arial"/>
                <w:sz w:val="12"/>
                <w:szCs w:val="12"/>
                <w:b w:val="1"/>
                <w:bCs w:val="1"/>
                <w:color w:val="auto"/>
              </w:rPr>
              <w:t>Three Months Ended</w:t>
            </w: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gridSpan w:val="3"/>
          </w:tcPr>
          <w:p>
            <w:pPr>
              <w:jc w:val="right"/>
              <w:ind w:right="802"/>
              <w:spacing w:after="0"/>
              <w:rPr>
                <w:sz w:val="20"/>
                <w:szCs w:val="20"/>
                <w:color w:val="auto"/>
              </w:rPr>
            </w:pPr>
            <w:r>
              <w:rPr>
                <w:rFonts w:ascii="Arial" w:cs="Arial" w:eastAsia="Arial" w:hAnsi="Arial"/>
                <w:sz w:val="12"/>
                <w:szCs w:val="12"/>
                <w:b w:val="1"/>
                <w:bCs w:val="1"/>
                <w:color w:val="auto"/>
              </w:rPr>
              <w:t>Twelve Months Ended</w:t>
            </w:r>
          </w:p>
        </w:tc>
        <w:tc>
          <w:tcPr>
            <w:tcW w:w="360" w:type="dxa"/>
            <w:vAlign w:val="bottom"/>
          </w:tcPr>
          <w:p>
            <w:pPr>
              <w:spacing w:after="0"/>
              <w:rPr>
                <w:sz w:val="14"/>
                <w:szCs w:val="14"/>
                <w:color w:val="auto"/>
              </w:rPr>
            </w:pPr>
          </w:p>
        </w:tc>
      </w:tr>
      <w:tr>
        <w:trPr>
          <w:trHeight w:val="212"/>
        </w:trPr>
        <w:tc>
          <w:tcPr>
            <w:tcW w:w="3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2"/>
                <w:szCs w:val="12"/>
                <w:b w:val="1"/>
                <w:bCs w:val="1"/>
                <w:color w:val="auto"/>
              </w:rPr>
              <w:t>December 31,</w:t>
            </w:r>
          </w:p>
        </w:tc>
        <w:tc>
          <w:tcPr>
            <w:tcW w:w="900" w:type="dxa"/>
            <w:vAlign w:val="bottom"/>
            <w:tcBorders>
              <w:bottom w:val="single" w:sz="8" w:color="auto"/>
            </w:tcBorders>
          </w:tcPr>
          <w:p>
            <w:pPr>
              <w:spacing w:after="0"/>
              <w:rPr>
                <w:sz w:val="18"/>
                <w:szCs w:val="18"/>
                <w:color w:val="auto"/>
              </w:rPr>
            </w:pPr>
          </w:p>
        </w:tc>
        <w:tc>
          <w:tcPr>
            <w:tcW w:w="740" w:type="dxa"/>
            <w:vAlign w:val="bottom"/>
          </w:tcPr>
          <w:p>
            <w:pPr>
              <w:jc w:val="right"/>
              <w:ind w:right="242"/>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2"/>
                <w:szCs w:val="12"/>
                <w:b w:val="1"/>
                <w:bCs w:val="1"/>
                <w:color w:val="auto"/>
              </w:rPr>
              <w:t>December 31,</w:t>
            </w:r>
          </w:p>
        </w:tc>
        <w:tc>
          <w:tcPr>
            <w:tcW w:w="10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r>
      <w:tr>
        <w:trPr>
          <w:trHeight w:val="203"/>
        </w:trPr>
        <w:tc>
          <w:tcPr>
            <w:tcW w:w="39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63"/>
              <w:spacing w:after="0"/>
              <w:rPr>
                <w:sz w:val="20"/>
                <w:szCs w:val="20"/>
                <w:color w:val="auto"/>
              </w:rPr>
            </w:pPr>
            <w:r>
              <w:rPr>
                <w:rFonts w:ascii="Arial" w:cs="Arial" w:eastAsia="Arial" w:hAnsi="Arial"/>
                <w:sz w:val="12"/>
                <w:szCs w:val="12"/>
                <w:b w:val="1"/>
                <w:bCs w:val="1"/>
                <w:color w:val="auto"/>
              </w:rPr>
              <w:t>2012</w:t>
            </w: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42"/>
              <w:spacing w:after="0"/>
              <w:rPr>
                <w:sz w:val="20"/>
                <w:szCs w:val="20"/>
                <w:color w:val="auto"/>
              </w:rPr>
            </w:pPr>
            <w:r>
              <w:rPr>
                <w:rFonts w:ascii="Arial" w:cs="Arial" w:eastAsia="Arial" w:hAnsi="Arial"/>
                <w:sz w:val="12"/>
                <w:szCs w:val="12"/>
                <w:color w:val="auto"/>
              </w:rPr>
              <w:t>2011</w:t>
            </w:r>
          </w:p>
        </w:tc>
        <w:tc>
          <w:tcPr>
            <w:tcW w:w="7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Change</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03"/>
              <w:spacing w:after="0"/>
              <w:rPr>
                <w:sz w:val="20"/>
                <w:szCs w:val="20"/>
                <w:color w:val="auto"/>
              </w:rPr>
            </w:pPr>
            <w:r>
              <w:rPr>
                <w:rFonts w:ascii="Arial" w:cs="Arial" w:eastAsia="Arial" w:hAnsi="Arial"/>
                <w:sz w:val="12"/>
                <w:szCs w:val="12"/>
                <w:b w:val="1"/>
                <w:bCs w:val="1"/>
                <w:color w:val="auto"/>
              </w:rPr>
              <w:t>2012</w:t>
            </w: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62"/>
              <w:spacing w:after="0"/>
              <w:rPr>
                <w:sz w:val="20"/>
                <w:szCs w:val="20"/>
                <w:color w:val="auto"/>
              </w:rPr>
            </w:pPr>
            <w:r>
              <w:rPr>
                <w:rFonts w:ascii="Arial" w:cs="Arial" w:eastAsia="Arial" w:hAnsi="Arial"/>
                <w:sz w:val="12"/>
                <w:szCs w:val="12"/>
                <w:color w:val="auto"/>
              </w:rPr>
              <w:t>2011</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Cha</w:t>
            </w:r>
          </w:p>
        </w:tc>
      </w:tr>
      <w:tr>
        <w:trPr>
          <w:trHeight w:val="212"/>
        </w:trPr>
        <w:tc>
          <w:tcPr>
            <w:tcW w:w="3980" w:type="dxa"/>
            <w:vAlign w:val="bottom"/>
          </w:tcPr>
          <w:p>
            <w:pPr>
              <w:spacing w:after="0"/>
              <w:rPr>
                <w:sz w:val="20"/>
                <w:szCs w:val="20"/>
                <w:color w:val="auto"/>
              </w:rPr>
            </w:pPr>
            <w:r>
              <w:rPr>
                <w:rFonts w:ascii="Arial" w:cs="Arial" w:eastAsia="Arial" w:hAnsi="Arial"/>
                <w:sz w:val="16"/>
                <w:szCs w:val="16"/>
                <w:b w:val="1"/>
                <w:bCs w:val="1"/>
                <w:color w:val="auto"/>
              </w:rPr>
              <w:t>Operating Revenues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23"/>
        </w:trPr>
        <w:tc>
          <w:tcPr>
            <w:tcW w:w="39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6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3"/>
              <w:spacing w:after="0"/>
              <w:rPr>
                <w:sz w:val="20"/>
                <w:szCs w:val="20"/>
                <w:color w:val="auto"/>
              </w:rPr>
            </w:pPr>
            <w:r>
              <w:rPr>
                <w:rFonts w:ascii="Arial" w:cs="Arial" w:eastAsia="Arial" w:hAnsi="Arial"/>
                <w:sz w:val="16"/>
                <w:szCs w:val="16"/>
                <w:b w:val="1"/>
                <w:bCs w:val="1"/>
                <w:color w:val="auto"/>
              </w:rPr>
              <w:t>276,459</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323,532</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(15)</w:t>
            </w:r>
          </w:p>
        </w:tc>
        <w:tc>
          <w:tcPr>
            <w:tcW w:w="36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1,149,407</w:t>
            </w:r>
          </w:p>
        </w:tc>
        <w:tc>
          <w:tcPr>
            <w:tcW w:w="50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1,399,583</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398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36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b w:val="1"/>
                <w:bCs w:val="1"/>
                <w:color w:val="auto"/>
              </w:rPr>
              <w:t>60,485</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66,901</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19"/>
                <w:szCs w:val="19"/>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284,252</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303,093</w:t>
            </w:r>
          </w:p>
        </w:tc>
        <w:tc>
          <w:tcPr>
            <w:tcW w:w="360" w:type="dxa"/>
            <w:vAlign w:val="bottom"/>
          </w:tcPr>
          <w:p>
            <w:pPr>
              <w:spacing w:after="0"/>
              <w:rPr>
                <w:sz w:val="19"/>
                <w:szCs w:val="19"/>
                <w:color w:val="auto"/>
              </w:rPr>
            </w:pPr>
          </w:p>
        </w:tc>
      </w:tr>
      <w:tr>
        <w:trPr>
          <w:trHeight w:val="223"/>
        </w:trPr>
        <w:tc>
          <w:tcPr>
            <w:tcW w:w="39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6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b w:val="1"/>
                <w:bCs w:val="1"/>
                <w:color w:val="auto"/>
              </w:rPr>
              <w:t>208,285</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190,821</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9</w:t>
            </w:r>
          </w:p>
        </w:tc>
        <w:tc>
          <w:tcPr>
            <w:tcW w:w="360" w:type="dxa"/>
            <w:vAlign w:val="bottom"/>
          </w:tcPr>
          <w:p>
            <w:pPr>
              <w:spacing w:after="0"/>
              <w:rPr>
                <w:sz w:val="19"/>
                <w:szCs w:val="19"/>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764,184</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704,581</w:t>
            </w:r>
          </w:p>
        </w:tc>
        <w:tc>
          <w:tcPr>
            <w:tcW w:w="360" w:type="dxa"/>
            <w:vAlign w:val="bottom"/>
          </w:tcPr>
          <w:p>
            <w:pPr>
              <w:spacing w:after="0"/>
              <w:rPr>
                <w:sz w:val="19"/>
                <w:szCs w:val="19"/>
                <w:color w:val="auto"/>
              </w:rPr>
            </w:pPr>
          </w:p>
        </w:tc>
      </w:tr>
      <w:tr>
        <w:trPr>
          <w:trHeight w:val="223"/>
        </w:trPr>
        <w:tc>
          <w:tcPr>
            <w:tcW w:w="3980" w:type="dxa"/>
            <w:vAlign w:val="bottom"/>
          </w:tcPr>
          <w:p>
            <w:pPr>
              <w:ind w:left="220"/>
              <w:spacing w:after="0"/>
              <w:rPr>
                <w:sz w:val="20"/>
                <w:szCs w:val="20"/>
                <w:color w:val="auto"/>
              </w:rPr>
            </w:pPr>
            <w:r>
              <w:rPr>
                <w:rFonts w:ascii="Arial" w:cs="Arial" w:eastAsia="Arial" w:hAnsi="Arial"/>
                <w:sz w:val="16"/>
                <w:szCs w:val="16"/>
                <w:color w:val="auto"/>
              </w:rPr>
              <w:t>Kaplan corporate</w:t>
            </w:r>
          </w:p>
        </w:tc>
        <w:tc>
          <w:tcPr>
            <w:tcW w:w="36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b w:val="1"/>
                <w:bCs w:val="1"/>
                <w:color w:val="auto"/>
              </w:rPr>
              <w:t>1,487</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1,110</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34</w:t>
            </w:r>
          </w:p>
        </w:tc>
        <w:tc>
          <w:tcPr>
            <w:tcW w:w="360" w:type="dxa"/>
            <w:vAlign w:val="bottom"/>
          </w:tcPr>
          <w:p>
            <w:pPr>
              <w:spacing w:after="0"/>
              <w:rPr>
                <w:sz w:val="19"/>
                <w:szCs w:val="19"/>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4,645</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4,585</w:t>
            </w:r>
          </w:p>
        </w:tc>
        <w:tc>
          <w:tcPr>
            <w:tcW w:w="360" w:type="dxa"/>
            <w:vAlign w:val="bottom"/>
          </w:tcPr>
          <w:p>
            <w:pPr>
              <w:spacing w:after="0"/>
              <w:rPr>
                <w:sz w:val="19"/>
                <w:szCs w:val="19"/>
                <w:color w:val="auto"/>
              </w:rPr>
            </w:pPr>
          </w:p>
        </w:tc>
      </w:tr>
      <w:tr>
        <w:trPr>
          <w:trHeight w:val="215"/>
        </w:trPr>
        <w:tc>
          <w:tcPr>
            <w:tcW w:w="39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(2,287)</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(1,601)</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(5,992)</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(7,383)</w:t>
            </w:r>
          </w:p>
        </w:tc>
        <w:tc>
          <w:tcPr>
            <w:tcW w:w="360" w:type="dxa"/>
            <w:vAlign w:val="bottom"/>
          </w:tcPr>
          <w:p>
            <w:pPr>
              <w:spacing w:after="0"/>
              <w:rPr>
                <w:sz w:val="18"/>
                <w:szCs w:val="18"/>
                <w:color w:val="auto"/>
              </w:rPr>
            </w:pPr>
          </w:p>
        </w:tc>
      </w:tr>
      <w:tr>
        <w:trPr>
          <w:trHeight w:val="203"/>
        </w:trPr>
        <w:tc>
          <w:tcPr>
            <w:tcW w:w="3980" w:type="dxa"/>
            <w:vAlign w:val="bottom"/>
          </w:tcPr>
          <w:p>
            <w:pPr>
              <w:spacing w:after="0"/>
              <w:rPr>
                <w:sz w:val="17"/>
                <w:szCs w:val="17"/>
                <w:color w:val="auto"/>
              </w:rPr>
            </w:pPr>
          </w:p>
        </w:tc>
        <w:tc>
          <w:tcPr>
            <w:tcW w:w="3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544,429</w:t>
            </w:r>
          </w:p>
        </w:tc>
        <w:tc>
          <w:tcPr>
            <w:tcW w:w="4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580,763</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(6)</w:t>
            </w:r>
          </w:p>
        </w:tc>
        <w:tc>
          <w:tcPr>
            <w:tcW w:w="3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2,196,496</w:t>
            </w:r>
          </w:p>
        </w:tc>
        <w:tc>
          <w:tcPr>
            <w:tcW w:w="5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2,404,459</w:t>
            </w:r>
          </w:p>
        </w:tc>
        <w:tc>
          <w:tcPr>
            <w:tcW w:w="360" w:type="dxa"/>
            <w:vAlign w:val="bottom"/>
          </w:tcPr>
          <w:p>
            <w:pPr>
              <w:spacing w:after="0"/>
              <w:rPr>
                <w:sz w:val="17"/>
                <w:szCs w:val="17"/>
                <w:color w:val="auto"/>
              </w:rPr>
            </w:pPr>
          </w:p>
        </w:tc>
      </w:tr>
      <w:tr>
        <w:trPr>
          <w:trHeight w:val="212"/>
        </w:trPr>
        <w:tc>
          <w:tcPr>
            <w:tcW w:w="398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23"/>
        </w:trPr>
        <w:tc>
          <w:tcPr>
            <w:tcW w:w="39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6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3"/>
              <w:spacing w:after="0"/>
              <w:rPr>
                <w:sz w:val="20"/>
                <w:szCs w:val="20"/>
                <w:color w:val="auto"/>
              </w:rPr>
            </w:pPr>
            <w:r>
              <w:rPr>
                <w:rFonts w:ascii="Arial" w:cs="Arial" w:eastAsia="Arial" w:hAnsi="Arial"/>
                <w:sz w:val="16"/>
                <w:szCs w:val="16"/>
                <w:b w:val="1"/>
                <w:bCs w:val="1"/>
                <w:color w:val="auto"/>
              </w:rPr>
              <w:t>265,543</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295,507</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(10)</w:t>
            </w:r>
          </w:p>
        </w:tc>
        <w:tc>
          <w:tcPr>
            <w:tcW w:w="36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1,122,162</w:t>
            </w:r>
          </w:p>
        </w:tc>
        <w:tc>
          <w:tcPr>
            <w:tcW w:w="50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1,250,668</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398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36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b w:val="1"/>
                <w:bCs w:val="1"/>
                <w:color w:val="auto"/>
              </w:rPr>
              <w:t>67,217</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66,381</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9"/>
                <w:szCs w:val="19"/>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295,051</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331,591</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39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6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b w:val="1"/>
                <w:bCs w:val="1"/>
                <w:color w:val="auto"/>
              </w:rPr>
              <w:t>192,552</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168,050</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15</w:t>
            </w:r>
          </w:p>
        </w:tc>
        <w:tc>
          <w:tcPr>
            <w:tcW w:w="360" w:type="dxa"/>
            <w:vAlign w:val="bottom"/>
          </w:tcPr>
          <w:p>
            <w:pPr>
              <w:spacing w:after="0"/>
              <w:rPr>
                <w:sz w:val="19"/>
                <w:szCs w:val="19"/>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715,115</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663,075</w:t>
            </w:r>
          </w:p>
        </w:tc>
        <w:tc>
          <w:tcPr>
            <w:tcW w:w="360" w:type="dxa"/>
            <w:vAlign w:val="bottom"/>
          </w:tcPr>
          <w:p>
            <w:pPr>
              <w:spacing w:after="0"/>
              <w:rPr>
                <w:sz w:val="19"/>
                <w:szCs w:val="19"/>
                <w:color w:val="auto"/>
              </w:rPr>
            </w:pPr>
          </w:p>
        </w:tc>
      </w:tr>
      <w:tr>
        <w:trPr>
          <w:trHeight w:val="223"/>
        </w:trPr>
        <w:tc>
          <w:tcPr>
            <w:tcW w:w="3980" w:type="dxa"/>
            <w:vAlign w:val="bottom"/>
          </w:tcPr>
          <w:p>
            <w:pPr>
              <w:ind w:left="220"/>
              <w:spacing w:after="0"/>
              <w:rPr>
                <w:sz w:val="20"/>
                <w:szCs w:val="20"/>
                <w:color w:val="auto"/>
              </w:rPr>
            </w:pPr>
            <w:r>
              <w:rPr>
                <w:rFonts w:ascii="Arial" w:cs="Arial" w:eastAsia="Arial" w:hAnsi="Arial"/>
                <w:sz w:val="16"/>
                <w:szCs w:val="16"/>
                <w:color w:val="auto"/>
              </w:rPr>
              <w:t>Kaplan corporate</w:t>
            </w:r>
          </w:p>
        </w:tc>
        <w:tc>
          <w:tcPr>
            <w:tcW w:w="36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b w:val="1"/>
                <w:bCs w:val="1"/>
                <w:color w:val="auto"/>
              </w:rPr>
              <w:t>15,961</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17,312</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(8)</w:t>
            </w:r>
          </w:p>
        </w:tc>
        <w:tc>
          <w:tcPr>
            <w:tcW w:w="360" w:type="dxa"/>
            <w:vAlign w:val="bottom"/>
          </w:tcPr>
          <w:p>
            <w:pPr>
              <w:spacing w:after="0"/>
              <w:rPr>
                <w:sz w:val="19"/>
                <w:szCs w:val="19"/>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47,262</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49,685</w:t>
            </w:r>
          </w:p>
        </w:tc>
        <w:tc>
          <w:tcPr>
            <w:tcW w:w="360" w:type="dxa"/>
            <w:vAlign w:val="bottom"/>
          </w:tcPr>
          <w:p>
            <w:pPr>
              <w:spacing w:after="0"/>
              <w:rPr>
                <w:sz w:val="19"/>
                <w:szCs w:val="19"/>
                <w:color w:val="auto"/>
              </w:rPr>
            </w:pPr>
          </w:p>
        </w:tc>
      </w:tr>
      <w:tr>
        <w:trPr>
          <w:trHeight w:val="223"/>
        </w:trPr>
        <w:tc>
          <w:tcPr>
            <w:tcW w:w="398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b w:val="1"/>
                <w:bCs w:val="1"/>
                <w:color w:val="auto"/>
              </w:rPr>
              <w:t>6,191</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4,394</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41</w:t>
            </w:r>
          </w:p>
        </w:tc>
        <w:tc>
          <w:tcPr>
            <w:tcW w:w="360" w:type="dxa"/>
            <w:vAlign w:val="bottom"/>
          </w:tcPr>
          <w:p>
            <w:pPr>
              <w:spacing w:after="0"/>
              <w:rPr>
                <w:sz w:val="19"/>
                <w:szCs w:val="19"/>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17,719</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19,417</w:t>
            </w:r>
          </w:p>
        </w:tc>
        <w:tc>
          <w:tcPr>
            <w:tcW w:w="360" w:type="dxa"/>
            <w:vAlign w:val="bottom"/>
          </w:tcPr>
          <w:p>
            <w:pPr>
              <w:spacing w:after="0"/>
              <w:rPr>
                <w:sz w:val="19"/>
                <w:szCs w:val="19"/>
                <w:color w:val="auto"/>
              </w:rPr>
            </w:pPr>
          </w:p>
        </w:tc>
      </w:tr>
      <w:tr>
        <w:trPr>
          <w:trHeight w:val="223"/>
        </w:trPr>
        <w:tc>
          <w:tcPr>
            <w:tcW w:w="3980" w:type="dxa"/>
            <w:vAlign w:val="bottom"/>
          </w:tcPr>
          <w:p>
            <w:pPr>
              <w:ind w:left="220"/>
              <w:spacing w:after="0"/>
              <w:rPr>
                <w:sz w:val="20"/>
                <w:szCs w:val="20"/>
                <w:color w:val="auto"/>
              </w:rPr>
            </w:pPr>
            <w:r>
              <w:rPr>
                <w:rFonts w:ascii="Arial" w:cs="Arial" w:eastAsia="Arial" w:hAnsi="Arial"/>
                <w:sz w:val="16"/>
                <w:szCs w:val="16"/>
                <w:color w:val="auto"/>
              </w:rPr>
              <w:t>Impairment of goodwill and other</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3"/>
        </w:trPr>
        <w:tc>
          <w:tcPr>
            <w:tcW w:w="3980" w:type="dxa"/>
            <w:vAlign w:val="bottom"/>
          </w:tcPr>
          <w:p>
            <w:pPr>
              <w:ind w:left="420"/>
              <w:spacing w:after="0"/>
              <w:rPr>
                <w:sz w:val="20"/>
                <w:szCs w:val="20"/>
                <w:color w:val="auto"/>
              </w:rPr>
            </w:pPr>
            <w:r>
              <w:rPr>
                <w:rFonts w:ascii="Arial" w:cs="Arial" w:eastAsia="Arial" w:hAnsi="Arial"/>
                <w:sz w:val="16"/>
                <w:szCs w:val="16"/>
                <w:color w:val="auto"/>
              </w:rPr>
              <w:t>long-lived assets</w:t>
            </w:r>
          </w:p>
        </w:tc>
        <w:tc>
          <w:tcPr>
            <w:tcW w:w="36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b w:val="1"/>
                <w:bCs w:val="1"/>
                <w:color w:val="auto"/>
              </w:rPr>
              <w:t>111,593</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111,593</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r>
      <w:tr>
        <w:trPr>
          <w:trHeight w:val="215"/>
        </w:trPr>
        <w:tc>
          <w:tcPr>
            <w:tcW w:w="39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(2,754)</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(1,774)</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(7,038)</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(6,263)</w:t>
            </w:r>
          </w:p>
        </w:tc>
        <w:tc>
          <w:tcPr>
            <w:tcW w:w="360" w:type="dxa"/>
            <w:vAlign w:val="bottom"/>
          </w:tcPr>
          <w:p>
            <w:pPr>
              <w:spacing w:after="0"/>
              <w:rPr>
                <w:sz w:val="18"/>
                <w:szCs w:val="18"/>
                <w:color w:val="auto"/>
              </w:rPr>
            </w:pPr>
          </w:p>
        </w:tc>
      </w:tr>
      <w:tr>
        <w:trPr>
          <w:trHeight w:val="203"/>
        </w:trPr>
        <w:tc>
          <w:tcPr>
            <w:tcW w:w="3980" w:type="dxa"/>
            <w:vAlign w:val="bottom"/>
          </w:tcPr>
          <w:p>
            <w:pPr>
              <w:spacing w:after="0"/>
              <w:rPr>
                <w:sz w:val="17"/>
                <w:szCs w:val="17"/>
                <w:color w:val="auto"/>
              </w:rPr>
            </w:pPr>
          </w:p>
        </w:tc>
        <w:tc>
          <w:tcPr>
            <w:tcW w:w="3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656,303</w:t>
            </w:r>
          </w:p>
        </w:tc>
        <w:tc>
          <w:tcPr>
            <w:tcW w:w="4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549,870</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19</w:t>
            </w:r>
          </w:p>
        </w:tc>
        <w:tc>
          <w:tcPr>
            <w:tcW w:w="3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2,301,864</w:t>
            </w:r>
          </w:p>
        </w:tc>
        <w:tc>
          <w:tcPr>
            <w:tcW w:w="5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2,308,173</w:t>
            </w:r>
          </w:p>
        </w:tc>
        <w:tc>
          <w:tcPr>
            <w:tcW w:w="360" w:type="dxa"/>
            <w:vAlign w:val="bottom"/>
          </w:tcPr>
          <w:p>
            <w:pPr>
              <w:spacing w:after="0"/>
              <w:rPr>
                <w:sz w:val="17"/>
                <w:szCs w:val="17"/>
                <w:color w:val="auto"/>
              </w:rPr>
            </w:pPr>
          </w:p>
        </w:tc>
      </w:tr>
      <w:tr>
        <w:trPr>
          <w:trHeight w:val="212"/>
        </w:trPr>
        <w:tc>
          <w:tcPr>
            <w:tcW w:w="3980" w:type="dxa"/>
            <w:vAlign w:val="bottom"/>
          </w:tcPr>
          <w:p>
            <w:pPr>
              <w:spacing w:after="0"/>
              <w:rPr>
                <w:sz w:val="20"/>
                <w:szCs w:val="20"/>
                <w:color w:val="auto"/>
              </w:rPr>
            </w:pPr>
            <w:r>
              <w:rPr>
                <w:rFonts w:ascii="Arial" w:cs="Arial" w:eastAsia="Arial" w:hAnsi="Arial"/>
                <w:sz w:val="16"/>
                <w:szCs w:val="16"/>
                <w:b w:val="1"/>
                <w:bCs w:val="1"/>
                <w:color w:val="auto"/>
              </w:rPr>
              <w:t>Operating Income (Loss)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23"/>
        </w:trPr>
        <w:tc>
          <w:tcPr>
            <w:tcW w:w="39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6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3"/>
              <w:spacing w:after="0"/>
              <w:rPr>
                <w:sz w:val="20"/>
                <w:szCs w:val="20"/>
                <w:color w:val="auto"/>
              </w:rPr>
            </w:pPr>
            <w:r>
              <w:rPr>
                <w:rFonts w:ascii="Arial" w:cs="Arial" w:eastAsia="Arial" w:hAnsi="Arial"/>
                <w:sz w:val="16"/>
                <w:szCs w:val="16"/>
                <w:b w:val="1"/>
                <w:bCs w:val="1"/>
                <w:color w:val="auto"/>
              </w:rPr>
              <w:t>10,916</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28,025</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(61)</w:t>
            </w:r>
          </w:p>
        </w:tc>
        <w:tc>
          <w:tcPr>
            <w:tcW w:w="36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27,245</w:t>
            </w:r>
          </w:p>
        </w:tc>
        <w:tc>
          <w:tcPr>
            <w:tcW w:w="50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148,915</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398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36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b w:val="1"/>
                <w:bCs w:val="1"/>
                <w:color w:val="auto"/>
              </w:rPr>
              <w:t>(6,732)</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520</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(10,799)</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(28,498)</w:t>
            </w:r>
          </w:p>
        </w:tc>
        <w:tc>
          <w:tcPr>
            <w:tcW w:w="360" w:type="dxa"/>
            <w:vAlign w:val="bottom"/>
          </w:tcPr>
          <w:p>
            <w:pPr>
              <w:spacing w:after="0"/>
              <w:rPr>
                <w:sz w:val="19"/>
                <w:szCs w:val="19"/>
                <w:color w:val="auto"/>
              </w:rPr>
            </w:pPr>
          </w:p>
        </w:tc>
      </w:tr>
      <w:tr>
        <w:trPr>
          <w:trHeight w:val="223"/>
        </w:trPr>
        <w:tc>
          <w:tcPr>
            <w:tcW w:w="39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6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b w:val="1"/>
                <w:bCs w:val="1"/>
                <w:color w:val="auto"/>
              </w:rPr>
              <w:t>15,733</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22,771</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(31)</w:t>
            </w:r>
          </w:p>
        </w:tc>
        <w:tc>
          <w:tcPr>
            <w:tcW w:w="360" w:type="dxa"/>
            <w:vAlign w:val="bottom"/>
          </w:tcPr>
          <w:p>
            <w:pPr>
              <w:spacing w:after="0"/>
              <w:rPr>
                <w:sz w:val="19"/>
                <w:szCs w:val="19"/>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49,069</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41,506</w:t>
            </w:r>
          </w:p>
        </w:tc>
        <w:tc>
          <w:tcPr>
            <w:tcW w:w="360" w:type="dxa"/>
            <w:vAlign w:val="bottom"/>
          </w:tcPr>
          <w:p>
            <w:pPr>
              <w:spacing w:after="0"/>
              <w:rPr>
                <w:sz w:val="19"/>
                <w:szCs w:val="19"/>
                <w:color w:val="auto"/>
              </w:rPr>
            </w:pPr>
          </w:p>
        </w:tc>
      </w:tr>
      <w:tr>
        <w:trPr>
          <w:trHeight w:val="223"/>
        </w:trPr>
        <w:tc>
          <w:tcPr>
            <w:tcW w:w="3980" w:type="dxa"/>
            <w:vAlign w:val="bottom"/>
          </w:tcPr>
          <w:p>
            <w:pPr>
              <w:ind w:left="220"/>
              <w:spacing w:after="0"/>
              <w:rPr>
                <w:sz w:val="20"/>
                <w:szCs w:val="20"/>
                <w:color w:val="auto"/>
              </w:rPr>
            </w:pPr>
            <w:r>
              <w:rPr>
                <w:rFonts w:ascii="Arial" w:cs="Arial" w:eastAsia="Arial" w:hAnsi="Arial"/>
                <w:sz w:val="16"/>
                <w:szCs w:val="16"/>
                <w:color w:val="auto"/>
              </w:rPr>
              <w:t>Kaplan corporate</w:t>
            </w:r>
          </w:p>
        </w:tc>
        <w:tc>
          <w:tcPr>
            <w:tcW w:w="36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b w:val="1"/>
                <w:bCs w:val="1"/>
                <w:color w:val="auto"/>
              </w:rPr>
              <w:t>(14,474)</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(16,202)</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11</w:t>
            </w:r>
          </w:p>
        </w:tc>
        <w:tc>
          <w:tcPr>
            <w:tcW w:w="360" w:type="dxa"/>
            <w:vAlign w:val="bottom"/>
          </w:tcPr>
          <w:p>
            <w:pPr>
              <w:spacing w:after="0"/>
              <w:rPr>
                <w:sz w:val="19"/>
                <w:szCs w:val="19"/>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(42,617)</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(45,100)</w:t>
            </w:r>
          </w:p>
        </w:tc>
        <w:tc>
          <w:tcPr>
            <w:tcW w:w="360" w:type="dxa"/>
            <w:vAlign w:val="bottom"/>
          </w:tcPr>
          <w:p>
            <w:pPr>
              <w:spacing w:after="0"/>
              <w:rPr>
                <w:sz w:val="19"/>
                <w:szCs w:val="19"/>
                <w:color w:val="auto"/>
              </w:rPr>
            </w:pPr>
          </w:p>
        </w:tc>
      </w:tr>
      <w:tr>
        <w:trPr>
          <w:trHeight w:val="223"/>
        </w:trPr>
        <w:tc>
          <w:tcPr>
            <w:tcW w:w="398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b w:val="1"/>
                <w:bCs w:val="1"/>
                <w:color w:val="auto"/>
              </w:rPr>
              <w:t>(6,191)</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(4,394)</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(41)</w:t>
            </w:r>
          </w:p>
        </w:tc>
        <w:tc>
          <w:tcPr>
            <w:tcW w:w="360" w:type="dxa"/>
            <w:vAlign w:val="bottom"/>
          </w:tcPr>
          <w:p>
            <w:pPr>
              <w:spacing w:after="0"/>
              <w:rPr>
                <w:sz w:val="19"/>
                <w:szCs w:val="19"/>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(17,719)</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(19,417)</w:t>
            </w:r>
          </w:p>
        </w:tc>
        <w:tc>
          <w:tcPr>
            <w:tcW w:w="360" w:type="dxa"/>
            <w:vAlign w:val="bottom"/>
          </w:tcPr>
          <w:p>
            <w:pPr>
              <w:spacing w:after="0"/>
              <w:rPr>
                <w:sz w:val="19"/>
                <w:szCs w:val="19"/>
                <w:color w:val="auto"/>
              </w:rPr>
            </w:pPr>
          </w:p>
        </w:tc>
      </w:tr>
      <w:tr>
        <w:trPr>
          <w:trHeight w:val="223"/>
        </w:trPr>
        <w:tc>
          <w:tcPr>
            <w:tcW w:w="3980" w:type="dxa"/>
            <w:vAlign w:val="bottom"/>
          </w:tcPr>
          <w:p>
            <w:pPr>
              <w:ind w:left="220"/>
              <w:spacing w:after="0"/>
              <w:rPr>
                <w:sz w:val="20"/>
                <w:szCs w:val="20"/>
                <w:color w:val="auto"/>
              </w:rPr>
            </w:pPr>
            <w:r>
              <w:rPr>
                <w:rFonts w:ascii="Arial" w:cs="Arial" w:eastAsia="Arial" w:hAnsi="Arial"/>
                <w:sz w:val="16"/>
                <w:szCs w:val="16"/>
                <w:color w:val="auto"/>
              </w:rPr>
              <w:t>Impairment of goodwill and other</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3"/>
        </w:trPr>
        <w:tc>
          <w:tcPr>
            <w:tcW w:w="3980" w:type="dxa"/>
            <w:vAlign w:val="bottom"/>
          </w:tcPr>
          <w:p>
            <w:pPr>
              <w:ind w:left="420"/>
              <w:spacing w:after="0"/>
              <w:rPr>
                <w:sz w:val="20"/>
                <w:szCs w:val="20"/>
                <w:color w:val="auto"/>
              </w:rPr>
            </w:pPr>
            <w:r>
              <w:rPr>
                <w:rFonts w:ascii="Arial" w:cs="Arial" w:eastAsia="Arial" w:hAnsi="Arial"/>
                <w:sz w:val="16"/>
                <w:szCs w:val="16"/>
                <w:color w:val="auto"/>
              </w:rPr>
              <w:t>long-lived assets</w:t>
            </w:r>
          </w:p>
        </w:tc>
        <w:tc>
          <w:tcPr>
            <w:tcW w:w="36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b w:val="1"/>
                <w:bCs w:val="1"/>
                <w:color w:val="auto"/>
              </w:rPr>
              <w:t>(111,593)</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(111,593)</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r>
      <w:tr>
        <w:trPr>
          <w:trHeight w:val="215"/>
        </w:trPr>
        <w:tc>
          <w:tcPr>
            <w:tcW w:w="39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467</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1,046</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w:t>
            </w:r>
          </w:p>
        </w:tc>
        <w:tc>
          <w:tcPr>
            <w:tcW w:w="360" w:type="dxa"/>
            <w:vAlign w:val="bottom"/>
          </w:tcPr>
          <w:p>
            <w:pPr>
              <w:spacing w:after="0"/>
              <w:rPr>
                <w:sz w:val="18"/>
                <w:szCs w:val="18"/>
                <w:color w:val="auto"/>
              </w:rPr>
            </w:pPr>
          </w:p>
        </w:tc>
      </w:tr>
      <w:tr>
        <w:trPr>
          <w:trHeight w:val="203"/>
        </w:trPr>
        <w:tc>
          <w:tcPr>
            <w:tcW w:w="3980" w:type="dxa"/>
            <w:vAlign w:val="bottom"/>
          </w:tcPr>
          <w:p>
            <w:pPr>
              <w:spacing w:after="0"/>
              <w:rPr>
                <w:sz w:val="17"/>
                <w:szCs w:val="17"/>
                <w:color w:val="auto"/>
              </w:rPr>
            </w:pPr>
          </w:p>
        </w:tc>
        <w:tc>
          <w:tcPr>
            <w:tcW w:w="3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(111,874)</w:t>
            </w:r>
          </w:p>
        </w:tc>
        <w:tc>
          <w:tcPr>
            <w:tcW w:w="4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30,893</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(105,368)</w:t>
            </w:r>
          </w:p>
        </w:tc>
        <w:tc>
          <w:tcPr>
            <w:tcW w:w="5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96,286</w:t>
            </w:r>
          </w:p>
        </w:tc>
        <w:tc>
          <w:tcPr>
            <w:tcW w:w="360" w:type="dxa"/>
            <w:vAlign w:val="bottom"/>
          </w:tcPr>
          <w:p>
            <w:pPr>
              <w:spacing w:after="0"/>
              <w:rPr>
                <w:sz w:val="17"/>
                <w:szCs w:val="17"/>
                <w:color w:val="auto"/>
              </w:rPr>
            </w:pPr>
          </w:p>
        </w:tc>
      </w:tr>
      <w:tr>
        <w:trPr>
          <w:trHeight w:val="212"/>
        </w:trPr>
        <w:tc>
          <w:tcPr>
            <w:tcW w:w="3980" w:type="dxa"/>
            <w:vAlign w:val="bottom"/>
          </w:tcPr>
          <w:p>
            <w:pPr>
              <w:spacing w:after="0"/>
              <w:rPr>
                <w:sz w:val="20"/>
                <w:szCs w:val="20"/>
                <w:color w:val="auto"/>
              </w:rPr>
            </w:pPr>
            <w:r>
              <w:rPr>
                <w:rFonts w:ascii="Arial" w:cs="Arial" w:eastAsia="Arial" w:hAnsi="Arial"/>
                <w:sz w:val="16"/>
                <w:szCs w:val="16"/>
                <w:b w:val="1"/>
                <w:bCs w:val="1"/>
                <w:color w:val="auto"/>
              </w:rPr>
              <w:t>Depreciation</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23"/>
        </w:trPr>
        <w:tc>
          <w:tcPr>
            <w:tcW w:w="39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6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3"/>
              <w:spacing w:after="0"/>
              <w:rPr>
                <w:sz w:val="20"/>
                <w:szCs w:val="20"/>
                <w:color w:val="auto"/>
              </w:rPr>
            </w:pPr>
            <w:r>
              <w:rPr>
                <w:rFonts w:ascii="Arial" w:cs="Arial" w:eastAsia="Arial" w:hAnsi="Arial"/>
                <w:sz w:val="16"/>
                <w:szCs w:val="16"/>
                <w:b w:val="1"/>
                <w:bCs w:val="1"/>
                <w:color w:val="auto"/>
              </w:rPr>
              <w:t>22,916</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13,416</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71</w:t>
            </w:r>
          </w:p>
        </w:tc>
        <w:tc>
          <w:tcPr>
            <w:tcW w:w="36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58,514</w:t>
            </w:r>
          </w:p>
        </w:tc>
        <w:tc>
          <w:tcPr>
            <w:tcW w:w="50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48,379</w:t>
            </w:r>
          </w:p>
        </w:tc>
        <w:tc>
          <w:tcPr>
            <w:tcW w:w="360" w:type="dxa"/>
            <w:vAlign w:val="bottom"/>
          </w:tcPr>
          <w:p>
            <w:pPr>
              <w:spacing w:after="0"/>
              <w:rPr>
                <w:sz w:val="19"/>
                <w:szCs w:val="19"/>
                <w:color w:val="auto"/>
              </w:rPr>
            </w:pPr>
          </w:p>
        </w:tc>
      </w:tr>
      <w:tr>
        <w:trPr>
          <w:trHeight w:val="223"/>
        </w:trPr>
        <w:tc>
          <w:tcPr>
            <w:tcW w:w="398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36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b w:val="1"/>
                <w:bCs w:val="1"/>
                <w:color w:val="auto"/>
              </w:rPr>
              <w:t>5,410</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3,799</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42</w:t>
            </w:r>
          </w:p>
        </w:tc>
        <w:tc>
          <w:tcPr>
            <w:tcW w:w="360" w:type="dxa"/>
            <w:vAlign w:val="bottom"/>
          </w:tcPr>
          <w:p>
            <w:pPr>
              <w:spacing w:after="0"/>
              <w:rPr>
                <w:sz w:val="19"/>
                <w:szCs w:val="19"/>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19,718</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15,489</w:t>
            </w:r>
          </w:p>
        </w:tc>
        <w:tc>
          <w:tcPr>
            <w:tcW w:w="360" w:type="dxa"/>
            <w:vAlign w:val="bottom"/>
          </w:tcPr>
          <w:p>
            <w:pPr>
              <w:spacing w:after="0"/>
              <w:rPr>
                <w:sz w:val="19"/>
                <w:szCs w:val="19"/>
                <w:color w:val="auto"/>
              </w:rPr>
            </w:pPr>
          </w:p>
        </w:tc>
      </w:tr>
      <w:tr>
        <w:trPr>
          <w:trHeight w:val="223"/>
        </w:trPr>
        <w:tc>
          <w:tcPr>
            <w:tcW w:w="39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6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b w:val="1"/>
                <w:bCs w:val="1"/>
                <w:color w:val="auto"/>
              </w:rPr>
              <w:t>8,660</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4,350</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99</w:t>
            </w:r>
          </w:p>
        </w:tc>
        <w:tc>
          <w:tcPr>
            <w:tcW w:w="360" w:type="dxa"/>
            <w:vAlign w:val="bottom"/>
          </w:tcPr>
          <w:p>
            <w:pPr>
              <w:spacing w:after="0"/>
              <w:rPr>
                <w:sz w:val="19"/>
                <w:szCs w:val="19"/>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21,173</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16,953</w:t>
            </w:r>
          </w:p>
        </w:tc>
        <w:tc>
          <w:tcPr>
            <w:tcW w:w="360" w:type="dxa"/>
            <w:vAlign w:val="bottom"/>
          </w:tcPr>
          <w:p>
            <w:pPr>
              <w:spacing w:after="0"/>
              <w:rPr>
                <w:sz w:val="19"/>
                <w:szCs w:val="19"/>
                <w:color w:val="auto"/>
              </w:rPr>
            </w:pPr>
          </w:p>
        </w:tc>
      </w:tr>
      <w:tr>
        <w:trPr>
          <w:trHeight w:val="215"/>
        </w:trPr>
        <w:tc>
          <w:tcPr>
            <w:tcW w:w="3980" w:type="dxa"/>
            <w:vAlign w:val="bottom"/>
          </w:tcPr>
          <w:p>
            <w:pPr>
              <w:ind w:left="220"/>
              <w:spacing w:after="0"/>
              <w:rPr>
                <w:sz w:val="20"/>
                <w:szCs w:val="20"/>
                <w:color w:val="auto"/>
              </w:rPr>
            </w:pPr>
            <w:r>
              <w:rPr>
                <w:rFonts w:ascii="Arial" w:cs="Arial" w:eastAsia="Arial" w:hAnsi="Arial"/>
                <w:sz w:val="16"/>
                <w:szCs w:val="16"/>
                <w:color w:val="auto"/>
              </w:rPr>
              <w:t>Kaplan corporate</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445</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(17)</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1,778</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2,914</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3980" w:type="dxa"/>
            <w:vAlign w:val="bottom"/>
          </w:tcPr>
          <w:p>
            <w:pPr>
              <w:spacing w:after="0"/>
              <w:rPr>
                <w:sz w:val="17"/>
                <w:szCs w:val="17"/>
                <w:color w:val="auto"/>
              </w:rPr>
            </w:pPr>
          </w:p>
        </w:tc>
        <w:tc>
          <w:tcPr>
            <w:tcW w:w="3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37,431</w:t>
            </w:r>
          </w:p>
        </w:tc>
        <w:tc>
          <w:tcPr>
            <w:tcW w:w="4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22,100</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69</w:t>
            </w:r>
          </w:p>
        </w:tc>
        <w:tc>
          <w:tcPr>
            <w:tcW w:w="3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101,183</w:t>
            </w:r>
          </w:p>
        </w:tc>
        <w:tc>
          <w:tcPr>
            <w:tcW w:w="5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83,735</w:t>
            </w:r>
          </w:p>
        </w:tc>
        <w:tc>
          <w:tcPr>
            <w:tcW w:w="360" w:type="dxa"/>
            <w:vAlign w:val="bottom"/>
          </w:tcPr>
          <w:p>
            <w:pPr>
              <w:spacing w:after="0"/>
              <w:rPr>
                <w:sz w:val="17"/>
                <w:szCs w:val="17"/>
                <w:color w:val="auto"/>
              </w:rPr>
            </w:pPr>
          </w:p>
        </w:tc>
      </w:tr>
      <w:tr>
        <w:trPr>
          <w:trHeight w:val="212"/>
        </w:trPr>
        <w:tc>
          <w:tcPr>
            <w:tcW w:w="3980" w:type="dxa"/>
            <w:vAlign w:val="bottom"/>
          </w:tcPr>
          <w:p>
            <w:pPr>
              <w:spacing w:after="0"/>
              <w:rPr>
                <w:sz w:val="20"/>
                <w:szCs w:val="20"/>
                <w:color w:val="auto"/>
              </w:rPr>
            </w:pPr>
            <w:r>
              <w:rPr>
                <w:rFonts w:ascii="Arial" w:cs="Arial" w:eastAsia="Arial" w:hAnsi="Arial"/>
                <w:sz w:val="16"/>
                <w:szCs w:val="16"/>
                <w:b w:val="1"/>
                <w:bCs w:val="1"/>
                <w:color w:val="auto"/>
              </w:rPr>
              <w:t>Pension Expense (Credit)</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23"/>
        </w:trPr>
        <w:tc>
          <w:tcPr>
            <w:tcW w:w="39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6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3"/>
              <w:spacing w:after="0"/>
              <w:rPr>
                <w:sz w:val="20"/>
                <w:szCs w:val="20"/>
                <w:color w:val="auto"/>
              </w:rPr>
            </w:pPr>
            <w:r>
              <w:rPr>
                <w:rFonts w:ascii="Arial" w:cs="Arial" w:eastAsia="Arial" w:hAnsi="Arial"/>
                <w:sz w:val="16"/>
                <w:szCs w:val="16"/>
                <w:b w:val="1"/>
                <w:bCs w:val="1"/>
                <w:color w:val="auto"/>
              </w:rPr>
              <w:t>2,535</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1,046</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21"/>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7,943</w:t>
            </w:r>
          </w:p>
        </w:tc>
        <w:tc>
          <w:tcPr>
            <w:tcW w:w="500" w:type="dxa"/>
            <w:vAlign w:val="bottom"/>
          </w:tcPr>
          <w:p>
            <w:pPr>
              <w:jc w:val="right"/>
              <w:ind w:right="24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4,249</w:t>
            </w:r>
          </w:p>
        </w:tc>
        <w:tc>
          <w:tcPr>
            <w:tcW w:w="360" w:type="dxa"/>
            <w:vAlign w:val="bottom"/>
          </w:tcPr>
          <w:p>
            <w:pPr>
              <w:spacing w:after="0"/>
              <w:rPr>
                <w:sz w:val="19"/>
                <w:szCs w:val="19"/>
                <w:color w:val="auto"/>
              </w:rPr>
            </w:pPr>
          </w:p>
        </w:tc>
      </w:tr>
      <w:tr>
        <w:trPr>
          <w:trHeight w:val="223"/>
        </w:trPr>
        <w:tc>
          <w:tcPr>
            <w:tcW w:w="398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36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b w:val="1"/>
                <w:bCs w:val="1"/>
                <w:color w:val="auto"/>
              </w:rPr>
              <w:t>626</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322</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94</w:t>
            </w:r>
          </w:p>
        </w:tc>
        <w:tc>
          <w:tcPr>
            <w:tcW w:w="360" w:type="dxa"/>
            <w:vAlign w:val="bottom"/>
          </w:tcPr>
          <w:p>
            <w:pPr>
              <w:spacing w:after="0"/>
              <w:rPr>
                <w:sz w:val="19"/>
                <w:szCs w:val="19"/>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2,007</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1,288</w:t>
            </w:r>
          </w:p>
        </w:tc>
        <w:tc>
          <w:tcPr>
            <w:tcW w:w="360" w:type="dxa"/>
            <w:vAlign w:val="bottom"/>
          </w:tcPr>
          <w:p>
            <w:pPr>
              <w:spacing w:after="0"/>
              <w:rPr>
                <w:sz w:val="19"/>
                <w:szCs w:val="19"/>
                <w:color w:val="auto"/>
              </w:rPr>
            </w:pPr>
          </w:p>
        </w:tc>
      </w:tr>
      <w:tr>
        <w:trPr>
          <w:trHeight w:val="223"/>
        </w:trPr>
        <w:tc>
          <w:tcPr>
            <w:tcW w:w="39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60" w:type="dxa"/>
            <w:vAlign w:val="bottom"/>
          </w:tcPr>
          <w:p>
            <w:pPr>
              <w:spacing w:after="0"/>
              <w:rPr>
                <w:sz w:val="19"/>
                <w:szCs w:val="19"/>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b w:val="1"/>
                <w:bCs w:val="1"/>
                <w:color w:val="auto"/>
              </w:rPr>
              <w:t>93</w:t>
            </w: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241</w:t>
            </w: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167</w:t>
            </w:r>
          </w:p>
        </w:tc>
        <w:tc>
          <w:tcPr>
            <w:tcW w:w="360" w:type="dxa"/>
            <w:vAlign w:val="bottom"/>
          </w:tcPr>
          <w:p>
            <w:pPr>
              <w:spacing w:after="0"/>
              <w:rPr>
                <w:sz w:val="19"/>
                <w:szCs w:val="19"/>
                <w:color w:val="auto"/>
              </w:rPr>
            </w:pPr>
          </w:p>
        </w:tc>
      </w:tr>
      <w:tr>
        <w:trPr>
          <w:trHeight w:val="215"/>
        </w:trPr>
        <w:tc>
          <w:tcPr>
            <w:tcW w:w="3980" w:type="dxa"/>
            <w:vAlign w:val="bottom"/>
          </w:tcPr>
          <w:p>
            <w:pPr>
              <w:ind w:left="220"/>
              <w:spacing w:after="0"/>
              <w:rPr>
                <w:sz w:val="20"/>
                <w:szCs w:val="20"/>
                <w:color w:val="auto"/>
              </w:rPr>
            </w:pPr>
            <w:r>
              <w:rPr>
                <w:rFonts w:ascii="Arial" w:cs="Arial" w:eastAsia="Arial" w:hAnsi="Arial"/>
                <w:sz w:val="16"/>
                <w:szCs w:val="16"/>
                <w:color w:val="auto"/>
              </w:rPr>
              <w:t>Kaplan corporate</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447</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1,393</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w:t>
            </w:r>
          </w:p>
        </w:tc>
        <w:tc>
          <w:tcPr>
            <w:tcW w:w="360" w:type="dxa"/>
            <w:vAlign w:val="bottom"/>
          </w:tcPr>
          <w:p>
            <w:pPr>
              <w:spacing w:after="0"/>
              <w:rPr>
                <w:sz w:val="18"/>
                <w:szCs w:val="18"/>
                <w:color w:val="auto"/>
              </w:rPr>
            </w:pPr>
          </w:p>
        </w:tc>
      </w:tr>
      <w:tr>
        <w:trPr>
          <w:trHeight w:val="203"/>
        </w:trPr>
        <w:tc>
          <w:tcPr>
            <w:tcW w:w="3980" w:type="dxa"/>
            <w:vAlign w:val="bottom"/>
          </w:tcPr>
          <w:p>
            <w:pPr>
              <w:spacing w:after="0"/>
              <w:rPr>
                <w:sz w:val="17"/>
                <w:szCs w:val="17"/>
                <w:color w:val="auto"/>
              </w:rPr>
            </w:pPr>
          </w:p>
        </w:tc>
        <w:tc>
          <w:tcPr>
            <w:tcW w:w="3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3,701</w:t>
            </w:r>
          </w:p>
        </w:tc>
        <w:tc>
          <w:tcPr>
            <w:tcW w:w="4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1,486</w:t>
            </w:r>
          </w:p>
        </w:tc>
        <w:tc>
          <w:tcPr>
            <w:tcW w:w="7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11,584</w:t>
            </w:r>
          </w:p>
        </w:tc>
        <w:tc>
          <w:tcPr>
            <w:tcW w:w="5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6,345</w:t>
            </w:r>
          </w:p>
        </w:tc>
        <w:tc>
          <w:tcPr>
            <w:tcW w:w="360" w:type="dxa"/>
            <w:vAlign w:val="bottom"/>
          </w:tcPr>
          <w:p>
            <w:pPr>
              <w:spacing w:after="0"/>
              <w:rPr>
                <w:sz w:val="17"/>
                <w:szCs w:val="17"/>
                <w:color w:val="auto"/>
              </w:rPr>
            </w:pPr>
          </w:p>
        </w:tc>
      </w:tr>
    </w:tbl>
    <w:p>
      <w:pPr>
        <w:spacing w:after="0" w:line="223"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77"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916" w:right="139" w:bottom="1440" w:gutter="0" w:footer="0" w:header="0"/>
        </w:sectPr>
      </w:pPr>
    </w:p>
    <w:bookmarkStart w:id="16" w:name="page17"/>
    <w:bookmarkEnd w:id="16"/>
    <w:p>
      <w:pPr>
        <w:jc w:val="center"/>
        <w:ind w:left="1080"/>
        <w:spacing w:after="0"/>
        <w:rPr>
          <w:sz w:val="20"/>
          <w:szCs w:val="20"/>
          <w:color w:val="auto"/>
        </w:rPr>
      </w:pPr>
      <w:r>
        <w:rPr>
          <w:rFonts w:ascii="Arial" w:cs="Arial" w:eastAsia="Arial" w:hAnsi="Arial"/>
          <w:sz w:val="16"/>
          <w:szCs w:val="16"/>
          <w:color w:val="auto"/>
        </w:rPr>
        <w:t>THE WASHINGTON POST COMPANY</w:t>
      </w:r>
    </w:p>
    <w:p>
      <w:pPr>
        <w:spacing w:after="0" w:line="39" w:lineRule="exact"/>
        <w:rPr>
          <w:sz w:val="20"/>
          <w:szCs w:val="20"/>
          <w:color w:val="auto"/>
        </w:rPr>
      </w:pPr>
    </w:p>
    <w:p>
      <w:pPr>
        <w:jc w:val="center"/>
        <w:ind w:left="1080"/>
        <w:spacing w:after="0"/>
        <w:rPr>
          <w:sz w:val="20"/>
          <w:szCs w:val="20"/>
          <w:color w:val="auto"/>
        </w:rPr>
      </w:pPr>
      <w:r>
        <w:rPr>
          <w:rFonts w:ascii="Arial" w:cs="Arial" w:eastAsia="Arial" w:hAnsi="Arial"/>
          <w:sz w:val="16"/>
          <w:szCs w:val="16"/>
          <w:color w:val="auto"/>
        </w:rPr>
        <w:t>EDUCATION DIVISION INFORMATION</w:t>
      </w:r>
    </w:p>
    <w:p>
      <w:pPr>
        <w:spacing w:after="0" w:line="39" w:lineRule="exact"/>
        <w:rPr>
          <w:sz w:val="20"/>
          <w:szCs w:val="20"/>
          <w:color w:val="auto"/>
        </w:rPr>
      </w:pPr>
    </w:p>
    <w:p>
      <w:pPr>
        <w:jc w:val="center"/>
        <w:ind w:left="1080"/>
        <w:spacing w:after="0"/>
        <w:rPr>
          <w:sz w:val="20"/>
          <w:szCs w:val="20"/>
          <w:color w:val="auto"/>
        </w:rPr>
      </w:pPr>
      <w:r>
        <w:rPr>
          <w:rFonts w:ascii="Arial" w:cs="Arial" w:eastAsia="Arial" w:hAnsi="Arial"/>
          <w:sz w:val="16"/>
          <w:szCs w:val="16"/>
          <w:u w:val="single" w:color="auto"/>
          <w:color w:val="auto"/>
        </w:rPr>
        <w:t>SUMMARY OF RESTRUCTURING CHARGES</w:t>
      </w:r>
    </w:p>
    <w:p>
      <w:pPr>
        <w:spacing w:after="0" w:line="39" w:lineRule="exact"/>
        <w:rPr>
          <w:sz w:val="20"/>
          <w:szCs w:val="20"/>
          <w:color w:val="auto"/>
        </w:rPr>
      </w:pPr>
    </w:p>
    <w:p>
      <w:pPr>
        <w:jc w:val="center"/>
        <w:ind w:left="1080"/>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0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82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2"/>
                <w:szCs w:val="12"/>
                <w:b w:val="1"/>
                <w:bCs w:val="1"/>
                <w:color w:val="auto"/>
              </w:rPr>
              <w:t>Severance</w:t>
            </w:r>
          </w:p>
        </w:tc>
        <w:tc>
          <w:tcPr>
            <w:tcW w:w="168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2"/>
                <w:szCs w:val="12"/>
                <w:b w:val="1"/>
                <w:bCs w:val="1"/>
                <w:color w:val="auto"/>
              </w:rPr>
              <w:t>Accelerated Depreciation</w:t>
            </w:r>
          </w:p>
        </w:tc>
        <w:tc>
          <w:tcPr>
            <w:tcW w:w="16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2"/>
                <w:szCs w:val="12"/>
                <w:b w:val="1"/>
                <w:bCs w:val="1"/>
                <w:color w:val="auto"/>
              </w:rPr>
              <w:t>Lease Obligation Losses</w:t>
            </w:r>
          </w:p>
        </w:tc>
        <w:tc>
          <w:tcPr>
            <w:tcW w:w="168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2"/>
                <w:szCs w:val="12"/>
                <w:b w:val="1"/>
                <w:bCs w:val="1"/>
                <w:color w:val="auto"/>
              </w:rPr>
              <w:t>Accelerated Amortization</w:t>
            </w: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2"/>
                <w:szCs w:val="12"/>
                <w:b w:val="1"/>
                <w:bCs w:val="1"/>
                <w:color w:val="auto"/>
              </w:rPr>
              <w:t>Other</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Arial" w:cs="Arial" w:eastAsia="Arial" w:hAnsi="Arial"/>
                <w:sz w:val="15"/>
                <w:szCs w:val="15"/>
                <w:b w:val="1"/>
                <w:bCs w:val="1"/>
                <w:color w:val="auto"/>
              </w:rPr>
              <w:t>Three Months Ended December 31, 2012</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5"/>
                <w:szCs w:val="15"/>
                <w:color w:val="auto"/>
              </w:rPr>
              <w:t>Higher education</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jc w:val="right"/>
              <w:ind w:right="26"/>
              <w:spacing w:after="0"/>
              <w:rPr>
                <w:sz w:val="20"/>
                <w:szCs w:val="20"/>
                <w:color w:val="auto"/>
              </w:rPr>
            </w:pPr>
            <w:r>
              <w:rPr>
                <w:rFonts w:ascii="Arial" w:cs="Arial" w:eastAsia="Arial" w:hAnsi="Arial"/>
                <w:sz w:val="15"/>
                <w:szCs w:val="15"/>
                <w:b w:val="1"/>
                <w:bCs w:val="1"/>
                <w:color w:val="auto"/>
              </w:rPr>
              <w:t>3,211</w:t>
            </w:r>
          </w:p>
        </w:tc>
        <w:tc>
          <w:tcPr>
            <w:tcW w:w="680" w:type="dxa"/>
            <w:vAlign w:val="bottom"/>
          </w:tcPr>
          <w:p>
            <w:pPr>
              <w:jc w:val="right"/>
              <w:ind w:right="307"/>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106"/>
              <w:spacing w:after="0"/>
              <w:rPr>
                <w:sz w:val="20"/>
                <w:szCs w:val="20"/>
                <w:color w:val="auto"/>
              </w:rPr>
            </w:pPr>
            <w:r>
              <w:rPr>
                <w:rFonts w:ascii="Arial" w:cs="Arial" w:eastAsia="Arial" w:hAnsi="Arial"/>
                <w:sz w:val="15"/>
                <w:szCs w:val="15"/>
                <w:b w:val="1"/>
                <w:bCs w:val="1"/>
                <w:color w:val="auto"/>
              </w:rPr>
              <w:t>12,291</w:t>
            </w:r>
          </w:p>
        </w:tc>
        <w:tc>
          <w:tcPr>
            <w:tcW w:w="700" w:type="dxa"/>
            <w:vAlign w:val="bottom"/>
          </w:tcPr>
          <w:p>
            <w:pPr>
              <w:jc w:val="right"/>
              <w:ind w:right="307"/>
              <w:spacing w:after="0"/>
              <w:rPr>
                <w:sz w:val="20"/>
                <w:szCs w:val="20"/>
                <w:color w:val="auto"/>
              </w:rPr>
            </w:pPr>
            <w:r>
              <w:rPr>
                <w:rFonts w:ascii="Arial" w:cs="Arial" w:eastAsia="Arial" w:hAnsi="Arial"/>
                <w:sz w:val="15"/>
                <w:szCs w:val="15"/>
                <w:b w:val="1"/>
                <w:bCs w:val="1"/>
                <w:color w:val="auto"/>
              </w:rPr>
              <w:t>$</w:t>
            </w:r>
          </w:p>
        </w:tc>
        <w:tc>
          <w:tcPr>
            <w:tcW w:w="940" w:type="dxa"/>
            <w:vAlign w:val="bottom"/>
          </w:tcPr>
          <w:p>
            <w:pPr>
              <w:jc w:val="right"/>
              <w:ind w:right="126"/>
              <w:spacing w:after="0"/>
              <w:rPr>
                <w:sz w:val="20"/>
                <w:szCs w:val="20"/>
                <w:color w:val="auto"/>
              </w:rPr>
            </w:pPr>
            <w:r>
              <w:rPr>
                <w:rFonts w:ascii="Arial" w:cs="Arial" w:eastAsia="Arial" w:hAnsi="Arial"/>
                <w:sz w:val="15"/>
                <w:szCs w:val="15"/>
                <w:b w:val="1"/>
                <w:bCs w:val="1"/>
                <w:color w:val="auto"/>
              </w:rPr>
              <w:t>1,420</w:t>
            </w:r>
          </w:p>
        </w:tc>
        <w:tc>
          <w:tcPr>
            <w:tcW w:w="740" w:type="dxa"/>
            <w:vAlign w:val="bottom"/>
          </w:tcPr>
          <w:p>
            <w:pPr>
              <w:jc w:val="right"/>
              <w:ind w:right="307"/>
              <w:spacing w:after="0"/>
              <w:rPr>
                <w:sz w:val="20"/>
                <w:szCs w:val="20"/>
                <w:color w:val="auto"/>
              </w:rPr>
            </w:pPr>
            <w:r>
              <w:rPr>
                <w:rFonts w:ascii="Arial" w:cs="Arial" w:eastAsia="Arial" w:hAnsi="Arial"/>
                <w:sz w:val="15"/>
                <w:szCs w:val="15"/>
                <w:b w:val="1"/>
                <w:bCs w:val="1"/>
                <w:color w:val="auto"/>
              </w:rPr>
              <w:t>$</w:t>
            </w:r>
          </w:p>
        </w:tc>
        <w:tc>
          <w:tcPr>
            <w:tcW w:w="940" w:type="dxa"/>
            <w:vAlign w:val="bottom"/>
          </w:tcPr>
          <w:p>
            <w:pPr>
              <w:jc w:val="right"/>
              <w:ind w:right="106"/>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22</w:t>
            </w:r>
          </w:p>
        </w:tc>
        <w:tc>
          <w:tcPr>
            <w:tcW w:w="220" w:type="dxa"/>
            <w:vAlign w:val="bottom"/>
          </w:tcPr>
          <w:p>
            <w:pPr>
              <w:jc w:val="right"/>
              <w:ind w:right="6"/>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5"/>
                <w:szCs w:val="15"/>
                <w:color w:val="auto"/>
              </w:rPr>
              <w:t>Test preparation</w:t>
            </w:r>
          </w:p>
        </w:tc>
        <w:tc>
          <w:tcPr>
            <w:tcW w:w="20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680" w:type="dxa"/>
            <w:vAlign w:val="bottom"/>
          </w:tcPr>
          <w:p>
            <w:pPr>
              <w:spacing w:after="0"/>
              <w:rPr>
                <w:sz w:val="19"/>
                <w:szCs w:val="19"/>
                <w:color w:val="auto"/>
              </w:rPr>
            </w:pPr>
          </w:p>
        </w:tc>
        <w:tc>
          <w:tcPr>
            <w:tcW w:w="1000" w:type="dxa"/>
            <w:vAlign w:val="bottom"/>
          </w:tcPr>
          <w:p>
            <w:pPr>
              <w:jc w:val="right"/>
              <w:ind w:right="106"/>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spacing w:after="0"/>
              <w:rPr>
                <w:sz w:val="19"/>
                <w:szCs w:val="19"/>
                <w:color w:val="auto"/>
              </w:rPr>
            </w:pPr>
          </w:p>
        </w:tc>
        <w:tc>
          <w:tcPr>
            <w:tcW w:w="940" w:type="dxa"/>
            <w:vAlign w:val="bottom"/>
          </w:tcPr>
          <w:p>
            <w:pPr>
              <w:jc w:val="right"/>
              <w:ind w:right="126"/>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spacing w:after="0"/>
              <w:rPr>
                <w:sz w:val="19"/>
                <w:szCs w:val="19"/>
                <w:color w:val="auto"/>
              </w:rPr>
            </w:pPr>
          </w:p>
        </w:tc>
        <w:tc>
          <w:tcPr>
            <w:tcW w:w="940" w:type="dxa"/>
            <w:vAlign w:val="bottom"/>
          </w:tcPr>
          <w:p>
            <w:pPr>
              <w:jc w:val="right"/>
              <w:ind w:right="106"/>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5"/>
                <w:szCs w:val="15"/>
                <w:color w:val="auto"/>
              </w:rPr>
              <w:t>Kaplan international</w:t>
            </w:r>
          </w:p>
        </w:tc>
        <w:tc>
          <w:tcPr>
            <w:tcW w:w="20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Arial" w:cs="Arial" w:eastAsia="Arial" w:hAnsi="Arial"/>
                <w:sz w:val="15"/>
                <w:szCs w:val="15"/>
                <w:b w:val="1"/>
                <w:bCs w:val="1"/>
                <w:color w:val="auto"/>
              </w:rPr>
              <w:t>1,172</w:t>
            </w:r>
          </w:p>
        </w:tc>
        <w:tc>
          <w:tcPr>
            <w:tcW w:w="680" w:type="dxa"/>
            <w:vAlign w:val="bottom"/>
          </w:tcPr>
          <w:p>
            <w:pPr>
              <w:spacing w:after="0"/>
              <w:rPr>
                <w:sz w:val="19"/>
                <w:szCs w:val="19"/>
                <w:color w:val="auto"/>
              </w:rPr>
            </w:pPr>
          </w:p>
        </w:tc>
        <w:tc>
          <w:tcPr>
            <w:tcW w:w="1000" w:type="dxa"/>
            <w:vAlign w:val="bottom"/>
          </w:tcPr>
          <w:p>
            <w:pPr>
              <w:jc w:val="right"/>
              <w:ind w:right="106"/>
              <w:spacing w:after="0"/>
              <w:rPr>
                <w:sz w:val="20"/>
                <w:szCs w:val="20"/>
                <w:color w:val="auto"/>
              </w:rPr>
            </w:pPr>
            <w:r>
              <w:rPr>
                <w:rFonts w:ascii="Arial" w:cs="Arial" w:eastAsia="Arial" w:hAnsi="Arial"/>
                <w:sz w:val="15"/>
                <w:szCs w:val="15"/>
                <w:b w:val="1"/>
                <w:bCs w:val="1"/>
                <w:color w:val="auto"/>
              </w:rPr>
              <w:t>4,294</w:t>
            </w:r>
          </w:p>
        </w:tc>
        <w:tc>
          <w:tcPr>
            <w:tcW w:w="700" w:type="dxa"/>
            <w:vAlign w:val="bottom"/>
          </w:tcPr>
          <w:p>
            <w:pPr>
              <w:spacing w:after="0"/>
              <w:rPr>
                <w:sz w:val="19"/>
                <w:szCs w:val="19"/>
                <w:color w:val="auto"/>
              </w:rPr>
            </w:pPr>
          </w:p>
        </w:tc>
        <w:tc>
          <w:tcPr>
            <w:tcW w:w="940" w:type="dxa"/>
            <w:vAlign w:val="bottom"/>
          </w:tcPr>
          <w:p>
            <w:pPr>
              <w:jc w:val="right"/>
              <w:ind w:right="126"/>
              <w:spacing w:after="0"/>
              <w:rPr>
                <w:sz w:val="20"/>
                <w:szCs w:val="20"/>
                <w:color w:val="auto"/>
              </w:rPr>
            </w:pPr>
            <w:r>
              <w:rPr>
                <w:rFonts w:ascii="Arial" w:cs="Arial" w:eastAsia="Arial" w:hAnsi="Arial"/>
                <w:sz w:val="15"/>
                <w:szCs w:val="15"/>
                <w:b w:val="1"/>
                <w:bCs w:val="1"/>
                <w:color w:val="auto"/>
              </w:rPr>
              <w:t>8,374</w:t>
            </w:r>
          </w:p>
        </w:tc>
        <w:tc>
          <w:tcPr>
            <w:tcW w:w="740" w:type="dxa"/>
            <w:vAlign w:val="bottom"/>
          </w:tcPr>
          <w:p>
            <w:pPr>
              <w:spacing w:after="0"/>
              <w:rPr>
                <w:sz w:val="19"/>
                <w:szCs w:val="19"/>
                <w:color w:val="auto"/>
              </w:rPr>
            </w:pPr>
          </w:p>
        </w:tc>
        <w:tc>
          <w:tcPr>
            <w:tcW w:w="940" w:type="dxa"/>
            <w:vAlign w:val="bottom"/>
          </w:tcPr>
          <w:p>
            <w:pPr>
              <w:jc w:val="right"/>
              <w:ind w:right="106"/>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1,042</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5"/>
                <w:szCs w:val="15"/>
                <w:color w:val="auto"/>
              </w:rPr>
              <w:t>Kaplan corporate and amortization of intangible assets</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1,485</w:t>
            </w: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2,595</w:t>
            </w: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5,868</w:t>
            </w:r>
          </w:p>
        </w:tc>
        <w:tc>
          <w:tcPr>
            <w:tcW w:w="68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16,585</w:t>
            </w:r>
          </w:p>
        </w:tc>
        <w:tc>
          <w:tcPr>
            <w:tcW w:w="70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9,794</w:t>
            </w:r>
          </w:p>
        </w:tc>
        <w:tc>
          <w:tcPr>
            <w:tcW w:w="74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2,595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1,064</w:t>
            </w:r>
          </w:p>
        </w:tc>
        <w:tc>
          <w:tcPr>
            <w:tcW w:w="2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5"/>
                <w:szCs w:val="15"/>
                <w:b w:val="1"/>
                <w:bCs w:val="1"/>
                <w:color w:val="auto"/>
              </w:rPr>
              <w:t>Three Months Ended December 31, 2011</w:t>
            </w: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5"/>
                <w:szCs w:val="15"/>
                <w:color w:val="auto"/>
              </w:rPr>
              <w:t>Higher education</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6"/>
              <w:spacing w:after="0"/>
              <w:rPr>
                <w:sz w:val="20"/>
                <w:szCs w:val="20"/>
                <w:color w:val="auto"/>
              </w:rPr>
            </w:pPr>
            <w:r>
              <w:rPr>
                <w:rFonts w:ascii="Arial" w:cs="Arial" w:eastAsia="Arial" w:hAnsi="Arial"/>
                <w:sz w:val="15"/>
                <w:szCs w:val="15"/>
                <w:color w:val="auto"/>
              </w:rPr>
              <w:t>4,048</w:t>
            </w:r>
          </w:p>
        </w:tc>
        <w:tc>
          <w:tcPr>
            <w:tcW w:w="680" w:type="dxa"/>
            <w:vAlign w:val="bottom"/>
          </w:tcPr>
          <w:p>
            <w:pPr>
              <w:jc w:val="right"/>
              <w:ind w:right="307"/>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6"/>
              <w:spacing w:after="0"/>
              <w:rPr>
                <w:sz w:val="20"/>
                <w:szCs w:val="20"/>
                <w:color w:val="auto"/>
              </w:rPr>
            </w:pPr>
            <w:r>
              <w:rPr>
                <w:rFonts w:ascii="Arial" w:cs="Arial" w:eastAsia="Arial" w:hAnsi="Arial"/>
                <w:sz w:val="15"/>
                <w:szCs w:val="15"/>
                <w:color w:val="auto"/>
              </w:rPr>
              <w:t>1,219</w:t>
            </w:r>
          </w:p>
        </w:tc>
        <w:tc>
          <w:tcPr>
            <w:tcW w:w="700" w:type="dxa"/>
            <w:vAlign w:val="bottom"/>
          </w:tcPr>
          <w:p>
            <w:pPr>
              <w:jc w:val="right"/>
              <w:ind w:right="307"/>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26"/>
              <w:spacing w:after="0"/>
              <w:rPr>
                <w:sz w:val="20"/>
                <w:szCs w:val="20"/>
                <w:color w:val="auto"/>
              </w:rPr>
            </w:pPr>
            <w:r>
              <w:rPr>
                <w:rFonts w:ascii="Arial" w:cs="Arial" w:eastAsia="Arial" w:hAnsi="Arial"/>
                <w:sz w:val="15"/>
                <w:szCs w:val="15"/>
                <w:color w:val="auto"/>
              </w:rPr>
              <w:t>676</w:t>
            </w:r>
          </w:p>
        </w:tc>
        <w:tc>
          <w:tcPr>
            <w:tcW w:w="740" w:type="dxa"/>
            <w:vAlign w:val="bottom"/>
          </w:tcPr>
          <w:p>
            <w:pPr>
              <w:jc w:val="right"/>
              <w:ind w:right="307"/>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169</w:t>
            </w:r>
          </w:p>
        </w:tc>
        <w:tc>
          <w:tcPr>
            <w:tcW w:w="2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5"/>
                <w:szCs w:val="15"/>
                <w:color w:val="auto"/>
              </w:rPr>
              <w:t>Test preparation</w:t>
            </w:r>
          </w:p>
        </w:tc>
        <w:tc>
          <w:tcPr>
            <w:tcW w:w="20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Arial" w:cs="Arial" w:eastAsia="Arial" w:hAnsi="Arial"/>
                <w:sz w:val="15"/>
                <w:szCs w:val="15"/>
                <w:color w:val="auto"/>
              </w:rPr>
              <w:t>439</w:t>
            </w:r>
          </w:p>
        </w:tc>
        <w:tc>
          <w:tcPr>
            <w:tcW w:w="680" w:type="dxa"/>
            <w:vAlign w:val="bottom"/>
          </w:tcPr>
          <w:p>
            <w:pPr>
              <w:spacing w:after="0"/>
              <w:rPr>
                <w:sz w:val="19"/>
                <w:szCs w:val="19"/>
                <w:color w:val="auto"/>
              </w:rPr>
            </w:pPr>
          </w:p>
        </w:tc>
        <w:tc>
          <w:tcPr>
            <w:tcW w:w="1000" w:type="dxa"/>
            <w:vAlign w:val="bottom"/>
          </w:tcPr>
          <w:p>
            <w:pPr>
              <w:jc w:val="right"/>
              <w:ind w:right="106"/>
              <w:spacing w:after="0"/>
              <w:rPr>
                <w:sz w:val="20"/>
                <w:szCs w:val="20"/>
                <w:color w:val="auto"/>
              </w:rPr>
            </w:pPr>
            <w:r>
              <w:rPr>
                <w:rFonts w:ascii="Arial" w:cs="Arial" w:eastAsia="Arial" w:hAnsi="Arial"/>
                <w:sz w:val="15"/>
                <w:szCs w:val="15"/>
                <w:color w:val="auto"/>
              </w:rPr>
              <w:t>50</w:t>
            </w:r>
          </w:p>
        </w:tc>
        <w:tc>
          <w:tcPr>
            <w:tcW w:w="700" w:type="dxa"/>
            <w:vAlign w:val="bottom"/>
          </w:tcPr>
          <w:p>
            <w:pPr>
              <w:spacing w:after="0"/>
              <w:rPr>
                <w:sz w:val="19"/>
                <w:szCs w:val="19"/>
                <w:color w:val="auto"/>
              </w:rPr>
            </w:pPr>
          </w:p>
        </w:tc>
        <w:tc>
          <w:tcPr>
            <w:tcW w:w="9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9"/>
                <w:szCs w:val="19"/>
                <w:color w:val="auto"/>
              </w:rPr>
            </w:pPr>
          </w:p>
        </w:tc>
        <w:tc>
          <w:tcPr>
            <w:tcW w:w="94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5"/>
                <w:szCs w:val="15"/>
                <w:color w:val="auto"/>
              </w:rPr>
              <w:t>Kaplan international</w:t>
            </w:r>
          </w:p>
        </w:tc>
        <w:tc>
          <w:tcPr>
            <w:tcW w:w="20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Arial" w:cs="Arial" w:eastAsia="Arial" w:hAnsi="Arial"/>
                <w:sz w:val="15"/>
                <w:szCs w:val="15"/>
                <w:color w:val="auto"/>
              </w:rPr>
              <w:t>1,035</w:t>
            </w:r>
          </w:p>
        </w:tc>
        <w:tc>
          <w:tcPr>
            <w:tcW w:w="680" w:type="dxa"/>
            <w:vAlign w:val="bottom"/>
          </w:tcPr>
          <w:p>
            <w:pPr>
              <w:spacing w:after="0"/>
              <w:rPr>
                <w:sz w:val="19"/>
                <w:szCs w:val="19"/>
                <w:color w:val="auto"/>
              </w:rPr>
            </w:pPr>
          </w:p>
        </w:tc>
        <w:tc>
          <w:tcPr>
            <w:tcW w:w="100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700" w:type="dxa"/>
            <w:vAlign w:val="bottom"/>
          </w:tcPr>
          <w:p>
            <w:pPr>
              <w:spacing w:after="0"/>
              <w:rPr>
                <w:sz w:val="19"/>
                <w:szCs w:val="19"/>
                <w:color w:val="auto"/>
              </w:rPr>
            </w:pPr>
          </w:p>
        </w:tc>
        <w:tc>
          <w:tcPr>
            <w:tcW w:w="9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9"/>
                <w:szCs w:val="19"/>
                <w:color w:val="auto"/>
              </w:rPr>
            </w:pPr>
          </w:p>
        </w:tc>
        <w:tc>
          <w:tcPr>
            <w:tcW w:w="94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5"/>
                <w:szCs w:val="15"/>
                <w:color w:val="auto"/>
              </w:rPr>
              <w:t>Kaplan corporate and amortization of intangible assets</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1,695</w:t>
            </w: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7,217</w:t>
            </w:r>
          </w:p>
        </w:tc>
        <w:tc>
          <w:tcPr>
            <w:tcW w:w="68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1,269</w:t>
            </w:r>
          </w:p>
        </w:tc>
        <w:tc>
          <w:tcPr>
            <w:tcW w:w="70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676</w:t>
            </w:r>
          </w:p>
        </w:tc>
        <w:tc>
          <w:tcPr>
            <w:tcW w:w="74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w:t>
            </w:r>
          </w:p>
        </w:tc>
        <w:tc>
          <w:tcPr>
            <w:tcW w:w="2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5"/>
                <w:szCs w:val="15"/>
                <w:b w:val="1"/>
                <w:bCs w:val="1"/>
                <w:color w:val="auto"/>
              </w:rPr>
              <w:t>Twelve Months Ended December 31, 2012</w:t>
            </w: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5"/>
                <w:szCs w:val="15"/>
                <w:color w:val="auto"/>
              </w:rPr>
              <w:t>Higher education</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jc w:val="right"/>
              <w:ind w:right="26"/>
              <w:spacing w:after="0"/>
              <w:rPr>
                <w:sz w:val="20"/>
                <w:szCs w:val="20"/>
                <w:color w:val="auto"/>
              </w:rPr>
            </w:pPr>
            <w:r>
              <w:rPr>
                <w:rFonts w:ascii="Arial" w:cs="Arial" w:eastAsia="Arial" w:hAnsi="Arial"/>
                <w:sz w:val="15"/>
                <w:szCs w:val="15"/>
                <w:b w:val="1"/>
                <w:bCs w:val="1"/>
                <w:color w:val="auto"/>
              </w:rPr>
              <w:t>8,807</w:t>
            </w:r>
          </w:p>
        </w:tc>
        <w:tc>
          <w:tcPr>
            <w:tcW w:w="680" w:type="dxa"/>
            <w:vAlign w:val="bottom"/>
          </w:tcPr>
          <w:p>
            <w:pPr>
              <w:jc w:val="right"/>
              <w:ind w:right="307"/>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106"/>
              <w:spacing w:after="0"/>
              <w:rPr>
                <w:sz w:val="20"/>
                <w:szCs w:val="20"/>
                <w:color w:val="auto"/>
              </w:rPr>
            </w:pPr>
            <w:r>
              <w:rPr>
                <w:rFonts w:ascii="Arial" w:cs="Arial" w:eastAsia="Arial" w:hAnsi="Arial"/>
                <w:sz w:val="15"/>
                <w:szCs w:val="15"/>
                <w:b w:val="1"/>
                <w:bCs w:val="1"/>
                <w:color w:val="auto"/>
              </w:rPr>
              <w:t>12,936</w:t>
            </w:r>
          </w:p>
        </w:tc>
        <w:tc>
          <w:tcPr>
            <w:tcW w:w="700" w:type="dxa"/>
            <w:vAlign w:val="bottom"/>
          </w:tcPr>
          <w:p>
            <w:pPr>
              <w:jc w:val="right"/>
              <w:ind w:right="307"/>
              <w:spacing w:after="0"/>
              <w:rPr>
                <w:sz w:val="20"/>
                <w:szCs w:val="20"/>
                <w:color w:val="auto"/>
              </w:rPr>
            </w:pPr>
            <w:r>
              <w:rPr>
                <w:rFonts w:ascii="Arial" w:cs="Arial" w:eastAsia="Arial" w:hAnsi="Arial"/>
                <w:sz w:val="15"/>
                <w:szCs w:val="15"/>
                <w:b w:val="1"/>
                <w:bCs w:val="1"/>
                <w:color w:val="auto"/>
              </w:rPr>
              <w:t>$</w:t>
            </w:r>
          </w:p>
        </w:tc>
        <w:tc>
          <w:tcPr>
            <w:tcW w:w="940" w:type="dxa"/>
            <w:vAlign w:val="bottom"/>
          </w:tcPr>
          <w:p>
            <w:pPr>
              <w:jc w:val="right"/>
              <w:ind w:right="126"/>
              <w:spacing w:after="0"/>
              <w:rPr>
                <w:sz w:val="20"/>
                <w:szCs w:val="20"/>
                <w:color w:val="auto"/>
              </w:rPr>
            </w:pPr>
            <w:r>
              <w:rPr>
                <w:rFonts w:ascii="Arial" w:cs="Arial" w:eastAsia="Arial" w:hAnsi="Arial"/>
                <w:sz w:val="15"/>
                <w:szCs w:val="15"/>
                <w:b w:val="1"/>
                <w:bCs w:val="1"/>
                <w:color w:val="auto"/>
              </w:rPr>
              <w:t>1,420</w:t>
            </w:r>
          </w:p>
        </w:tc>
        <w:tc>
          <w:tcPr>
            <w:tcW w:w="740" w:type="dxa"/>
            <w:vAlign w:val="bottom"/>
          </w:tcPr>
          <w:p>
            <w:pPr>
              <w:jc w:val="right"/>
              <w:ind w:right="307"/>
              <w:spacing w:after="0"/>
              <w:rPr>
                <w:sz w:val="20"/>
                <w:szCs w:val="20"/>
                <w:color w:val="auto"/>
              </w:rPr>
            </w:pPr>
            <w:r>
              <w:rPr>
                <w:rFonts w:ascii="Arial" w:cs="Arial" w:eastAsia="Arial" w:hAnsi="Arial"/>
                <w:sz w:val="15"/>
                <w:szCs w:val="15"/>
                <w:b w:val="1"/>
                <w:bCs w:val="1"/>
                <w:color w:val="auto"/>
              </w:rPr>
              <w:t>$</w:t>
            </w:r>
          </w:p>
        </w:tc>
        <w:tc>
          <w:tcPr>
            <w:tcW w:w="940" w:type="dxa"/>
            <w:vAlign w:val="bottom"/>
          </w:tcPr>
          <w:p>
            <w:pPr>
              <w:jc w:val="right"/>
              <w:ind w:right="106"/>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232</w:t>
            </w:r>
          </w:p>
        </w:tc>
        <w:tc>
          <w:tcPr>
            <w:tcW w:w="220" w:type="dxa"/>
            <w:vAlign w:val="bottom"/>
          </w:tcPr>
          <w:p>
            <w:pPr>
              <w:jc w:val="right"/>
              <w:ind w:right="6"/>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rPr>
              <w:t>2</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5"/>
                <w:szCs w:val="15"/>
                <w:color w:val="auto"/>
              </w:rPr>
              <w:t>Test preparation</w:t>
            </w:r>
          </w:p>
        </w:tc>
        <w:tc>
          <w:tcPr>
            <w:tcW w:w="20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Arial" w:cs="Arial" w:eastAsia="Arial" w:hAnsi="Arial"/>
                <w:sz w:val="15"/>
                <w:szCs w:val="15"/>
                <w:b w:val="1"/>
                <w:bCs w:val="1"/>
                <w:color w:val="auto"/>
              </w:rPr>
              <w:t>―</w:t>
            </w:r>
          </w:p>
        </w:tc>
        <w:tc>
          <w:tcPr>
            <w:tcW w:w="680" w:type="dxa"/>
            <w:vAlign w:val="bottom"/>
          </w:tcPr>
          <w:p>
            <w:pPr>
              <w:spacing w:after="0"/>
              <w:rPr>
                <w:sz w:val="19"/>
                <w:szCs w:val="19"/>
                <w:color w:val="auto"/>
              </w:rPr>
            </w:pPr>
          </w:p>
        </w:tc>
        <w:tc>
          <w:tcPr>
            <w:tcW w:w="1000" w:type="dxa"/>
            <w:vAlign w:val="bottom"/>
          </w:tcPr>
          <w:p>
            <w:pPr>
              <w:jc w:val="right"/>
              <w:ind w:right="106"/>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spacing w:after="0"/>
              <w:rPr>
                <w:sz w:val="19"/>
                <w:szCs w:val="19"/>
                <w:color w:val="auto"/>
              </w:rPr>
            </w:pPr>
          </w:p>
        </w:tc>
        <w:tc>
          <w:tcPr>
            <w:tcW w:w="940" w:type="dxa"/>
            <w:vAlign w:val="bottom"/>
          </w:tcPr>
          <w:p>
            <w:pPr>
              <w:jc w:val="right"/>
              <w:ind w:right="126"/>
              <w:spacing w:after="0"/>
              <w:rPr>
                <w:sz w:val="20"/>
                <w:szCs w:val="20"/>
                <w:color w:val="auto"/>
              </w:rPr>
            </w:pPr>
            <w:r>
              <w:rPr>
                <w:rFonts w:ascii="Arial" w:cs="Arial" w:eastAsia="Arial" w:hAnsi="Arial"/>
                <w:sz w:val="15"/>
                <w:szCs w:val="15"/>
                <w:b w:val="1"/>
                <w:bCs w:val="1"/>
                <w:color w:val="auto"/>
              </w:rPr>
              <w:t>―</w:t>
            </w:r>
          </w:p>
        </w:tc>
        <w:tc>
          <w:tcPr>
            <w:tcW w:w="740" w:type="dxa"/>
            <w:vAlign w:val="bottom"/>
          </w:tcPr>
          <w:p>
            <w:pPr>
              <w:spacing w:after="0"/>
              <w:rPr>
                <w:sz w:val="19"/>
                <w:szCs w:val="19"/>
                <w:color w:val="auto"/>
              </w:rPr>
            </w:pPr>
          </w:p>
        </w:tc>
        <w:tc>
          <w:tcPr>
            <w:tcW w:w="940" w:type="dxa"/>
            <w:vAlign w:val="bottom"/>
          </w:tcPr>
          <w:p>
            <w:pPr>
              <w:jc w:val="right"/>
              <w:ind w:right="106"/>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5"/>
                <w:szCs w:val="15"/>
                <w:color w:val="auto"/>
              </w:rPr>
              <w:t>Kaplan international</w:t>
            </w:r>
          </w:p>
        </w:tc>
        <w:tc>
          <w:tcPr>
            <w:tcW w:w="20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Arial" w:cs="Arial" w:eastAsia="Arial" w:hAnsi="Arial"/>
                <w:sz w:val="15"/>
                <w:szCs w:val="15"/>
                <w:b w:val="1"/>
                <w:bCs w:val="1"/>
                <w:color w:val="auto"/>
              </w:rPr>
              <w:t>2,732</w:t>
            </w:r>
          </w:p>
        </w:tc>
        <w:tc>
          <w:tcPr>
            <w:tcW w:w="680" w:type="dxa"/>
            <w:vAlign w:val="bottom"/>
          </w:tcPr>
          <w:p>
            <w:pPr>
              <w:spacing w:after="0"/>
              <w:rPr>
                <w:sz w:val="19"/>
                <w:szCs w:val="19"/>
                <w:color w:val="auto"/>
              </w:rPr>
            </w:pPr>
          </w:p>
        </w:tc>
        <w:tc>
          <w:tcPr>
            <w:tcW w:w="1000" w:type="dxa"/>
            <w:vAlign w:val="bottom"/>
          </w:tcPr>
          <w:p>
            <w:pPr>
              <w:jc w:val="right"/>
              <w:ind w:right="106"/>
              <w:spacing w:after="0"/>
              <w:rPr>
                <w:sz w:val="20"/>
                <w:szCs w:val="20"/>
                <w:color w:val="auto"/>
              </w:rPr>
            </w:pPr>
            <w:r>
              <w:rPr>
                <w:rFonts w:ascii="Arial" w:cs="Arial" w:eastAsia="Arial" w:hAnsi="Arial"/>
                <w:sz w:val="15"/>
                <w:szCs w:val="15"/>
                <w:b w:val="1"/>
                <w:bCs w:val="1"/>
                <w:color w:val="auto"/>
              </w:rPr>
              <w:t>4,294</w:t>
            </w:r>
          </w:p>
        </w:tc>
        <w:tc>
          <w:tcPr>
            <w:tcW w:w="700" w:type="dxa"/>
            <w:vAlign w:val="bottom"/>
          </w:tcPr>
          <w:p>
            <w:pPr>
              <w:spacing w:after="0"/>
              <w:rPr>
                <w:sz w:val="19"/>
                <w:szCs w:val="19"/>
                <w:color w:val="auto"/>
              </w:rPr>
            </w:pPr>
          </w:p>
        </w:tc>
        <w:tc>
          <w:tcPr>
            <w:tcW w:w="940" w:type="dxa"/>
            <w:vAlign w:val="bottom"/>
          </w:tcPr>
          <w:p>
            <w:pPr>
              <w:jc w:val="right"/>
              <w:ind w:right="126"/>
              <w:spacing w:after="0"/>
              <w:rPr>
                <w:sz w:val="20"/>
                <w:szCs w:val="20"/>
                <w:color w:val="auto"/>
              </w:rPr>
            </w:pPr>
            <w:r>
              <w:rPr>
                <w:rFonts w:ascii="Arial" w:cs="Arial" w:eastAsia="Arial" w:hAnsi="Arial"/>
                <w:sz w:val="15"/>
                <w:szCs w:val="15"/>
                <w:b w:val="1"/>
                <w:bCs w:val="1"/>
                <w:color w:val="auto"/>
              </w:rPr>
              <w:t>8,374</w:t>
            </w:r>
          </w:p>
        </w:tc>
        <w:tc>
          <w:tcPr>
            <w:tcW w:w="740" w:type="dxa"/>
            <w:vAlign w:val="bottom"/>
          </w:tcPr>
          <w:p>
            <w:pPr>
              <w:spacing w:after="0"/>
              <w:rPr>
                <w:sz w:val="19"/>
                <w:szCs w:val="19"/>
                <w:color w:val="auto"/>
              </w:rPr>
            </w:pPr>
          </w:p>
        </w:tc>
        <w:tc>
          <w:tcPr>
            <w:tcW w:w="940" w:type="dxa"/>
            <w:vAlign w:val="bottom"/>
          </w:tcPr>
          <w:p>
            <w:pPr>
              <w:jc w:val="right"/>
              <w:ind w:right="106"/>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5"/>
                <w:szCs w:val="15"/>
                <w:b w:val="1"/>
                <w:bCs w:val="1"/>
                <w:color w:val="auto"/>
              </w:rPr>
              <w:t>1,042</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5"/>
                <w:szCs w:val="15"/>
                <w:color w:val="auto"/>
              </w:rPr>
              <w:t>Kaplan corporate and amortization of intangible assets</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2,810</w:t>
            </w: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w:t>
            </w: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2,595</w:t>
            </w: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6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14,349</w:t>
            </w:r>
          </w:p>
        </w:tc>
        <w:tc>
          <w:tcPr>
            <w:tcW w:w="68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17,230</w:t>
            </w:r>
          </w:p>
        </w:tc>
        <w:tc>
          <w:tcPr>
            <w:tcW w:w="70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9,794</w:t>
            </w:r>
          </w:p>
        </w:tc>
        <w:tc>
          <w:tcPr>
            <w:tcW w:w="74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2,595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1,274</w:t>
            </w:r>
          </w:p>
        </w:tc>
        <w:tc>
          <w:tcPr>
            <w:tcW w:w="2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5"/>
                <w:szCs w:val="15"/>
                <w:b w:val="1"/>
                <w:bCs w:val="1"/>
                <w:color w:val="auto"/>
              </w:rPr>
              <w:t>Twelve Months Ended December 31, 2011</w:t>
            </w: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5"/>
                <w:szCs w:val="15"/>
                <w:color w:val="auto"/>
              </w:rPr>
              <w:t>Higher education</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6"/>
              <w:spacing w:after="0"/>
              <w:rPr>
                <w:sz w:val="20"/>
                <w:szCs w:val="20"/>
                <w:color w:val="auto"/>
              </w:rPr>
            </w:pPr>
            <w:r>
              <w:rPr>
                <w:rFonts w:ascii="Arial" w:cs="Arial" w:eastAsia="Arial" w:hAnsi="Arial"/>
                <w:sz w:val="15"/>
                <w:szCs w:val="15"/>
                <w:color w:val="auto"/>
              </w:rPr>
              <w:t>11,101</w:t>
            </w:r>
          </w:p>
        </w:tc>
        <w:tc>
          <w:tcPr>
            <w:tcW w:w="680" w:type="dxa"/>
            <w:vAlign w:val="bottom"/>
          </w:tcPr>
          <w:p>
            <w:pPr>
              <w:jc w:val="right"/>
              <w:ind w:right="307"/>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06"/>
              <w:spacing w:after="0"/>
              <w:rPr>
                <w:sz w:val="20"/>
                <w:szCs w:val="20"/>
                <w:color w:val="auto"/>
              </w:rPr>
            </w:pPr>
            <w:r>
              <w:rPr>
                <w:rFonts w:ascii="Arial" w:cs="Arial" w:eastAsia="Arial" w:hAnsi="Arial"/>
                <w:sz w:val="15"/>
                <w:szCs w:val="15"/>
                <w:color w:val="auto"/>
              </w:rPr>
              <w:t>1,219</w:t>
            </w:r>
          </w:p>
        </w:tc>
        <w:tc>
          <w:tcPr>
            <w:tcW w:w="700" w:type="dxa"/>
            <w:vAlign w:val="bottom"/>
          </w:tcPr>
          <w:p>
            <w:pPr>
              <w:jc w:val="right"/>
              <w:ind w:right="307"/>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26"/>
              <w:spacing w:after="0"/>
              <w:rPr>
                <w:sz w:val="20"/>
                <w:szCs w:val="20"/>
                <w:color w:val="auto"/>
              </w:rPr>
            </w:pPr>
            <w:r>
              <w:rPr>
                <w:rFonts w:ascii="Arial" w:cs="Arial" w:eastAsia="Arial" w:hAnsi="Arial"/>
                <w:sz w:val="15"/>
                <w:szCs w:val="15"/>
                <w:color w:val="auto"/>
              </w:rPr>
              <w:t>676</w:t>
            </w:r>
          </w:p>
        </w:tc>
        <w:tc>
          <w:tcPr>
            <w:tcW w:w="740" w:type="dxa"/>
            <w:vAlign w:val="bottom"/>
          </w:tcPr>
          <w:p>
            <w:pPr>
              <w:jc w:val="right"/>
              <w:ind w:right="307"/>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205</w:t>
            </w:r>
          </w:p>
        </w:tc>
        <w:tc>
          <w:tcPr>
            <w:tcW w:w="2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5"/>
                <w:szCs w:val="15"/>
                <w:color w:val="auto"/>
              </w:rPr>
              <w:t>Test preparation</w:t>
            </w:r>
          </w:p>
        </w:tc>
        <w:tc>
          <w:tcPr>
            <w:tcW w:w="20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Arial" w:cs="Arial" w:eastAsia="Arial" w:hAnsi="Arial"/>
                <w:sz w:val="15"/>
                <w:szCs w:val="15"/>
                <w:color w:val="auto"/>
              </w:rPr>
              <w:t>2,899</w:t>
            </w:r>
          </w:p>
        </w:tc>
        <w:tc>
          <w:tcPr>
            <w:tcW w:w="680" w:type="dxa"/>
            <w:vAlign w:val="bottom"/>
          </w:tcPr>
          <w:p>
            <w:pPr>
              <w:spacing w:after="0"/>
              <w:rPr>
                <w:sz w:val="19"/>
                <w:szCs w:val="19"/>
                <w:color w:val="auto"/>
              </w:rPr>
            </w:pPr>
          </w:p>
        </w:tc>
        <w:tc>
          <w:tcPr>
            <w:tcW w:w="1000" w:type="dxa"/>
            <w:vAlign w:val="bottom"/>
          </w:tcPr>
          <w:p>
            <w:pPr>
              <w:jc w:val="right"/>
              <w:ind w:right="106"/>
              <w:spacing w:after="0"/>
              <w:rPr>
                <w:sz w:val="20"/>
                <w:szCs w:val="20"/>
                <w:color w:val="auto"/>
              </w:rPr>
            </w:pPr>
            <w:r>
              <w:rPr>
                <w:rFonts w:ascii="Arial" w:cs="Arial" w:eastAsia="Arial" w:hAnsi="Arial"/>
                <w:sz w:val="15"/>
                <w:szCs w:val="15"/>
                <w:color w:val="auto"/>
              </w:rPr>
              <w:t>2,746</w:t>
            </w:r>
          </w:p>
        </w:tc>
        <w:tc>
          <w:tcPr>
            <w:tcW w:w="700" w:type="dxa"/>
            <w:vAlign w:val="bottom"/>
          </w:tcPr>
          <w:p>
            <w:pPr>
              <w:spacing w:after="0"/>
              <w:rPr>
                <w:sz w:val="19"/>
                <w:szCs w:val="19"/>
                <w:color w:val="auto"/>
              </w:rPr>
            </w:pPr>
          </w:p>
        </w:tc>
        <w:tc>
          <w:tcPr>
            <w:tcW w:w="940" w:type="dxa"/>
            <w:vAlign w:val="bottom"/>
          </w:tcPr>
          <w:p>
            <w:pPr>
              <w:jc w:val="right"/>
              <w:ind w:right="126"/>
              <w:spacing w:after="0"/>
              <w:rPr>
                <w:sz w:val="20"/>
                <w:szCs w:val="20"/>
                <w:color w:val="auto"/>
              </w:rPr>
            </w:pPr>
            <w:r>
              <w:rPr>
                <w:rFonts w:ascii="Arial" w:cs="Arial" w:eastAsia="Arial" w:hAnsi="Arial"/>
                <w:sz w:val="15"/>
                <w:szCs w:val="15"/>
                <w:color w:val="auto"/>
              </w:rPr>
              <w:t>6,894</w:t>
            </w:r>
          </w:p>
        </w:tc>
        <w:tc>
          <w:tcPr>
            <w:tcW w:w="740" w:type="dxa"/>
            <w:vAlign w:val="bottom"/>
          </w:tcPr>
          <w:p>
            <w:pPr>
              <w:spacing w:after="0"/>
              <w:rPr>
                <w:sz w:val="19"/>
                <w:szCs w:val="19"/>
                <w:color w:val="auto"/>
              </w:rPr>
            </w:pPr>
          </w:p>
        </w:tc>
        <w:tc>
          <w:tcPr>
            <w:tcW w:w="94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5"/>
                <w:szCs w:val="15"/>
                <w:color w:val="auto"/>
              </w:rPr>
              <w:t>Kaplan international</w:t>
            </w:r>
          </w:p>
        </w:tc>
        <w:tc>
          <w:tcPr>
            <w:tcW w:w="200" w:type="dxa"/>
            <w:vAlign w:val="bottom"/>
          </w:tcPr>
          <w:p>
            <w:pPr>
              <w:spacing w:after="0"/>
              <w:rPr>
                <w:sz w:val="19"/>
                <w:szCs w:val="19"/>
                <w:color w:val="auto"/>
              </w:rPr>
            </w:pPr>
          </w:p>
        </w:tc>
        <w:tc>
          <w:tcPr>
            <w:tcW w:w="620" w:type="dxa"/>
            <w:vAlign w:val="bottom"/>
          </w:tcPr>
          <w:p>
            <w:pPr>
              <w:jc w:val="right"/>
              <w:ind w:right="26"/>
              <w:spacing w:after="0"/>
              <w:rPr>
                <w:sz w:val="20"/>
                <w:szCs w:val="20"/>
                <w:color w:val="auto"/>
              </w:rPr>
            </w:pPr>
            <w:r>
              <w:rPr>
                <w:rFonts w:ascii="Arial" w:cs="Arial" w:eastAsia="Arial" w:hAnsi="Arial"/>
                <w:sz w:val="15"/>
                <w:szCs w:val="15"/>
                <w:color w:val="auto"/>
              </w:rPr>
              <w:t>1,035</w:t>
            </w:r>
          </w:p>
        </w:tc>
        <w:tc>
          <w:tcPr>
            <w:tcW w:w="680" w:type="dxa"/>
            <w:vAlign w:val="bottom"/>
          </w:tcPr>
          <w:p>
            <w:pPr>
              <w:spacing w:after="0"/>
              <w:rPr>
                <w:sz w:val="19"/>
                <w:szCs w:val="19"/>
                <w:color w:val="auto"/>
              </w:rPr>
            </w:pPr>
          </w:p>
        </w:tc>
        <w:tc>
          <w:tcPr>
            <w:tcW w:w="100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700" w:type="dxa"/>
            <w:vAlign w:val="bottom"/>
          </w:tcPr>
          <w:p>
            <w:pPr>
              <w:spacing w:after="0"/>
              <w:rPr>
                <w:sz w:val="19"/>
                <w:szCs w:val="19"/>
                <w:color w:val="auto"/>
              </w:rPr>
            </w:pPr>
          </w:p>
        </w:tc>
        <w:tc>
          <w:tcPr>
            <w:tcW w:w="94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9"/>
                <w:szCs w:val="19"/>
                <w:color w:val="auto"/>
              </w:rPr>
            </w:pPr>
          </w:p>
        </w:tc>
        <w:tc>
          <w:tcPr>
            <w:tcW w:w="94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000" w:type="dxa"/>
            <w:vAlign w:val="bottom"/>
          </w:tcPr>
          <w:p>
            <w:pPr>
              <w:spacing w:after="0"/>
              <w:rPr>
                <w:sz w:val="20"/>
                <w:szCs w:val="20"/>
                <w:color w:val="auto"/>
              </w:rPr>
            </w:pPr>
            <w:r>
              <w:rPr>
                <w:rFonts w:ascii="Arial" w:cs="Arial" w:eastAsia="Arial" w:hAnsi="Arial"/>
                <w:sz w:val="15"/>
                <w:szCs w:val="15"/>
                <w:color w:val="auto"/>
              </w:rPr>
              <w:t>Kaplan corporate and amortization of intangible assets</w:t>
            </w: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2,170</w:t>
            </w:r>
          </w:p>
        </w:tc>
        <w:tc>
          <w:tcPr>
            <w:tcW w:w="6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17,205</w:t>
            </w:r>
          </w:p>
        </w:tc>
        <w:tc>
          <w:tcPr>
            <w:tcW w:w="68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3,965</w:t>
            </w:r>
          </w:p>
        </w:tc>
        <w:tc>
          <w:tcPr>
            <w:tcW w:w="70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7,570</w:t>
            </w:r>
          </w:p>
        </w:tc>
        <w:tc>
          <w:tcPr>
            <w:tcW w:w="74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w:t>
            </w:r>
          </w:p>
        </w:tc>
        <w:tc>
          <w:tcPr>
            <w:tcW w:w="2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-more-</w:t>
      </w:r>
    </w:p>
    <w:p>
      <w:pPr>
        <w:spacing w:after="0" w:line="177"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78740</wp:posOffset>
            </wp:positionV>
            <wp:extent cx="727837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854" w:right="1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NON-GAAP FINANCIAL INFORMATION</w:t>
      </w:r>
    </w:p>
    <w:p>
      <w:pPr>
        <w:spacing w:after="0" w:line="228" w:lineRule="auto"/>
        <w:rPr>
          <w:sz w:val="20"/>
          <w:szCs w:val="20"/>
          <w:color w:val="auto"/>
        </w:rPr>
      </w:pPr>
      <w:r>
        <w:rPr>
          <w:rFonts w:ascii="Arial" w:cs="Arial" w:eastAsia="Arial" w:hAnsi="Arial"/>
          <w:sz w:val="17"/>
          <w:szCs w:val="17"/>
          <w:color w:val="auto"/>
        </w:rPr>
        <w:t>THE WASHINGTON POST COMPANY</w:t>
      </w:r>
    </w:p>
    <w:p>
      <w:pPr>
        <w:spacing w:after="0"/>
        <w:rPr>
          <w:sz w:val="20"/>
          <w:szCs w:val="20"/>
          <w:color w:val="auto"/>
        </w:rPr>
      </w:pPr>
      <w:r>
        <w:rPr>
          <w:rFonts w:ascii="Arial" w:cs="Arial" w:eastAsia="Arial" w:hAnsi="Arial"/>
          <w:sz w:val="17"/>
          <w:szCs w:val="17"/>
          <w:color w:val="auto"/>
        </w:rPr>
        <w:t>(Unaudited)</w:t>
      </w:r>
    </w:p>
    <w:p>
      <w:pPr>
        <w:spacing w:after="0" w:line="177"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 addition to the results reported in accordance with accounting principles generally accepted in the United States (GAAP) included in this press relea the Company has provided information regarding income from continuing operations excluding certain items described below reconciled to the most d comparable GAAP measures. Management believes that these non-GAAP measures, when read in conjunction with the Company’s GAAP financials, provide useful information to investors by offering:</w:t>
      </w:r>
    </w:p>
    <w:p>
      <w:pPr>
        <w:spacing w:after="0" w:line="88" w:lineRule="exact"/>
        <w:rPr>
          <w:sz w:val="20"/>
          <w:szCs w:val="20"/>
          <w:color w:val="auto"/>
        </w:rPr>
      </w:pPr>
    </w:p>
    <w:p>
      <w:pPr>
        <w:ind w:left="420" w:hanging="131"/>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ability to make meaningful period-to-period comparisons of the Company’s ongoing results;</w:t>
      </w:r>
    </w:p>
    <w:p>
      <w:pPr>
        <w:spacing w:after="0" w:line="102" w:lineRule="exact"/>
        <w:rPr>
          <w:rFonts w:ascii="Arial" w:cs="Arial" w:eastAsia="Arial" w:hAnsi="Arial"/>
          <w:sz w:val="17"/>
          <w:szCs w:val="17"/>
          <w:color w:val="auto"/>
        </w:rPr>
      </w:pPr>
    </w:p>
    <w:p>
      <w:pPr>
        <w:ind w:left="420" w:hanging="131"/>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ability to identify trends in the Company’s underlying business; and</w:t>
      </w:r>
    </w:p>
    <w:p>
      <w:pPr>
        <w:spacing w:after="0" w:line="102" w:lineRule="exact"/>
        <w:rPr>
          <w:rFonts w:ascii="Arial" w:cs="Arial" w:eastAsia="Arial" w:hAnsi="Arial"/>
          <w:sz w:val="17"/>
          <w:szCs w:val="17"/>
          <w:color w:val="auto"/>
        </w:rPr>
      </w:pPr>
    </w:p>
    <w:p>
      <w:pPr>
        <w:ind w:left="420" w:hanging="131"/>
        <w:spacing w:after="0"/>
        <w:tabs>
          <w:tab w:leader="none" w:pos="4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better understanding of how management plans and measures the Company’s underlying business.</w:t>
      </w:r>
    </w:p>
    <w:p>
      <w:pPr>
        <w:spacing w:after="0" w:line="102"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Income from continuing operations excluding certain items should not be considered substitutes or alternatives to computations calculated in accordan with and required by GAAP. These non-GAAP financial measures should be read only in conjunction with financial information presented on a GAAP</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non-GAAP financial measures to the most directly comparable GAAP measures: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3"/>
          </w:tcPr>
          <w:p>
            <w:pPr>
              <w:jc w:val="right"/>
              <w:ind w:right="466"/>
              <w:spacing w:after="0"/>
              <w:rPr>
                <w:sz w:val="20"/>
                <w:szCs w:val="20"/>
                <w:color w:val="auto"/>
              </w:rPr>
            </w:pPr>
            <w:r>
              <w:rPr>
                <w:rFonts w:ascii="Arial" w:cs="Arial" w:eastAsia="Arial" w:hAnsi="Arial"/>
                <w:sz w:val="15"/>
                <w:szCs w:val="15"/>
                <w:b w:val="1"/>
                <w:bCs w:val="1"/>
                <w:color w:val="auto"/>
              </w:rPr>
              <w:t>Three Months Ended</w:t>
            </w:r>
          </w:p>
        </w:tc>
        <w:tc>
          <w:tcPr>
            <w:tcW w:w="300" w:type="dxa"/>
            <w:vAlign w:val="bottom"/>
          </w:tcPr>
          <w:p>
            <w:pPr>
              <w:spacing w:after="0"/>
              <w:rPr>
                <w:sz w:val="17"/>
                <w:szCs w:val="17"/>
                <w:color w:val="auto"/>
              </w:rPr>
            </w:pPr>
          </w:p>
        </w:tc>
        <w:tc>
          <w:tcPr>
            <w:tcW w:w="1760" w:type="dxa"/>
            <w:vAlign w:val="bottom"/>
            <w:gridSpan w:val="3"/>
          </w:tcPr>
          <w:p>
            <w:pPr>
              <w:jc w:val="right"/>
              <w:spacing w:after="0"/>
              <w:rPr>
                <w:sz w:val="20"/>
                <w:szCs w:val="20"/>
                <w:color w:val="auto"/>
              </w:rPr>
            </w:pPr>
            <w:r>
              <w:rPr>
                <w:rFonts w:ascii="Arial" w:cs="Arial" w:eastAsia="Arial" w:hAnsi="Arial"/>
                <w:sz w:val="15"/>
                <w:szCs w:val="15"/>
                <w:b w:val="1"/>
                <w:bCs w:val="1"/>
                <w:color w:val="auto"/>
              </w:rPr>
              <w:t>Twelve Months End</w:t>
            </w:r>
          </w:p>
        </w:tc>
        <w:tc>
          <w:tcPr>
            <w:tcW w:w="0" w:type="dxa"/>
            <w:vAlign w:val="bottom"/>
          </w:tcPr>
          <w:p>
            <w:pPr>
              <w:spacing w:after="0"/>
              <w:rPr>
                <w:sz w:val="1"/>
                <w:szCs w:val="1"/>
                <w:color w:val="auto"/>
              </w:rPr>
            </w:pPr>
          </w:p>
        </w:tc>
      </w:tr>
      <w:tr>
        <w:trPr>
          <w:trHeight w:val="192"/>
        </w:trPr>
        <w:tc>
          <w:tcPr>
            <w:tcW w:w="6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726"/>
              <w:spacing w:after="0"/>
              <w:rPr>
                <w:sz w:val="20"/>
                <w:szCs w:val="20"/>
                <w:color w:val="auto"/>
              </w:rPr>
            </w:pPr>
            <w:r>
              <w:rPr>
                <w:rFonts w:ascii="Arial" w:cs="Arial" w:eastAsia="Arial" w:hAnsi="Arial"/>
                <w:sz w:val="15"/>
                <w:szCs w:val="15"/>
                <w:b w:val="1"/>
                <w:bCs w:val="1"/>
                <w:color w:val="auto"/>
              </w:rPr>
              <w:t>December 31,</w:t>
            </w: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5"/>
                <w:szCs w:val="15"/>
                <w:b w:val="1"/>
                <w:bCs w:val="1"/>
                <w:color w:val="auto"/>
              </w:rPr>
              <w:t>December 31,</w:t>
            </w:r>
          </w:p>
        </w:tc>
        <w:tc>
          <w:tcPr>
            <w:tcW w:w="0" w:type="dxa"/>
            <w:vAlign w:val="bottom"/>
          </w:tcPr>
          <w:p>
            <w:pPr>
              <w:spacing w:after="0"/>
              <w:rPr>
                <w:sz w:val="1"/>
                <w:szCs w:val="1"/>
                <w:color w:val="auto"/>
              </w:rPr>
            </w:pPr>
          </w:p>
        </w:tc>
      </w:tr>
      <w:tr>
        <w:trPr>
          <w:trHeight w:val="166"/>
        </w:trPr>
        <w:tc>
          <w:tcPr>
            <w:tcW w:w="6180" w:type="dxa"/>
            <w:vAlign w:val="bottom"/>
            <w:tcBorders>
              <w:bottom w:val="single" w:sz="8" w:color="auto"/>
            </w:tcBorders>
          </w:tcPr>
          <w:p>
            <w:pPr>
              <w:spacing w:after="0" w:line="167" w:lineRule="exact"/>
              <w:rPr>
                <w:sz w:val="20"/>
                <w:szCs w:val="20"/>
                <w:color w:val="auto"/>
              </w:rPr>
            </w:pPr>
            <w:r>
              <w:rPr>
                <w:rFonts w:ascii="Arial" w:cs="Arial" w:eastAsia="Arial" w:hAnsi="Arial"/>
                <w:sz w:val="15"/>
                <w:szCs w:val="15"/>
                <w:color w:val="auto"/>
              </w:rPr>
              <w:t>(in thousands, except per share amounts)</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6"/>
              <w:spacing w:after="0" w:line="167" w:lineRule="exact"/>
              <w:rPr>
                <w:sz w:val="20"/>
                <w:szCs w:val="20"/>
                <w:color w:val="auto"/>
              </w:rPr>
            </w:pPr>
            <w:r>
              <w:rPr>
                <w:rFonts w:ascii="Arial" w:cs="Arial" w:eastAsia="Arial" w:hAnsi="Arial"/>
                <w:sz w:val="15"/>
                <w:szCs w:val="15"/>
                <w:b w:val="1"/>
                <w:bCs w:val="1"/>
                <w:color w:val="auto"/>
              </w:rPr>
              <w:t>2012</w:t>
            </w: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6"/>
              <w:spacing w:after="0" w:line="167" w:lineRule="exact"/>
              <w:rPr>
                <w:sz w:val="20"/>
                <w:szCs w:val="20"/>
                <w:color w:val="auto"/>
              </w:rPr>
            </w:pPr>
            <w:r>
              <w:rPr>
                <w:rFonts w:ascii="Arial" w:cs="Arial" w:eastAsia="Arial" w:hAnsi="Arial"/>
                <w:sz w:val="15"/>
                <w:szCs w:val="15"/>
                <w:color w:val="auto"/>
              </w:rPr>
              <w:t>2011</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2012</w:t>
            </w:r>
          </w:p>
        </w:tc>
        <w:tc>
          <w:tcPr>
            <w:tcW w:w="5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201</w:t>
            </w:r>
          </w:p>
        </w:tc>
        <w:tc>
          <w:tcPr>
            <w:tcW w:w="0" w:type="dxa"/>
            <w:vAlign w:val="bottom"/>
          </w:tcPr>
          <w:p>
            <w:pPr>
              <w:spacing w:after="0"/>
              <w:rPr>
                <w:sz w:val="1"/>
                <w:szCs w:val="1"/>
                <w:color w:val="auto"/>
              </w:rPr>
            </w:pPr>
          </w:p>
        </w:tc>
      </w:tr>
      <w:tr>
        <w:trPr>
          <w:trHeight w:val="150"/>
        </w:trPr>
        <w:tc>
          <w:tcPr>
            <w:tcW w:w="6180" w:type="dxa"/>
            <w:vAlign w:val="bottom"/>
          </w:tcPr>
          <w:p>
            <w:pPr>
              <w:spacing w:after="0" w:line="150" w:lineRule="exact"/>
              <w:rPr>
                <w:sz w:val="20"/>
                <w:szCs w:val="20"/>
                <w:color w:val="auto"/>
              </w:rPr>
            </w:pPr>
            <w:r>
              <w:rPr>
                <w:rFonts w:ascii="Arial" w:cs="Arial" w:eastAsia="Arial" w:hAnsi="Arial"/>
                <w:sz w:val="15"/>
                <w:szCs w:val="15"/>
                <w:b w:val="1"/>
                <w:bCs w:val="1"/>
                <w:color w:val="auto"/>
              </w:rPr>
              <w:t>Amounts Attributable to The Washington Post Company</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180" w:type="dxa"/>
            <w:vAlign w:val="bottom"/>
          </w:tcPr>
          <w:p>
            <w:pPr>
              <w:ind w:left="200"/>
              <w:spacing w:after="0"/>
              <w:rPr>
                <w:sz w:val="20"/>
                <w:szCs w:val="20"/>
                <w:color w:val="auto"/>
              </w:rPr>
            </w:pPr>
            <w:r>
              <w:rPr>
                <w:rFonts w:ascii="Arial" w:cs="Arial" w:eastAsia="Arial" w:hAnsi="Arial"/>
                <w:sz w:val="15"/>
                <w:szCs w:val="15"/>
                <w:b w:val="1"/>
                <w:bCs w:val="1"/>
                <w:color w:val="auto"/>
              </w:rPr>
              <w:t>Common Stockholders</w:t>
            </w:r>
          </w:p>
        </w:tc>
        <w:tc>
          <w:tcPr>
            <w:tcW w:w="260" w:type="dxa"/>
            <w:vAlign w:val="bottom"/>
            <w:vMerge w:val="restart"/>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86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(45,439)</w:t>
            </w: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48,041</w:t>
            </w: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6180" w:type="dxa"/>
            <w:vAlign w:val="bottom"/>
          </w:tcPr>
          <w:p>
            <w:pPr>
              <w:spacing w:after="0"/>
              <w:rPr>
                <w:sz w:val="20"/>
                <w:szCs w:val="20"/>
                <w:color w:val="auto"/>
              </w:rPr>
            </w:pPr>
            <w:r>
              <w:rPr>
                <w:rFonts w:ascii="Arial" w:cs="Arial" w:eastAsia="Arial" w:hAnsi="Arial"/>
                <w:sz w:val="15"/>
                <w:szCs w:val="15"/>
                <w:color w:val="auto"/>
              </w:rPr>
              <w:t>(loss) income from continuing operations, as reported</w:t>
            </w:r>
          </w:p>
        </w:tc>
        <w:tc>
          <w:tcPr>
            <w:tcW w:w="26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61,423</w:t>
            </w:r>
          </w:p>
        </w:tc>
        <w:tc>
          <w:tcPr>
            <w:tcW w:w="30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8"/>
        </w:trPr>
        <w:tc>
          <w:tcPr>
            <w:tcW w:w="6180" w:type="dxa"/>
            <w:vAlign w:val="bottom"/>
          </w:tcPr>
          <w:p>
            <w:pPr>
              <w:ind w:left="200"/>
              <w:spacing w:after="0"/>
              <w:rPr>
                <w:sz w:val="20"/>
                <w:szCs w:val="20"/>
                <w:color w:val="auto"/>
              </w:rPr>
            </w:pPr>
            <w:r>
              <w:rPr>
                <w:rFonts w:ascii="Arial" w:cs="Arial" w:eastAsia="Arial" w:hAnsi="Arial"/>
                <w:sz w:val="15"/>
                <w:szCs w:val="15"/>
                <w:color w:val="auto"/>
              </w:rPr>
              <w:t>Adjustments: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80" w:type="dxa"/>
            <w:vAlign w:val="bottom"/>
          </w:tcPr>
          <w:p>
            <w:pPr>
              <w:ind w:left="420"/>
              <w:spacing w:after="0"/>
              <w:rPr>
                <w:sz w:val="20"/>
                <w:szCs w:val="20"/>
                <w:color w:val="auto"/>
              </w:rPr>
            </w:pPr>
            <w:r>
              <w:rPr>
                <w:rFonts w:ascii="Arial" w:cs="Arial" w:eastAsia="Arial" w:hAnsi="Arial"/>
                <w:sz w:val="15"/>
                <w:szCs w:val="15"/>
                <w:color w:val="auto"/>
              </w:rPr>
              <w:t>Goodwill and other long-lived assets impairment charge</w:t>
            </w:r>
          </w:p>
        </w:tc>
        <w:tc>
          <w:tcPr>
            <w:tcW w:w="260" w:type="dxa"/>
            <w:vAlign w:val="bottom"/>
          </w:tcPr>
          <w:p>
            <w:pPr>
              <w:spacing w:after="0"/>
              <w:rPr>
                <w:sz w:val="17"/>
                <w:szCs w:val="17"/>
                <w:color w:val="auto"/>
              </w:rPr>
            </w:pPr>
          </w:p>
        </w:tc>
        <w:tc>
          <w:tcPr>
            <w:tcW w:w="860" w:type="dxa"/>
            <w:vAlign w:val="bottom"/>
          </w:tcPr>
          <w:p>
            <w:pPr>
              <w:jc w:val="right"/>
              <w:ind w:right="66"/>
              <w:spacing w:after="0"/>
              <w:rPr>
                <w:sz w:val="20"/>
                <w:szCs w:val="20"/>
                <w:color w:val="auto"/>
              </w:rPr>
            </w:pPr>
            <w:r>
              <w:rPr>
                <w:rFonts w:ascii="Arial" w:cs="Arial" w:eastAsia="Arial" w:hAnsi="Arial"/>
                <w:sz w:val="15"/>
                <w:szCs w:val="15"/>
                <w:b w:val="1"/>
                <w:bCs w:val="1"/>
                <w:color w:val="auto"/>
              </w:rPr>
              <w:t>81,875</w:t>
            </w:r>
          </w:p>
        </w:tc>
        <w:tc>
          <w:tcPr>
            <w:tcW w:w="460" w:type="dxa"/>
            <w:vAlign w:val="bottom"/>
          </w:tcPr>
          <w:p>
            <w:pPr>
              <w:spacing w:after="0"/>
              <w:rPr>
                <w:sz w:val="17"/>
                <w:szCs w:val="17"/>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81,875</w:t>
            </w: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80" w:type="dxa"/>
            <w:vAlign w:val="bottom"/>
          </w:tcPr>
          <w:p>
            <w:pPr>
              <w:ind w:left="420"/>
              <w:spacing w:after="0"/>
              <w:rPr>
                <w:sz w:val="20"/>
                <w:szCs w:val="20"/>
                <w:color w:val="auto"/>
              </w:rPr>
            </w:pPr>
            <w:r>
              <w:rPr>
                <w:rFonts w:ascii="Arial" w:cs="Arial" w:eastAsia="Arial" w:hAnsi="Arial"/>
                <w:sz w:val="15"/>
                <w:szCs w:val="15"/>
                <w:color w:val="auto"/>
              </w:rPr>
              <w:t>Early retirement and restructuring charges</w:t>
            </w:r>
          </w:p>
        </w:tc>
        <w:tc>
          <w:tcPr>
            <w:tcW w:w="260" w:type="dxa"/>
            <w:vAlign w:val="bottom"/>
          </w:tcPr>
          <w:p>
            <w:pPr>
              <w:spacing w:after="0"/>
              <w:rPr>
                <w:sz w:val="17"/>
                <w:szCs w:val="17"/>
                <w:color w:val="auto"/>
              </w:rPr>
            </w:pPr>
          </w:p>
        </w:tc>
        <w:tc>
          <w:tcPr>
            <w:tcW w:w="860" w:type="dxa"/>
            <w:vAlign w:val="bottom"/>
          </w:tcPr>
          <w:p>
            <w:pPr>
              <w:jc w:val="right"/>
              <w:ind w:right="66"/>
              <w:spacing w:after="0"/>
              <w:rPr>
                <w:sz w:val="20"/>
                <w:szCs w:val="20"/>
                <w:color w:val="auto"/>
              </w:rPr>
            </w:pPr>
            <w:r>
              <w:rPr>
                <w:rFonts w:ascii="Arial" w:cs="Arial" w:eastAsia="Arial" w:hAnsi="Arial"/>
                <w:sz w:val="15"/>
                <w:szCs w:val="15"/>
                <w:b w:val="1"/>
                <w:bCs w:val="1"/>
                <w:color w:val="auto"/>
              </w:rPr>
              <w:t>31,126</w:t>
            </w:r>
          </w:p>
        </w:tc>
        <w:tc>
          <w:tcPr>
            <w:tcW w:w="460" w:type="dxa"/>
            <w:vAlign w:val="bottom"/>
          </w:tcPr>
          <w:p>
            <w:pPr>
              <w:spacing w:after="0"/>
              <w:rPr>
                <w:sz w:val="17"/>
                <w:szCs w:val="17"/>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7,263</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45,510</w:t>
            </w: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80" w:type="dxa"/>
            <w:vAlign w:val="bottom"/>
          </w:tcPr>
          <w:p>
            <w:pPr>
              <w:ind w:left="420"/>
              <w:spacing w:after="0"/>
              <w:rPr>
                <w:sz w:val="20"/>
                <w:szCs w:val="20"/>
                <w:color w:val="auto"/>
              </w:rPr>
            </w:pPr>
            <w:r>
              <w:rPr>
                <w:rFonts w:ascii="Arial" w:cs="Arial" w:eastAsia="Arial" w:hAnsi="Arial"/>
                <w:sz w:val="15"/>
                <w:szCs w:val="15"/>
                <w:color w:val="auto"/>
              </w:rPr>
              <w:t>Marketable equity securities write-down</w:t>
            </w:r>
          </w:p>
        </w:tc>
        <w:tc>
          <w:tcPr>
            <w:tcW w:w="260" w:type="dxa"/>
            <w:vAlign w:val="bottom"/>
          </w:tcPr>
          <w:p>
            <w:pPr>
              <w:spacing w:after="0"/>
              <w:rPr>
                <w:sz w:val="17"/>
                <w:szCs w:val="17"/>
                <w:color w:val="auto"/>
              </w:rPr>
            </w:pPr>
          </w:p>
        </w:tc>
        <w:tc>
          <w:tcPr>
            <w:tcW w:w="860" w:type="dxa"/>
            <w:vAlign w:val="bottom"/>
          </w:tcPr>
          <w:p>
            <w:pPr>
              <w:jc w:val="right"/>
              <w:ind w:right="66"/>
              <w:spacing w:after="0"/>
              <w:rPr>
                <w:sz w:val="20"/>
                <w:szCs w:val="20"/>
                <w:color w:val="auto"/>
              </w:rPr>
            </w:pPr>
            <w:r>
              <w:rPr>
                <w:rFonts w:ascii="Arial" w:cs="Arial" w:eastAsia="Arial" w:hAnsi="Arial"/>
                <w:sz w:val="15"/>
                <w:szCs w:val="15"/>
                <w:b w:val="1"/>
                <w:bCs w:val="1"/>
                <w:color w:val="auto"/>
              </w:rPr>
              <w:t>11,159</w:t>
            </w:r>
          </w:p>
        </w:tc>
        <w:tc>
          <w:tcPr>
            <w:tcW w:w="460" w:type="dxa"/>
            <w:vAlign w:val="bottom"/>
          </w:tcPr>
          <w:p>
            <w:pPr>
              <w:spacing w:after="0"/>
              <w:rPr>
                <w:sz w:val="17"/>
                <w:szCs w:val="17"/>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11,159</w:t>
            </w: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80" w:type="dxa"/>
            <w:vAlign w:val="bottom"/>
          </w:tcPr>
          <w:p>
            <w:pPr>
              <w:ind w:left="420"/>
              <w:spacing w:after="0"/>
              <w:rPr>
                <w:sz w:val="20"/>
                <w:szCs w:val="20"/>
                <w:color w:val="auto"/>
              </w:rPr>
            </w:pPr>
            <w:r>
              <w:rPr>
                <w:rFonts w:ascii="Arial" w:cs="Arial" w:eastAsia="Arial" w:hAnsi="Arial"/>
                <w:sz w:val="15"/>
                <w:szCs w:val="15"/>
                <w:color w:val="auto"/>
              </w:rPr>
              <w:t>Gain on sale of a cost method investment</w:t>
            </w:r>
          </w:p>
        </w:tc>
        <w:tc>
          <w:tcPr>
            <w:tcW w:w="260" w:type="dxa"/>
            <w:vAlign w:val="bottom"/>
          </w:tcPr>
          <w:p>
            <w:pPr>
              <w:spacing w:after="0"/>
              <w:rPr>
                <w:sz w:val="17"/>
                <w:szCs w:val="17"/>
                <w:color w:val="auto"/>
              </w:rPr>
            </w:pPr>
          </w:p>
        </w:tc>
        <w:tc>
          <w:tcPr>
            <w:tcW w:w="86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7"/>
                <w:szCs w:val="17"/>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(3,657)</w:t>
            </w: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80" w:type="dxa"/>
            <w:vAlign w:val="bottom"/>
          </w:tcPr>
          <w:p>
            <w:pPr>
              <w:ind w:left="420"/>
              <w:spacing w:after="0"/>
              <w:rPr>
                <w:sz w:val="20"/>
                <w:szCs w:val="20"/>
                <w:color w:val="auto"/>
              </w:rPr>
            </w:pPr>
            <w:r>
              <w:rPr>
                <w:rFonts w:ascii="Arial" w:cs="Arial" w:eastAsia="Arial" w:hAnsi="Arial"/>
                <w:sz w:val="15"/>
                <w:szCs w:val="15"/>
                <w:color w:val="auto"/>
              </w:rPr>
              <w:t>Foreign currency (gain) loss</w:t>
            </w:r>
          </w:p>
        </w:tc>
        <w:tc>
          <w:tcPr>
            <w:tcW w:w="260" w:type="dxa"/>
            <w:vAlign w:val="bottom"/>
          </w:tcPr>
          <w:p>
            <w:pPr>
              <w:spacing w:after="0"/>
              <w:rPr>
                <w:sz w:val="17"/>
                <w:szCs w:val="17"/>
                <w:color w:val="auto"/>
              </w:rPr>
            </w:pPr>
          </w:p>
        </w:tc>
        <w:tc>
          <w:tcPr>
            <w:tcW w:w="860" w:type="dxa"/>
            <w:vAlign w:val="bottom"/>
          </w:tcPr>
          <w:p>
            <w:pPr>
              <w:jc w:val="right"/>
              <w:ind w:right="66"/>
              <w:spacing w:after="0"/>
              <w:rPr>
                <w:sz w:val="20"/>
                <w:szCs w:val="20"/>
                <w:color w:val="auto"/>
              </w:rPr>
            </w:pPr>
            <w:r>
              <w:rPr>
                <w:rFonts w:ascii="Arial" w:cs="Arial" w:eastAsia="Arial" w:hAnsi="Arial"/>
                <w:sz w:val="15"/>
                <w:szCs w:val="15"/>
                <w:b w:val="1"/>
                <w:bCs w:val="1"/>
                <w:color w:val="auto"/>
              </w:rPr>
              <w:t>29</w:t>
            </w:r>
          </w:p>
        </w:tc>
        <w:tc>
          <w:tcPr>
            <w:tcW w:w="460" w:type="dxa"/>
            <w:vAlign w:val="bottom"/>
          </w:tcPr>
          <w:p>
            <w:pPr>
              <w:spacing w:after="0"/>
              <w:rPr>
                <w:sz w:val="17"/>
                <w:szCs w:val="17"/>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(261)</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(1,968)</w:t>
            </w: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180" w:type="dxa"/>
            <w:vAlign w:val="bottom"/>
          </w:tcPr>
          <w:p>
            <w:pPr>
              <w:ind w:left="420"/>
              <w:spacing w:after="0"/>
              <w:rPr>
                <w:sz w:val="20"/>
                <w:szCs w:val="20"/>
                <w:color w:val="auto"/>
              </w:rPr>
            </w:pPr>
            <w:r>
              <w:rPr>
                <w:rFonts w:ascii="Arial" w:cs="Arial" w:eastAsia="Arial" w:hAnsi="Arial"/>
                <w:sz w:val="15"/>
                <w:szCs w:val="15"/>
                <w:color w:val="auto"/>
              </w:rPr>
              <w:t>Investment in affiliates impairment charge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6180" w:type="dxa"/>
            <w:vAlign w:val="bottom"/>
          </w:tcPr>
          <w:p>
            <w:pPr>
              <w:spacing w:after="0" w:line="167" w:lineRule="exact"/>
              <w:rPr>
                <w:sz w:val="20"/>
                <w:szCs w:val="20"/>
                <w:color w:val="auto"/>
              </w:rPr>
            </w:pPr>
            <w:r>
              <w:rPr>
                <w:rFonts w:ascii="Arial" w:cs="Arial" w:eastAsia="Arial" w:hAnsi="Arial"/>
                <w:sz w:val="15"/>
                <w:szCs w:val="15"/>
                <w:color w:val="auto"/>
              </w:rPr>
              <w:t>Income from continuing operations, adjusted (non-GAAP)</w:t>
            </w:r>
          </w:p>
        </w:tc>
        <w:tc>
          <w:tcPr>
            <w:tcW w:w="26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78,750</w:t>
            </w:r>
          </w:p>
        </w:tc>
        <w:tc>
          <w:tcPr>
            <w:tcW w:w="46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68,425</w:t>
            </w:r>
          </w:p>
        </w:tc>
        <w:tc>
          <w:tcPr>
            <w:tcW w:w="30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180,960</w:t>
            </w:r>
          </w:p>
        </w:tc>
        <w:tc>
          <w:tcPr>
            <w:tcW w:w="580" w:type="dxa"/>
            <w:vAlign w:val="bottom"/>
            <w:tcBorders>
              <w:bottom w:val="single" w:sz="8" w:color="auto"/>
            </w:tcBorders>
          </w:tcPr>
          <w:p>
            <w:pPr>
              <w:jc w:val="right"/>
              <w:ind w:right="186"/>
              <w:spacing w:after="0" w:line="167" w:lineRule="exact"/>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348"/>
        </w:trPr>
        <w:tc>
          <w:tcPr>
            <w:tcW w:w="6180" w:type="dxa"/>
            <w:vAlign w:val="bottom"/>
          </w:tcPr>
          <w:p>
            <w:pPr>
              <w:spacing w:after="0"/>
              <w:rPr>
                <w:sz w:val="20"/>
                <w:szCs w:val="20"/>
                <w:color w:val="auto"/>
              </w:rPr>
            </w:pPr>
            <w:r>
              <w:rPr>
                <w:rFonts w:ascii="Arial" w:cs="Arial" w:eastAsia="Arial" w:hAnsi="Arial"/>
                <w:sz w:val="15"/>
                <w:szCs w:val="15"/>
                <w:b w:val="1"/>
                <w:bCs w:val="1"/>
                <w:color w:val="auto"/>
              </w:rPr>
              <w:t>Per Share Information Attributable to The Washington</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180" w:type="dxa"/>
            <w:vAlign w:val="bottom"/>
          </w:tcPr>
          <w:p>
            <w:pPr>
              <w:ind w:left="200"/>
              <w:spacing w:after="0"/>
              <w:rPr>
                <w:sz w:val="20"/>
                <w:szCs w:val="20"/>
                <w:color w:val="auto"/>
              </w:rPr>
            </w:pPr>
            <w:r>
              <w:rPr>
                <w:rFonts w:ascii="Arial" w:cs="Arial" w:eastAsia="Arial" w:hAnsi="Arial"/>
                <w:sz w:val="15"/>
                <w:szCs w:val="15"/>
                <w:b w:val="1"/>
                <w:bCs w:val="1"/>
                <w:color w:val="auto"/>
              </w:rPr>
              <w:t>Post Company Common Stockholders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180" w:type="dxa"/>
            <w:vAlign w:val="bottom"/>
          </w:tcPr>
          <w:p>
            <w:pPr>
              <w:spacing w:after="0"/>
              <w:rPr>
                <w:sz w:val="20"/>
                <w:szCs w:val="20"/>
                <w:color w:val="auto"/>
              </w:rPr>
            </w:pPr>
            <w:r>
              <w:rPr>
                <w:rFonts w:ascii="Arial" w:cs="Arial" w:eastAsia="Arial" w:hAnsi="Arial"/>
                <w:sz w:val="15"/>
                <w:szCs w:val="15"/>
                <w:color w:val="auto"/>
              </w:rPr>
              <w:t>Diluted (loss) income per common share from continuing operations,</w:t>
            </w:r>
          </w:p>
        </w:tc>
        <w:tc>
          <w:tcPr>
            <w:tcW w:w="260" w:type="dxa"/>
            <w:vAlign w:val="bottom"/>
            <w:vMerge w:val="restart"/>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86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(6.57)</w:t>
            </w: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0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6.09</w:t>
            </w: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180" w:type="dxa"/>
            <w:vAlign w:val="bottom"/>
          </w:tcPr>
          <w:p>
            <w:pPr>
              <w:ind w:left="200"/>
              <w:spacing w:after="0"/>
              <w:rPr>
                <w:sz w:val="20"/>
                <w:szCs w:val="20"/>
                <w:color w:val="auto"/>
              </w:rPr>
            </w:pPr>
            <w:r>
              <w:rPr>
                <w:rFonts w:ascii="Arial" w:cs="Arial" w:eastAsia="Arial" w:hAnsi="Arial"/>
                <w:sz w:val="15"/>
                <w:szCs w:val="15"/>
                <w:color w:val="auto"/>
              </w:rPr>
              <w:t>as reported</w:t>
            </w:r>
          </w:p>
        </w:tc>
        <w:tc>
          <w:tcPr>
            <w:tcW w:w="26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8.00</w:t>
            </w:r>
          </w:p>
        </w:tc>
        <w:tc>
          <w:tcPr>
            <w:tcW w:w="30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6180" w:type="dxa"/>
            <w:vAlign w:val="bottom"/>
          </w:tcPr>
          <w:p>
            <w:pPr>
              <w:ind w:left="200"/>
              <w:spacing w:after="0"/>
              <w:rPr>
                <w:sz w:val="20"/>
                <w:szCs w:val="20"/>
                <w:color w:val="auto"/>
              </w:rPr>
            </w:pPr>
            <w:r>
              <w:rPr>
                <w:rFonts w:ascii="Arial" w:cs="Arial" w:eastAsia="Arial" w:hAnsi="Arial"/>
                <w:sz w:val="15"/>
                <w:szCs w:val="15"/>
                <w:color w:val="auto"/>
              </w:rPr>
              <w:t>Adjustments: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80" w:type="dxa"/>
            <w:vAlign w:val="bottom"/>
          </w:tcPr>
          <w:p>
            <w:pPr>
              <w:ind w:left="420"/>
              <w:spacing w:after="0"/>
              <w:rPr>
                <w:sz w:val="20"/>
                <w:szCs w:val="20"/>
                <w:color w:val="auto"/>
              </w:rPr>
            </w:pPr>
            <w:r>
              <w:rPr>
                <w:rFonts w:ascii="Arial" w:cs="Arial" w:eastAsia="Arial" w:hAnsi="Arial"/>
                <w:sz w:val="15"/>
                <w:szCs w:val="15"/>
                <w:color w:val="auto"/>
              </w:rPr>
              <w:t>Goodwill and other long-lived assets impairment charge</w:t>
            </w:r>
          </w:p>
        </w:tc>
        <w:tc>
          <w:tcPr>
            <w:tcW w:w="260" w:type="dxa"/>
            <w:vAlign w:val="bottom"/>
          </w:tcPr>
          <w:p>
            <w:pPr>
              <w:spacing w:after="0"/>
              <w:rPr>
                <w:sz w:val="17"/>
                <w:szCs w:val="17"/>
                <w:color w:val="auto"/>
              </w:rPr>
            </w:pPr>
          </w:p>
        </w:tc>
        <w:tc>
          <w:tcPr>
            <w:tcW w:w="860" w:type="dxa"/>
            <w:vAlign w:val="bottom"/>
          </w:tcPr>
          <w:p>
            <w:pPr>
              <w:jc w:val="right"/>
              <w:ind w:right="66"/>
              <w:spacing w:after="0"/>
              <w:rPr>
                <w:sz w:val="20"/>
                <w:szCs w:val="20"/>
                <w:color w:val="auto"/>
              </w:rPr>
            </w:pPr>
            <w:r>
              <w:rPr>
                <w:rFonts w:ascii="Arial" w:cs="Arial" w:eastAsia="Arial" w:hAnsi="Arial"/>
                <w:sz w:val="15"/>
                <w:szCs w:val="15"/>
                <w:b w:val="1"/>
                <w:bCs w:val="1"/>
                <w:color w:val="auto"/>
              </w:rPr>
              <w:t>11.33</w:t>
            </w:r>
          </w:p>
        </w:tc>
        <w:tc>
          <w:tcPr>
            <w:tcW w:w="460" w:type="dxa"/>
            <w:vAlign w:val="bottom"/>
          </w:tcPr>
          <w:p>
            <w:pPr>
              <w:spacing w:after="0"/>
              <w:rPr>
                <w:sz w:val="17"/>
                <w:szCs w:val="17"/>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11.33</w:t>
            </w: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80" w:type="dxa"/>
            <w:vAlign w:val="bottom"/>
          </w:tcPr>
          <w:p>
            <w:pPr>
              <w:ind w:left="420"/>
              <w:spacing w:after="0"/>
              <w:rPr>
                <w:sz w:val="20"/>
                <w:szCs w:val="20"/>
                <w:color w:val="auto"/>
              </w:rPr>
            </w:pPr>
            <w:r>
              <w:rPr>
                <w:rFonts w:ascii="Arial" w:cs="Arial" w:eastAsia="Arial" w:hAnsi="Arial"/>
                <w:sz w:val="15"/>
                <w:szCs w:val="15"/>
                <w:color w:val="auto"/>
              </w:rPr>
              <w:t>Early retirement and restructuring charges</w:t>
            </w:r>
          </w:p>
        </w:tc>
        <w:tc>
          <w:tcPr>
            <w:tcW w:w="260" w:type="dxa"/>
            <w:vAlign w:val="bottom"/>
          </w:tcPr>
          <w:p>
            <w:pPr>
              <w:spacing w:after="0"/>
              <w:rPr>
                <w:sz w:val="17"/>
                <w:szCs w:val="17"/>
                <w:color w:val="auto"/>
              </w:rPr>
            </w:pPr>
          </w:p>
        </w:tc>
        <w:tc>
          <w:tcPr>
            <w:tcW w:w="860" w:type="dxa"/>
            <w:vAlign w:val="bottom"/>
          </w:tcPr>
          <w:p>
            <w:pPr>
              <w:jc w:val="right"/>
              <w:ind w:right="66"/>
              <w:spacing w:after="0"/>
              <w:rPr>
                <w:sz w:val="20"/>
                <w:szCs w:val="20"/>
                <w:color w:val="auto"/>
              </w:rPr>
            </w:pPr>
            <w:r>
              <w:rPr>
                <w:rFonts w:ascii="Arial" w:cs="Arial" w:eastAsia="Arial" w:hAnsi="Arial"/>
                <w:sz w:val="15"/>
                <w:szCs w:val="15"/>
                <w:b w:val="1"/>
                <w:bCs w:val="1"/>
                <w:color w:val="auto"/>
              </w:rPr>
              <w:t>4.31</w:t>
            </w:r>
          </w:p>
        </w:tc>
        <w:tc>
          <w:tcPr>
            <w:tcW w:w="460" w:type="dxa"/>
            <w:vAlign w:val="bottom"/>
          </w:tcPr>
          <w:p>
            <w:pPr>
              <w:spacing w:after="0"/>
              <w:rPr>
                <w:sz w:val="17"/>
                <w:szCs w:val="17"/>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0.94</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6.18</w:t>
            </w: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80" w:type="dxa"/>
            <w:vAlign w:val="bottom"/>
          </w:tcPr>
          <w:p>
            <w:pPr>
              <w:ind w:left="420"/>
              <w:spacing w:after="0"/>
              <w:rPr>
                <w:sz w:val="20"/>
                <w:szCs w:val="20"/>
                <w:color w:val="auto"/>
              </w:rPr>
            </w:pPr>
            <w:r>
              <w:rPr>
                <w:rFonts w:ascii="Arial" w:cs="Arial" w:eastAsia="Arial" w:hAnsi="Arial"/>
                <w:sz w:val="15"/>
                <w:szCs w:val="15"/>
                <w:color w:val="auto"/>
              </w:rPr>
              <w:t>Marketable equity securities write-down</w:t>
            </w:r>
          </w:p>
        </w:tc>
        <w:tc>
          <w:tcPr>
            <w:tcW w:w="260" w:type="dxa"/>
            <w:vAlign w:val="bottom"/>
          </w:tcPr>
          <w:p>
            <w:pPr>
              <w:spacing w:after="0"/>
              <w:rPr>
                <w:sz w:val="17"/>
                <w:szCs w:val="17"/>
                <w:color w:val="auto"/>
              </w:rPr>
            </w:pPr>
          </w:p>
        </w:tc>
        <w:tc>
          <w:tcPr>
            <w:tcW w:w="860" w:type="dxa"/>
            <w:vAlign w:val="bottom"/>
          </w:tcPr>
          <w:p>
            <w:pPr>
              <w:jc w:val="right"/>
              <w:ind w:right="66"/>
              <w:spacing w:after="0"/>
              <w:rPr>
                <w:sz w:val="20"/>
                <w:szCs w:val="20"/>
                <w:color w:val="auto"/>
              </w:rPr>
            </w:pPr>
            <w:r>
              <w:rPr>
                <w:rFonts w:ascii="Arial" w:cs="Arial" w:eastAsia="Arial" w:hAnsi="Arial"/>
                <w:sz w:val="15"/>
                <w:szCs w:val="15"/>
                <w:b w:val="1"/>
                <w:bCs w:val="1"/>
                <w:color w:val="auto"/>
              </w:rPr>
              <w:t>1.54</w:t>
            </w:r>
          </w:p>
        </w:tc>
        <w:tc>
          <w:tcPr>
            <w:tcW w:w="460" w:type="dxa"/>
            <w:vAlign w:val="bottom"/>
          </w:tcPr>
          <w:p>
            <w:pPr>
              <w:spacing w:after="0"/>
              <w:rPr>
                <w:sz w:val="17"/>
                <w:szCs w:val="17"/>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1.54</w:t>
            </w: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80" w:type="dxa"/>
            <w:vAlign w:val="bottom"/>
          </w:tcPr>
          <w:p>
            <w:pPr>
              <w:ind w:left="420"/>
              <w:spacing w:after="0"/>
              <w:rPr>
                <w:sz w:val="20"/>
                <w:szCs w:val="20"/>
                <w:color w:val="auto"/>
              </w:rPr>
            </w:pPr>
            <w:r>
              <w:rPr>
                <w:rFonts w:ascii="Arial" w:cs="Arial" w:eastAsia="Arial" w:hAnsi="Arial"/>
                <w:sz w:val="15"/>
                <w:szCs w:val="15"/>
                <w:color w:val="auto"/>
              </w:rPr>
              <w:t>Gain on sale of a cost method investment</w:t>
            </w:r>
          </w:p>
        </w:tc>
        <w:tc>
          <w:tcPr>
            <w:tcW w:w="260" w:type="dxa"/>
            <w:vAlign w:val="bottom"/>
          </w:tcPr>
          <w:p>
            <w:pPr>
              <w:spacing w:after="0"/>
              <w:rPr>
                <w:sz w:val="17"/>
                <w:szCs w:val="17"/>
                <w:color w:val="auto"/>
              </w:rPr>
            </w:pPr>
          </w:p>
        </w:tc>
        <w:tc>
          <w:tcPr>
            <w:tcW w:w="86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7"/>
                <w:szCs w:val="17"/>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(0.48)</w:t>
            </w: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180" w:type="dxa"/>
            <w:vAlign w:val="bottom"/>
          </w:tcPr>
          <w:p>
            <w:pPr>
              <w:ind w:left="420"/>
              <w:spacing w:after="0"/>
              <w:rPr>
                <w:sz w:val="20"/>
                <w:szCs w:val="20"/>
                <w:color w:val="auto"/>
              </w:rPr>
            </w:pPr>
            <w:r>
              <w:rPr>
                <w:rFonts w:ascii="Arial" w:cs="Arial" w:eastAsia="Arial" w:hAnsi="Arial"/>
                <w:sz w:val="15"/>
                <w:szCs w:val="15"/>
                <w:color w:val="auto"/>
              </w:rPr>
              <w:t>Foreign currency (gain) loss</w:t>
            </w:r>
          </w:p>
        </w:tc>
        <w:tc>
          <w:tcPr>
            <w:tcW w:w="260" w:type="dxa"/>
            <w:vAlign w:val="bottom"/>
          </w:tcPr>
          <w:p>
            <w:pPr>
              <w:spacing w:after="0"/>
              <w:rPr>
                <w:sz w:val="17"/>
                <w:szCs w:val="17"/>
                <w:color w:val="auto"/>
              </w:rPr>
            </w:pPr>
          </w:p>
        </w:tc>
        <w:tc>
          <w:tcPr>
            <w:tcW w:w="86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7"/>
                <w:szCs w:val="17"/>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(0.03)</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rPr>
              <w:t>(0.27)</w:t>
            </w: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180" w:type="dxa"/>
            <w:vAlign w:val="bottom"/>
          </w:tcPr>
          <w:p>
            <w:pPr>
              <w:ind w:left="420"/>
              <w:spacing w:after="0"/>
              <w:rPr>
                <w:sz w:val="20"/>
                <w:szCs w:val="20"/>
                <w:color w:val="auto"/>
              </w:rPr>
            </w:pPr>
            <w:r>
              <w:rPr>
                <w:rFonts w:ascii="Arial" w:cs="Arial" w:eastAsia="Arial" w:hAnsi="Arial"/>
                <w:sz w:val="15"/>
                <w:szCs w:val="15"/>
                <w:color w:val="auto"/>
              </w:rPr>
              <w:t>Investment in affiliates impairment charge</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w:t>
            </w:r>
          </w:p>
        </w:tc>
        <w:tc>
          <w:tcPr>
            <w:tcW w:w="4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6180" w:type="dxa"/>
            <w:vAlign w:val="bottom"/>
          </w:tcPr>
          <w:p>
            <w:pPr>
              <w:spacing w:after="0" w:line="168" w:lineRule="exact"/>
              <w:rPr>
                <w:sz w:val="20"/>
                <w:szCs w:val="20"/>
                <w:color w:val="auto"/>
              </w:rPr>
            </w:pPr>
            <w:r>
              <w:rPr>
                <w:rFonts w:ascii="Arial" w:cs="Arial" w:eastAsia="Arial" w:hAnsi="Arial"/>
                <w:sz w:val="15"/>
                <w:szCs w:val="15"/>
                <w:color w:val="auto"/>
              </w:rPr>
              <w:t>Diluted income per common share from continuing operations,</w:t>
            </w:r>
          </w:p>
        </w:tc>
        <w:tc>
          <w:tcPr>
            <w:tcW w:w="260" w:type="dxa"/>
            <w:vAlign w:val="bottom"/>
            <w:vMerge w:val="restart"/>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86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10.61</w:t>
            </w: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vMerge w:val="restart"/>
          </w:tcPr>
          <w:p>
            <w:pPr>
              <w:jc w:val="right"/>
              <w:ind w:right="6"/>
              <w:spacing w:after="0"/>
              <w:rPr>
                <w:sz w:val="20"/>
                <w:szCs w:val="20"/>
                <w:color w:val="auto"/>
              </w:rPr>
            </w:pPr>
            <w:r>
              <w:rPr>
                <w:rFonts w:ascii="Arial" w:cs="Arial" w:eastAsia="Arial" w:hAnsi="Arial"/>
                <w:sz w:val="15"/>
                <w:szCs w:val="15"/>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24.39</w:t>
            </w: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180" w:type="dxa"/>
            <w:vAlign w:val="bottom"/>
          </w:tcPr>
          <w:p>
            <w:pPr>
              <w:ind w:left="200"/>
              <w:spacing w:after="0"/>
              <w:rPr>
                <w:sz w:val="20"/>
                <w:szCs w:val="20"/>
                <w:color w:val="auto"/>
              </w:rPr>
            </w:pPr>
            <w:r>
              <w:rPr>
                <w:rFonts w:ascii="Arial" w:cs="Arial" w:eastAsia="Arial" w:hAnsi="Arial"/>
                <w:sz w:val="15"/>
                <w:szCs w:val="15"/>
                <w:color w:val="auto"/>
              </w:rPr>
              <w:t>adjusted (non-GAAP)</w:t>
            </w:r>
          </w:p>
        </w:tc>
        <w:tc>
          <w:tcPr>
            <w:tcW w:w="26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8.91</w:t>
            </w:r>
          </w:p>
        </w:tc>
        <w:tc>
          <w:tcPr>
            <w:tcW w:w="30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59"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181610</wp:posOffset>
            </wp:positionV>
            <wp:extent cx="727837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0"/>
          </w:cols>
          <w:pgMar w:left="820" w:top="800" w:right="139"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2019-12-05T16:29:46Z</dcterms:created>
  <dcterms:modified xsi:type="dcterms:W3CDTF">2019-12-05T16:29:46Z</dcterms:modified>
</cp:coreProperties>
</file>