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620395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-210185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8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125730</wp:posOffset>
            </wp:positionV>
            <wp:extent cx="60801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0125" cy="8890"/>
                    </a:xfrm>
                    <a:prstGeom prst="rect">
                      <a:avLst/>
                    </a:prstGeom>
                    <a:noFill/>
                  </pic:spPr>
                </pic:pic>
              </a:graphicData>
            </a:graphic>
          </wp:anchor>
        </w:drawing>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46355</wp:posOffset>
            </wp:positionV>
            <wp:extent cx="60801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012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260" w:lineRule="exact"/>
        <w:rPr>
          <w:rFonts w:ascii="MS PGothic" w:cs="MS PGothic" w:eastAsia="MS PGothic" w:hAnsi="MS PGothic"/>
          <w:sz w:val="18"/>
          <w:szCs w:val="18"/>
          <w:color w:val="auto"/>
        </w:rPr>
      </w:pPr>
    </w:p>
    <w:p>
      <w:pPr>
        <w:ind w:left="372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Quarterly Period Ended March 31, 2018</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61"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260" w:lineRule="exact"/>
        <w:rPr>
          <w:rFonts w:ascii="MS PGothic" w:cs="MS PGothic" w:eastAsia="MS PGothic" w:hAnsi="MS PGothic"/>
          <w:sz w:val="18"/>
          <w:szCs w:val="18"/>
          <w:color w:val="auto"/>
        </w:rPr>
      </w:pPr>
    </w:p>
    <w:p>
      <w:pPr>
        <w:ind w:left="43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Number 1-671</w:t>
      </w:r>
    </w:p>
    <w:p>
      <w:pPr>
        <w:spacing w:after="0" w:line="303"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GRAHAM HOLDINGS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-305435</wp:posOffset>
            </wp:positionV>
            <wp:extent cx="60801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0125" cy="8890"/>
                    </a:xfrm>
                    <a:prstGeom prst="rect">
                      <a:avLst/>
                    </a:prstGeom>
                    <a:noFill/>
                  </pic:spPr>
                </pic:pic>
              </a:graphicData>
            </a:graphic>
          </wp:anchor>
        </w:drawing>
      </w:r>
    </w:p>
    <w:p>
      <w:pPr>
        <w:spacing w:after="0" w:line="7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28575</wp:posOffset>
            </wp:positionV>
            <wp:extent cx="60801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0125" cy="8890"/>
                    </a:xfrm>
                    <a:prstGeom prst="rect">
                      <a:avLst/>
                    </a:prstGeom>
                    <a:noFill/>
                  </pic:spPr>
                </pic:pic>
              </a:graphicData>
            </a:graphic>
          </wp:anchor>
        </w:drawing>
      </w:r>
    </w:p>
    <w:p>
      <w:pPr>
        <w:spacing w:after="0" w:line="340" w:lineRule="exact"/>
        <w:rPr>
          <w:sz w:val="24"/>
          <w:szCs w:val="24"/>
          <w:color w:val="auto"/>
        </w:rPr>
      </w:pPr>
    </w:p>
    <w:tbl>
      <w:tblPr>
        <w:tblLayout w:type="fixed"/>
        <w:tblInd w:w="1080" w:type="dxa"/>
        <w:tblCellMar>
          <w:top w:w="0" w:type="dxa"/>
          <w:left w:w="0" w:type="dxa"/>
          <w:bottom w:w="0" w:type="dxa"/>
          <w:right w:w="0" w:type="dxa"/>
        </w:tblCellMar>
      </w:tblPr>
      <w:tr>
        <w:trPr>
          <w:trHeight w:val="239"/>
        </w:trPr>
        <w:tc>
          <w:tcPr>
            <w:tcW w:w="6660" w:type="dxa"/>
            <w:vAlign w:val="bottom"/>
          </w:tcPr>
          <w:p>
            <w:pPr>
              <w:jc w:val="center"/>
              <w:ind w:right="3020"/>
              <w:spacing w:after="0"/>
              <w:rPr>
                <w:sz w:val="20"/>
                <w:szCs w:val="20"/>
                <w:color w:val="auto"/>
              </w:rPr>
            </w:pPr>
            <w:r>
              <w:rPr>
                <w:rFonts w:ascii="Arial" w:cs="Arial" w:eastAsia="Arial" w:hAnsi="Arial"/>
                <w:sz w:val="18"/>
                <w:szCs w:val="18"/>
                <w:b w:val="1"/>
                <w:bCs w:val="1"/>
                <w:color w:val="auto"/>
              </w:rPr>
              <w:t>Delaware</w:t>
            </w:r>
          </w:p>
        </w:tc>
        <w:tc>
          <w:tcPr>
            <w:tcW w:w="1440" w:type="dxa"/>
            <w:vAlign w:val="bottom"/>
          </w:tcPr>
          <w:p>
            <w:pPr>
              <w:jc w:val="right"/>
              <w:ind w:right="41"/>
              <w:spacing w:after="0"/>
              <w:rPr>
                <w:sz w:val="20"/>
                <w:szCs w:val="20"/>
                <w:color w:val="auto"/>
              </w:rPr>
            </w:pPr>
            <w:r>
              <w:rPr>
                <w:rFonts w:ascii="Arial" w:cs="Arial" w:eastAsia="Arial" w:hAnsi="Arial"/>
                <w:sz w:val="18"/>
                <w:szCs w:val="18"/>
                <w:b w:val="1"/>
                <w:bCs w:val="1"/>
                <w:color w:val="auto"/>
              </w:rPr>
              <w:t>53-0182885</w:t>
            </w:r>
          </w:p>
        </w:tc>
      </w:tr>
      <w:tr>
        <w:trPr>
          <w:trHeight w:val="189"/>
        </w:trPr>
        <w:tc>
          <w:tcPr>
            <w:tcW w:w="6660" w:type="dxa"/>
            <w:vAlign w:val="bottom"/>
          </w:tcPr>
          <w:p>
            <w:pPr>
              <w:jc w:val="center"/>
              <w:ind w:right="3000"/>
              <w:spacing w:after="0"/>
              <w:rPr>
                <w:sz w:val="20"/>
                <w:szCs w:val="20"/>
                <w:color w:val="auto"/>
              </w:rPr>
            </w:pPr>
            <w:r>
              <w:rPr>
                <w:rFonts w:ascii="Arial" w:cs="Arial" w:eastAsia="Arial" w:hAnsi="Arial"/>
                <w:sz w:val="14"/>
                <w:szCs w:val="14"/>
                <w:b w:val="1"/>
                <w:bCs w:val="1"/>
                <w:color w:val="auto"/>
              </w:rPr>
              <w:t>(State or other jurisdiction of</w:t>
            </w:r>
          </w:p>
        </w:tc>
        <w:tc>
          <w:tcPr>
            <w:tcW w:w="1440" w:type="dxa"/>
            <w:vAlign w:val="bottom"/>
          </w:tcPr>
          <w:p>
            <w:pPr>
              <w:jc w:val="center"/>
              <w:ind w:left="141"/>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6660" w:type="dxa"/>
            <w:vAlign w:val="bottom"/>
          </w:tcPr>
          <w:p>
            <w:pPr>
              <w:jc w:val="center"/>
              <w:ind w:right="3000"/>
              <w:spacing w:after="0"/>
              <w:rPr>
                <w:sz w:val="20"/>
                <w:szCs w:val="20"/>
                <w:color w:val="auto"/>
              </w:rPr>
            </w:pPr>
            <w:r>
              <w:rPr>
                <w:rFonts w:ascii="Arial" w:cs="Arial" w:eastAsia="Arial" w:hAnsi="Arial"/>
                <w:sz w:val="14"/>
                <w:szCs w:val="14"/>
                <w:b w:val="1"/>
                <w:bCs w:val="1"/>
                <w:color w:val="auto"/>
              </w:rPr>
              <w:t>incorporation or organization)</w:t>
            </w:r>
          </w:p>
        </w:tc>
        <w:tc>
          <w:tcPr>
            <w:tcW w:w="1440" w:type="dxa"/>
            <w:vAlign w:val="bottom"/>
          </w:tcPr>
          <w:p>
            <w:pPr>
              <w:jc w:val="center"/>
              <w:ind w:left="141"/>
              <w:spacing w:after="0"/>
              <w:rPr>
                <w:sz w:val="20"/>
                <w:szCs w:val="20"/>
                <w:color w:val="auto"/>
              </w:rPr>
            </w:pPr>
            <w:r>
              <w:rPr>
                <w:rFonts w:ascii="Arial" w:cs="Arial" w:eastAsia="Arial" w:hAnsi="Arial"/>
                <w:sz w:val="14"/>
                <w:szCs w:val="14"/>
                <w:b w:val="1"/>
                <w:bCs w:val="1"/>
                <w:color w:val="auto"/>
              </w:rPr>
              <w:t>Identification No.)</w:t>
            </w:r>
          </w:p>
        </w:tc>
      </w:tr>
      <w:tr>
        <w:trPr>
          <w:trHeight w:val="377"/>
        </w:trPr>
        <w:tc>
          <w:tcPr>
            <w:tcW w:w="6660" w:type="dxa"/>
            <w:vAlign w:val="bottom"/>
          </w:tcPr>
          <w:p>
            <w:pPr>
              <w:jc w:val="center"/>
              <w:ind w:right="3020"/>
              <w:spacing w:after="0"/>
              <w:rPr>
                <w:sz w:val="20"/>
                <w:szCs w:val="20"/>
                <w:color w:val="auto"/>
              </w:rPr>
            </w:pPr>
            <w:r>
              <w:rPr>
                <w:rFonts w:ascii="Arial" w:cs="Arial" w:eastAsia="Arial" w:hAnsi="Arial"/>
                <w:sz w:val="18"/>
                <w:szCs w:val="18"/>
                <w:b w:val="1"/>
                <w:bCs w:val="1"/>
                <w:color w:val="auto"/>
                <w:w w:val="99"/>
              </w:rPr>
              <w:t>1300 North 17th Street, Arlington, Virginia</w:t>
            </w:r>
          </w:p>
        </w:tc>
        <w:tc>
          <w:tcPr>
            <w:tcW w:w="1440" w:type="dxa"/>
            <w:vAlign w:val="bottom"/>
          </w:tcPr>
          <w:p>
            <w:pPr>
              <w:jc w:val="right"/>
              <w:ind w:right="281"/>
              <w:spacing w:after="0"/>
              <w:rPr>
                <w:sz w:val="20"/>
                <w:szCs w:val="20"/>
                <w:color w:val="auto"/>
              </w:rPr>
            </w:pPr>
            <w:r>
              <w:rPr>
                <w:rFonts w:ascii="Arial" w:cs="Arial" w:eastAsia="Arial" w:hAnsi="Arial"/>
                <w:sz w:val="18"/>
                <w:szCs w:val="18"/>
                <w:b w:val="1"/>
                <w:bCs w:val="1"/>
                <w:color w:val="auto"/>
              </w:rPr>
              <w:t>22209</w:t>
            </w:r>
          </w:p>
        </w:tc>
      </w:tr>
      <w:tr>
        <w:trPr>
          <w:trHeight w:val="218"/>
        </w:trPr>
        <w:tc>
          <w:tcPr>
            <w:tcW w:w="6660" w:type="dxa"/>
            <w:vAlign w:val="bottom"/>
          </w:tcPr>
          <w:p>
            <w:pPr>
              <w:jc w:val="center"/>
              <w:ind w:right="3020"/>
              <w:spacing w:after="0"/>
              <w:rPr>
                <w:sz w:val="20"/>
                <w:szCs w:val="20"/>
                <w:color w:val="auto"/>
              </w:rPr>
            </w:pPr>
            <w:r>
              <w:rPr>
                <w:rFonts w:ascii="Arial" w:cs="Arial" w:eastAsia="Arial" w:hAnsi="Arial"/>
                <w:sz w:val="14"/>
                <w:szCs w:val="14"/>
                <w:b w:val="1"/>
                <w:bCs w:val="1"/>
                <w:color w:val="auto"/>
              </w:rPr>
              <w:t>(Address of principal executive offices)</w:t>
            </w:r>
          </w:p>
        </w:tc>
        <w:tc>
          <w:tcPr>
            <w:tcW w:w="1440" w:type="dxa"/>
            <w:vAlign w:val="bottom"/>
          </w:tcPr>
          <w:p>
            <w:pPr>
              <w:jc w:val="center"/>
              <w:ind w:left="141"/>
              <w:spacing w:after="0"/>
              <w:rPr>
                <w:sz w:val="20"/>
                <w:szCs w:val="20"/>
                <w:color w:val="auto"/>
              </w:rPr>
            </w:pPr>
            <w:r>
              <w:rPr>
                <w:rFonts w:ascii="Arial" w:cs="Arial" w:eastAsia="Arial" w:hAnsi="Arial"/>
                <w:sz w:val="14"/>
                <w:szCs w:val="14"/>
                <w:b w:val="1"/>
                <w:bCs w:val="1"/>
                <w:color w:val="auto"/>
              </w:rPr>
              <w:t>(Zip Code)</w:t>
            </w:r>
          </w:p>
        </w:tc>
      </w:tr>
      <w:tr>
        <w:trPr>
          <w:trHeight w:val="552"/>
        </w:trPr>
        <w:tc>
          <w:tcPr>
            <w:tcW w:w="6660" w:type="dxa"/>
            <w:vAlign w:val="bottom"/>
          </w:tcPr>
          <w:p>
            <w:pPr>
              <w:jc w:val="right"/>
              <w:ind w:right="1340"/>
              <w:spacing w:after="0"/>
              <w:rPr>
                <w:sz w:val="20"/>
                <w:szCs w:val="20"/>
                <w:color w:val="auto"/>
              </w:rPr>
            </w:pPr>
            <w:r>
              <w:rPr>
                <w:rFonts w:ascii="Arial" w:cs="Arial" w:eastAsia="Arial" w:hAnsi="Arial"/>
                <w:sz w:val="18"/>
                <w:szCs w:val="18"/>
                <w:b w:val="1"/>
                <w:bCs w:val="1"/>
                <w:color w:val="auto"/>
              </w:rPr>
              <w:t>(703) 345-6300</w:t>
            </w:r>
          </w:p>
        </w:tc>
        <w:tc>
          <w:tcPr>
            <w:tcW w:w="1440" w:type="dxa"/>
            <w:vAlign w:val="bottom"/>
          </w:tcPr>
          <w:p>
            <w:pPr>
              <w:spacing w:after="0"/>
              <w:rPr>
                <w:sz w:val="24"/>
                <w:szCs w:val="24"/>
                <w:color w:val="auto"/>
              </w:rPr>
            </w:pPr>
          </w:p>
        </w:tc>
      </w:tr>
      <w:tr>
        <w:trPr>
          <w:trHeight w:val="231"/>
        </w:trPr>
        <w:tc>
          <w:tcPr>
            <w:tcW w:w="6660" w:type="dxa"/>
            <w:vAlign w:val="bottom"/>
          </w:tcPr>
          <w:p>
            <w:pPr>
              <w:jc w:val="center"/>
              <w:ind w:left="2540"/>
              <w:spacing w:after="0"/>
              <w:rPr>
                <w:sz w:val="20"/>
                <w:szCs w:val="20"/>
                <w:color w:val="auto"/>
              </w:rPr>
            </w:pPr>
            <w:r>
              <w:rPr>
                <w:rFonts w:ascii="Arial" w:cs="Arial" w:eastAsia="Arial" w:hAnsi="Arial"/>
                <w:sz w:val="14"/>
                <w:szCs w:val="14"/>
                <w:b w:val="1"/>
                <w:bCs w:val="1"/>
                <w:color w:val="auto"/>
              </w:rPr>
              <w:t>(Registrant’s telephone number, including area code)</w:t>
            </w:r>
          </w:p>
        </w:tc>
        <w:tc>
          <w:tcPr>
            <w:tcW w:w="144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1171575</wp:posOffset>
            </wp:positionH>
            <wp:positionV relativeFrom="paragraph">
              <wp:posOffset>153670</wp:posOffset>
            </wp:positionV>
            <wp:extent cx="49136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913630" cy="8890"/>
                    </a:xfrm>
                    <a:prstGeom prst="rect">
                      <a:avLst/>
                    </a:prstGeom>
                    <a:noFill/>
                  </pic:spPr>
                </pic:pic>
              </a:graphicData>
            </a:graphic>
          </wp:anchor>
        </w:drawing>
      </w:r>
    </w:p>
    <w:p>
      <w:pPr>
        <w:spacing w:after="0" w:line="275" w:lineRule="exact"/>
        <w:rPr>
          <w:sz w:val="24"/>
          <w:szCs w:val="24"/>
          <w:color w:val="auto"/>
        </w:rPr>
      </w:pPr>
    </w:p>
    <w:p>
      <w:pPr>
        <w:ind w:right="80"/>
        <w:spacing w:after="0" w:line="20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62" w:lineRule="exact"/>
        <w:rPr>
          <w:sz w:val="24"/>
          <w:szCs w:val="24"/>
          <w:color w:val="auto"/>
        </w:rPr>
      </w:pPr>
    </w:p>
    <w:p>
      <w:pPr>
        <w:ind w:right="60"/>
        <w:spacing w:after="0" w:line="20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76" w:lineRule="exact"/>
        <w:rPr>
          <w:sz w:val="24"/>
          <w:szCs w:val="24"/>
          <w:color w:val="auto"/>
        </w:rPr>
      </w:pPr>
    </w:p>
    <w:p>
      <w:pPr>
        <w:ind w:right="360"/>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 reporting company” and “emerging growth company” in Rule 12b-2 of the Exchange Act.</w:t>
      </w:r>
    </w:p>
    <w:p>
      <w:pPr>
        <w:spacing w:after="0" w:line="151" w:lineRule="exact"/>
        <w:rPr>
          <w:sz w:val="24"/>
          <w:szCs w:val="24"/>
          <w:color w:val="auto"/>
        </w:rPr>
      </w:pPr>
    </w:p>
    <w:tbl>
      <w:tblPr>
        <w:tblLayout w:type="fixed"/>
        <w:tblInd w:w="280" w:type="dxa"/>
        <w:tblCellMar>
          <w:top w:w="0" w:type="dxa"/>
          <w:left w:w="0" w:type="dxa"/>
          <w:bottom w:w="0" w:type="dxa"/>
          <w:right w:w="0" w:type="dxa"/>
        </w:tblCellMar>
      </w:tblPr>
      <w:tr>
        <w:trPr>
          <w:trHeight w:val="189"/>
        </w:trPr>
        <w:tc>
          <w:tcPr>
            <w:tcW w:w="1500" w:type="dxa"/>
            <w:vAlign w:val="bottom"/>
          </w:tcPr>
          <w:p>
            <w:pPr>
              <w:jc w:val="center"/>
              <w:ind w:right="119"/>
              <w:spacing w:after="0"/>
              <w:rPr>
                <w:sz w:val="20"/>
                <w:szCs w:val="20"/>
                <w:color w:val="auto"/>
              </w:rPr>
            </w:pPr>
            <w:r>
              <w:rPr>
                <w:rFonts w:ascii="Arial" w:cs="Arial" w:eastAsia="Arial" w:hAnsi="Arial"/>
                <w:sz w:val="16"/>
                <w:szCs w:val="16"/>
                <w:color w:val="auto"/>
              </w:rPr>
              <w:t>Large accelerated</w:t>
            </w:r>
          </w:p>
        </w:tc>
        <w:tc>
          <w:tcPr>
            <w:tcW w:w="700" w:type="dxa"/>
            <w:vAlign w:val="bottom"/>
            <w:vMerge w:val="restart"/>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1480" w:type="dxa"/>
            <w:vAlign w:val="bottom"/>
          </w:tcPr>
          <w:p>
            <w:pPr>
              <w:jc w:val="center"/>
              <w:spacing w:after="0"/>
              <w:rPr>
                <w:sz w:val="20"/>
                <w:szCs w:val="20"/>
                <w:color w:val="auto"/>
              </w:rPr>
            </w:pPr>
            <w:r>
              <w:rPr>
                <w:rFonts w:ascii="Arial" w:cs="Arial" w:eastAsia="Arial" w:hAnsi="Arial"/>
                <w:sz w:val="16"/>
                <w:szCs w:val="16"/>
                <w:color w:val="auto"/>
              </w:rPr>
              <w:t>Accelerated</w:t>
            </w:r>
          </w:p>
        </w:tc>
        <w:tc>
          <w:tcPr>
            <w:tcW w:w="720" w:type="dxa"/>
            <w:vAlign w:val="bottom"/>
            <w:vMerge w:val="restart"/>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1660" w:type="dxa"/>
            <w:vAlign w:val="bottom"/>
          </w:tcPr>
          <w:p>
            <w:pPr>
              <w:jc w:val="center"/>
              <w:spacing w:after="0"/>
              <w:rPr>
                <w:sz w:val="20"/>
                <w:szCs w:val="20"/>
                <w:color w:val="auto"/>
              </w:rPr>
            </w:pPr>
            <w:r>
              <w:rPr>
                <w:rFonts w:ascii="Arial" w:cs="Arial" w:eastAsia="Arial" w:hAnsi="Arial"/>
                <w:sz w:val="16"/>
                <w:szCs w:val="16"/>
                <w:color w:val="auto"/>
              </w:rPr>
              <w:t>Non-accelerated</w:t>
            </w:r>
          </w:p>
        </w:tc>
        <w:tc>
          <w:tcPr>
            <w:tcW w:w="620" w:type="dxa"/>
            <w:vAlign w:val="bottom"/>
            <w:vMerge w:val="restart"/>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1660" w:type="dxa"/>
            <w:vAlign w:val="bottom"/>
          </w:tcPr>
          <w:p>
            <w:pPr>
              <w:jc w:val="center"/>
              <w:spacing w:after="0"/>
              <w:rPr>
                <w:sz w:val="20"/>
                <w:szCs w:val="20"/>
                <w:color w:val="auto"/>
              </w:rPr>
            </w:pPr>
            <w:r>
              <w:rPr>
                <w:rFonts w:ascii="Arial" w:cs="Arial" w:eastAsia="Arial" w:hAnsi="Arial"/>
                <w:sz w:val="16"/>
                <w:szCs w:val="16"/>
                <w:color w:val="auto"/>
              </w:rPr>
              <w:t>Smaller reporting</w:t>
            </w:r>
          </w:p>
        </w:tc>
        <w:tc>
          <w:tcPr>
            <w:tcW w:w="600" w:type="dxa"/>
            <w:vAlign w:val="bottom"/>
            <w:vMerge w:val="restart"/>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1680" w:type="dxa"/>
            <w:vAlign w:val="bottom"/>
          </w:tcPr>
          <w:p>
            <w:pPr>
              <w:jc w:val="center"/>
              <w:spacing w:after="0"/>
              <w:rPr>
                <w:sz w:val="20"/>
                <w:szCs w:val="20"/>
                <w:color w:val="auto"/>
              </w:rPr>
            </w:pPr>
            <w:r>
              <w:rPr>
                <w:rFonts w:ascii="Arial" w:cs="Arial" w:eastAsia="Arial" w:hAnsi="Arial"/>
                <w:sz w:val="16"/>
                <w:szCs w:val="16"/>
                <w:color w:val="auto"/>
              </w:rPr>
              <w:t>Emerging growth</w:t>
            </w:r>
          </w:p>
        </w:tc>
        <w:tc>
          <w:tcPr>
            <w:tcW w:w="380" w:type="dxa"/>
            <w:vAlign w:val="bottom"/>
            <w:vMerge w:val="restart"/>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07"/>
        </w:trPr>
        <w:tc>
          <w:tcPr>
            <w:tcW w:w="1500" w:type="dxa"/>
            <w:vAlign w:val="bottom"/>
          </w:tcPr>
          <w:p>
            <w:pPr>
              <w:jc w:val="center"/>
              <w:ind w:right="119"/>
              <w:spacing w:after="0"/>
              <w:rPr>
                <w:sz w:val="20"/>
                <w:szCs w:val="20"/>
                <w:color w:val="auto"/>
              </w:rPr>
            </w:pPr>
            <w:r>
              <w:rPr>
                <w:rFonts w:ascii="Arial" w:cs="Arial" w:eastAsia="Arial" w:hAnsi="Arial"/>
                <w:sz w:val="16"/>
                <w:szCs w:val="16"/>
                <w:color w:val="auto"/>
              </w:rPr>
              <w:t>filer</w:t>
            </w:r>
          </w:p>
        </w:tc>
        <w:tc>
          <w:tcPr>
            <w:tcW w:w="700" w:type="dxa"/>
            <w:vAlign w:val="bottom"/>
            <w:vMerge w:val="continue"/>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rPr>
              <w:t>filer</w:t>
            </w:r>
          </w:p>
        </w:tc>
        <w:tc>
          <w:tcPr>
            <w:tcW w:w="720" w:type="dxa"/>
            <w:vAlign w:val="bottom"/>
            <w:vMerge w:val="continue"/>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rPr>
              <w:t>filer</w:t>
            </w:r>
          </w:p>
        </w:tc>
        <w:tc>
          <w:tcPr>
            <w:tcW w:w="620" w:type="dxa"/>
            <w:vAlign w:val="bottom"/>
            <w:vMerge w:val="continue"/>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rPr>
              <w:t>company</w:t>
            </w:r>
          </w:p>
        </w:tc>
        <w:tc>
          <w:tcPr>
            <w:tcW w:w="600" w:type="dxa"/>
            <w:vAlign w:val="bottom"/>
            <w:vMerge w:val="continue"/>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rPr>
              <w:t>company</w:t>
            </w:r>
          </w:p>
        </w:tc>
        <w:tc>
          <w:tcPr>
            <w:tcW w:w="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14" w:lineRule="exact"/>
        <w:rPr>
          <w:sz w:val="24"/>
          <w:szCs w:val="24"/>
          <w:color w:val="auto"/>
        </w:rPr>
      </w:pPr>
    </w:p>
    <w:p>
      <w:pPr>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9" w:lineRule="exact"/>
        <w:rPr>
          <w:sz w:val="24"/>
          <w:szCs w:val="24"/>
          <w:color w:val="auto"/>
        </w:rPr>
      </w:pPr>
    </w:p>
    <w:p>
      <w:pPr>
        <w:spacing w:after="0" w:line="207" w:lineRule="exact"/>
        <w:tabs>
          <w:tab w:leader="none" w:pos="9840" w:val="left"/>
        </w:tabs>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w:t>
        <w:tab/>
        <w:t xml:space="preserve">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36" w:lineRule="exact"/>
        <w:rPr>
          <w:sz w:val="24"/>
          <w:szCs w:val="24"/>
          <w:color w:val="auto"/>
        </w:rPr>
      </w:pPr>
    </w:p>
    <w:p>
      <w:pPr>
        <w:spacing w:after="0"/>
        <w:rPr>
          <w:sz w:val="20"/>
          <w:szCs w:val="20"/>
          <w:color w:val="auto"/>
        </w:rPr>
      </w:pPr>
      <w:r>
        <w:rPr>
          <w:rFonts w:ascii="Arial" w:cs="Arial" w:eastAsia="Arial" w:hAnsi="Arial"/>
          <w:sz w:val="18"/>
          <w:szCs w:val="18"/>
          <w:color w:val="auto"/>
        </w:rPr>
        <w:t>Shares outstanding at April 27, 2018:</w:t>
      </w:r>
    </w:p>
    <w:p>
      <w:pPr>
        <w:spacing w:after="0" w:line="158" w:lineRule="exact"/>
        <w:rPr>
          <w:sz w:val="24"/>
          <w:szCs w:val="24"/>
          <w:color w:val="auto"/>
        </w:rPr>
      </w:pPr>
    </w:p>
    <w:p>
      <w:pPr>
        <w:ind w:left="2680"/>
        <w:spacing w:after="0"/>
        <w:rPr>
          <w:sz w:val="20"/>
          <w:szCs w:val="20"/>
          <w:color w:val="auto"/>
        </w:rPr>
      </w:pPr>
      <w:r>
        <w:rPr>
          <w:rFonts w:ascii="Arial" w:cs="Arial" w:eastAsia="Arial" w:hAnsi="Arial"/>
          <w:sz w:val="18"/>
          <w:szCs w:val="18"/>
          <w:color w:val="auto"/>
        </w:rPr>
        <w:t>Class A Common Stock – 964,001 Shares</w:t>
      </w:r>
    </w:p>
    <w:p>
      <w:pPr>
        <w:spacing w:after="0" w:line="9" w:lineRule="exact"/>
        <w:rPr>
          <w:sz w:val="24"/>
          <w:szCs w:val="24"/>
          <w:color w:val="auto"/>
        </w:rPr>
      </w:pPr>
    </w:p>
    <w:p>
      <w:pPr>
        <w:ind w:left="2680"/>
        <w:spacing w:after="0"/>
        <w:rPr>
          <w:sz w:val="20"/>
          <w:szCs w:val="20"/>
          <w:color w:val="auto"/>
        </w:rPr>
      </w:pPr>
      <w:r>
        <w:rPr>
          <w:rFonts w:ascii="Arial" w:cs="Arial" w:eastAsia="Arial" w:hAnsi="Arial"/>
          <w:sz w:val="18"/>
          <w:szCs w:val="18"/>
          <w:color w:val="auto"/>
        </w:rPr>
        <w:t>Class B Common Stock – 4,399,736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76" w:right="23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GRAHAM HOLDINGS COMPANY</w:t>
      </w:r>
    </w:p>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 to Form 10-Q</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1180" w:type="dxa"/>
            <w:vAlign w:val="bottom"/>
            <w:gridSpan w:val="2"/>
          </w:tcPr>
          <w:p>
            <w:pPr>
              <w:spacing w:after="0"/>
              <w:rPr>
                <w:sz w:val="20"/>
                <w:szCs w:val="20"/>
                <w:color w:val="auto"/>
              </w:rPr>
            </w:pPr>
            <w:r>
              <w:rPr>
                <w:rFonts w:ascii="Arial" w:cs="Arial" w:eastAsia="Arial" w:hAnsi="Arial"/>
                <w:sz w:val="16"/>
                <w:szCs w:val="16"/>
                <w:color w:val="auto"/>
              </w:rPr>
              <w:t>PART I. FINANCIAL INFORMATION</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486"/>
        </w:trPr>
        <w:tc>
          <w:tcPr>
            <w:tcW w:w="840" w:type="dxa"/>
            <w:vAlign w:val="bottom"/>
          </w:tcPr>
          <w:p>
            <w:pPr>
              <w:spacing w:after="0"/>
              <w:rPr>
                <w:sz w:val="20"/>
                <w:szCs w:val="20"/>
                <w:color w:val="auto"/>
              </w:rPr>
            </w:pPr>
            <w:r>
              <w:rPr>
                <w:rFonts w:ascii="Arial" w:cs="Arial" w:eastAsia="Arial" w:hAnsi="Arial"/>
                <w:sz w:val="16"/>
                <w:szCs w:val="16"/>
                <w:color w:val="auto"/>
              </w:rPr>
              <w:t>Item 1.</w:t>
            </w:r>
          </w:p>
        </w:tc>
        <w:tc>
          <w:tcPr>
            <w:tcW w:w="10340" w:type="dxa"/>
            <w:vAlign w:val="bottom"/>
          </w:tcPr>
          <w:p>
            <w:pPr>
              <w:ind w:left="80"/>
              <w:spacing w:after="0"/>
              <w:rPr>
                <w:sz w:val="20"/>
                <w:szCs w:val="20"/>
                <w:color w:val="auto"/>
              </w:rPr>
            </w:pPr>
            <w:r>
              <w:rPr>
                <w:rFonts w:ascii="Arial" w:cs="Arial" w:eastAsia="Arial" w:hAnsi="Arial"/>
                <w:sz w:val="16"/>
                <w:szCs w:val="16"/>
                <w:color w:val="auto"/>
              </w:rPr>
              <w:t>Financial Statements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2"/>
        </w:trPr>
        <w:tc>
          <w:tcPr>
            <w:tcW w:w="840" w:type="dxa"/>
            <w:vAlign w:val="bottom"/>
          </w:tcPr>
          <w:p>
            <w:pPr>
              <w:spacing w:after="0"/>
              <w:rPr>
                <w:sz w:val="24"/>
                <w:szCs w:val="24"/>
                <w:color w:val="auto"/>
              </w:rPr>
            </w:pPr>
          </w:p>
        </w:tc>
        <w:tc>
          <w:tcPr>
            <w:tcW w:w="10340" w:type="dxa"/>
            <w:vAlign w:val="bottom"/>
          </w:tcPr>
          <w:p>
            <w:pPr>
              <w:ind w:left="80"/>
              <w:spacing w:after="0"/>
              <w:rPr>
                <w:sz w:val="20"/>
                <w:szCs w:val="20"/>
                <w:color w:val="auto"/>
              </w:rPr>
            </w:pPr>
            <w:r>
              <w:rPr>
                <w:rFonts w:ascii="Arial" w:cs="Arial" w:eastAsia="Arial" w:hAnsi="Arial"/>
                <w:sz w:val="16"/>
                <w:szCs w:val="16"/>
                <w:color w:val="auto"/>
              </w:rPr>
              <w:t>a. Condensed Consolidated Statements of Operations (Unaudited) for the Three Months Ended March 31, 2018 and 2017</w:t>
            </w: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6"/>
                <w:szCs w:val="16"/>
                <w:color w:val="0000EE"/>
                <w:w w:val="89"/>
              </w:rPr>
            </w:pPr>
            <w:hyperlink w:anchor="page3">
              <w:r>
                <w:rPr>
                  <w:rFonts w:ascii="Arial" w:cs="Arial" w:eastAsia="Arial" w:hAnsi="Arial"/>
                  <w:sz w:val="16"/>
                  <w:szCs w:val="16"/>
                  <w:color w:val="0000EE"/>
                  <w:w w:val="89"/>
                </w:rPr>
                <w:t>1</w:t>
              </w:r>
            </w:hyperlink>
          </w:p>
        </w:tc>
      </w:tr>
      <w:tr>
        <w:trPr>
          <w:trHeight w:val="466"/>
        </w:trPr>
        <w:tc>
          <w:tcPr>
            <w:tcW w:w="840" w:type="dxa"/>
            <w:vAlign w:val="bottom"/>
          </w:tcPr>
          <w:p>
            <w:pPr>
              <w:spacing w:after="0"/>
              <w:rPr>
                <w:sz w:val="24"/>
                <w:szCs w:val="24"/>
                <w:color w:val="auto"/>
              </w:rPr>
            </w:pPr>
          </w:p>
        </w:tc>
        <w:tc>
          <w:tcPr>
            <w:tcW w:w="10340" w:type="dxa"/>
            <w:vAlign w:val="bottom"/>
          </w:tcPr>
          <w:p>
            <w:pPr>
              <w:ind w:left="80"/>
              <w:spacing w:after="0"/>
              <w:rPr>
                <w:sz w:val="20"/>
                <w:szCs w:val="20"/>
                <w:color w:val="auto"/>
              </w:rPr>
            </w:pPr>
            <w:r>
              <w:rPr>
                <w:rFonts w:ascii="Arial" w:cs="Arial" w:eastAsia="Arial" w:hAnsi="Arial"/>
                <w:sz w:val="16"/>
                <w:szCs w:val="16"/>
                <w:color w:val="auto"/>
              </w:rPr>
              <w:t>b. Condensed Consolidated Statements of Comprehensive Income (Unaudited) for the Three Months Ended March 31, 2018 and 2017</w:t>
            </w: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6"/>
                <w:szCs w:val="16"/>
                <w:color w:val="0000EE"/>
                <w:w w:val="89"/>
              </w:rPr>
            </w:pPr>
            <w:hyperlink w:anchor="page4">
              <w:r>
                <w:rPr>
                  <w:rFonts w:ascii="Arial" w:cs="Arial" w:eastAsia="Arial" w:hAnsi="Arial"/>
                  <w:sz w:val="16"/>
                  <w:szCs w:val="16"/>
                  <w:color w:val="0000EE"/>
                  <w:w w:val="89"/>
                </w:rPr>
                <w:t>2</w:t>
              </w:r>
            </w:hyperlink>
          </w:p>
        </w:tc>
      </w:tr>
      <w:tr>
        <w:trPr>
          <w:trHeight w:val="466"/>
        </w:trPr>
        <w:tc>
          <w:tcPr>
            <w:tcW w:w="840" w:type="dxa"/>
            <w:vAlign w:val="bottom"/>
          </w:tcPr>
          <w:p>
            <w:pPr>
              <w:spacing w:after="0"/>
              <w:rPr>
                <w:sz w:val="24"/>
                <w:szCs w:val="24"/>
                <w:color w:val="auto"/>
              </w:rPr>
            </w:pPr>
          </w:p>
        </w:tc>
        <w:tc>
          <w:tcPr>
            <w:tcW w:w="10340" w:type="dxa"/>
            <w:vAlign w:val="bottom"/>
          </w:tcPr>
          <w:p>
            <w:pPr>
              <w:ind w:left="80"/>
              <w:spacing w:after="0"/>
              <w:rPr>
                <w:sz w:val="20"/>
                <w:szCs w:val="20"/>
                <w:color w:val="auto"/>
              </w:rPr>
            </w:pPr>
            <w:r>
              <w:rPr>
                <w:rFonts w:ascii="Arial" w:cs="Arial" w:eastAsia="Arial" w:hAnsi="Arial"/>
                <w:sz w:val="16"/>
                <w:szCs w:val="16"/>
                <w:color w:val="auto"/>
              </w:rPr>
              <w:t>c. Condensed Consolidated Balance Sheets at March 31, 2018 (Unaudited) and December 31, 2017</w:t>
            </w: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6"/>
                <w:szCs w:val="16"/>
                <w:color w:val="0000EE"/>
                <w:w w:val="89"/>
              </w:rPr>
            </w:pPr>
            <w:hyperlink w:anchor="page5">
              <w:r>
                <w:rPr>
                  <w:rFonts w:ascii="Arial" w:cs="Arial" w:eastAsia="Arial" w:hAnsi="Arial"/>
                  <w:sz w:val="16"/>
                  <w:szCs w:val="16"/>
                  <w:color w:val="0000EE"/>
                  <w:w w:val="89"/>
                </w:rPr>
                <w:t>3</w:t>
              </w:r>
            </w:hyperlink>
          </w:p>
        </w:tc>
      </w:tr>
      <w:tr>
        <w:trPr>
          <w:trHeight w:val="466"/>
        </w:trPr>
        <w:tc>
          <w:tcPr>
            <w:tcW w:w="840" w:type="dxa"/>
            <w:vAlign w:val="bottom"/>
          </w:tcPr>
          <w:p>
            <w:pPr>
              <w:spacing w:after="0"/>
              <w:rPr>
                <w:sz w:val="24"/>
                <w:szCs w:val="24"/>
                <w:color w:val="auto"/>
              </w:rPr>
            </w:pPr>
          </w:p>
        </w:tc>
        <w:tc>
          <w:tcPr>
            <w:tcW w:w="10340" w:type="dxa"/>
            <w:vAlign w:val="bottom"/>
          </w:tcPr>
          <w:p>
            <w:pPr>
              <w:ind w:left="80"/>
              <w:spacing w:after="0"/>
              <w:rPr>
                <w:sz w:val="20"/>
                <w:szCs w:val="20"/>
                <w:color w:val="auto"/>
              </w:rPr>
            </w:pPr>
            <w:r>
              <w:rPr>
                <w:rFonts w:ascii="Arial" w:cs="Arial" w:eastAsia="Arial" w:hAnsi="Arial"/>
                <w:sz w:val="16"/>
                <w:szCs w:val="16"/>
                <w:color w:val="auto"/>
              </w:rPr>
              <w:t>d. Condensed Consolidated Statements of Cash Flows (Unaudited) for the Three Months Ended March 31, 2018 and 2017</w:t>
            </w: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6"/>
                <w:szCs w:val="16"/>
                <w:color w:val="0000EE"/>
                <w:w w:val="89"/>
              </w:rPr>
            </w:pPr>
            <w:hyperlink w:anchor="page7">
              <w:r>
                <w:rPr>
                  <w:rFonts w:ascii="Arial" w:cs="Arial" w:eastAsia="Arial" w:hAnsi="Arial"/>
                  <w:sz w:val="16"/>
                  <w:szCs w:val="16"/>
                  <w:color w:val="0000EE"/>
                  <w:w w:val="89"/>
                </w:rPr>
                <w:t>4</w:t>
              </w:r>
            </w:hyperlink>
          </w:p>
        </w:tc>
      </w:tr>
      <w:tr>
        <w:trPr>
          <w:trHeight w:val="466"/>
        </w:trPr>
        <w:tc>
          <w:tcPr>
            <w:tcW w:w="840" w:type="dxa"/>
            <w:vAlign w:val="bottom"/>
          </w:tcPr>
          <w:p>
            <w:pPr>
              <w:spacing w:after="0"/>
              <w:rPr>
                <w:sz w:val="24"/>
                <w:szCs w:val="24"/>
                <w:color w:val="auto"/>
              </w:rPr>
            </w:pPr>
          </w:p>
        </w:tc>
        <w:tc>
          <w:tcPr>
            <w:tcW w:w="10340" w:type="dxa"/>
            <w:vAlign w:val="bottom"/>
          </w:tcPr>
          <w:p>
            <w:pPr>
              <w:ind w:left="80"/>
              <w:spacing w:after="0"/>
              <w:rPr>
                <w:sz w:val="20"/>
                <w:szCs w:val="20"/>
                <w:color w:val="auto"/>
              </w:rPr>
            </w:pPr>
            <w:r>
              <w:rPr>
                <w:rFonts w:ascii="Arial" w:cs="Arial" w:eastAsia="Arial" w:hAnsi="Arial"/>
                <w:sz w:val="16"/>
                <w:szCs w:val="16"/>
                <w:color w:val="auto"/>
              </w:rPr>
              <w:t>e. Notes to Condensed Consolidated Financial Statements (Unaudited)</w:t>
            </w: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6"/>
                <w:szCs w:val="16"/>
                <w:color w:val="0000EE"/>
                <w:w w:val="89"/>
              </w:rPr>
            </w:pPr>
            <w:hyperlink w:anchor="page8">
              <w:r>
                <w:rPr>
                  <w:rFonts w:ascii="Arial" w:cs="Arial" w:eastAsia="Arial" w:hAnsi="Arial"/>
                  <w:sz w:val="16"/>
                  <w:szCs w:val="16"/>
                  <w:color w:val="0000EE"/>
                  <w:w w:val="89"/>
                </w:rPr>
                <w:t>5</w:t>
              </w:r>
            </w:hyperlink>
          </w:p>
        </w:tc>
      </w:tr>
      <w:tr>
        <w:trPr>
          <w:trHeight w:val="466"/>
        </w:trPr>
        <w:tc>
          <w:tcPr>
            <w:tcW w:w="840" w:type="dxa"/>
            <w:vAlign w:val="bottom"/>
          </w:tcPr>
          <w:p>
            <w:pPr>
              <w:spacing w:after="0"/>
              <w:rPr>
                <w:sz w:val="20"/>
                <w:szCs w:val="20"/>
                <w:color w:val="auto"/>
              </w:rPr>
            </w:pPr>
            <w:r>
              <w:rPr>
                <w:rFonts w:ascii="Arial" w:cs="Arial" w:eastAsia="Arial" w:hAnsi="Arial"/>
                <w:sz w:val="16"/>
                <w:szCs w:val="16"/>
                <w:color w:val="auto"/>
              </w:rPr>
              <w:t>Item 2.</w:t>
            </w:r>
          </w:p>
        </w:tc>
        <w:tc>
          <w:tcPr>
            <w:tcW w:w="10340" w:type="dxa"/>
            <w:vAlign w:val="bottom"/>
          </w:tcPr>
          <w:p>
            <w:pPr>
              <w:ind w:left="80"/>
              <w:spacing w:after="0"/>
              <w:rPr>
                <w:sz w:val="20"/>
                <w:szCs w:val="20"/>
                <w:color w:val="auto"/>
              </w:rPr>
            </w:pPr>
            <w:r>
              <w:rPr>
                <w:rFonts w:ascii="Arial" w:cs="Arial" w:eastAsia="Arial" w:hAnsi="Arial"/>
                <w:sz w:val="16"/>
                <w:szCs w:val="16"/>
                <w:color w:val="auto"/>
              </w:rPr>
              <w:t>Management’s Discussion and Analysis of Results of Operations and Financial Condition</w:t>
            </w: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32">
              <w:r>
                <w:rPr>
                  <w:rFonts w:ascii="Arial" w:cs="Arial" w:eastAsia="Arial" w:hAnsi="Arial"/>
                  <w:sz w:val="16"/>
                  <w:szCs w:val="16"/>
                  <w:color w:val="0000EE"/>
                  <w:w w:val="89"/>
                </w:rPr>
                <w:t>28</w:t>
              </w:r>
            </w:hyperlink>
          </w:p>
        </w:tc>
      </w:tr>
      <w:tr>
        <w:trPr>
          <w:trHeight w:val="466"/>
        </w:trPr>
        <w:tc>
          <w:tcPr>
            <w:tcW w:w="840" w:type="dxa"/>
            <w:vAlign w:val="bottom"/>
          </w:tcPr>
          <w:p>
            <w:pPr>
              <w:spacing w:after="0"/>
              <w:rPr>
                <w:sz w:val="20"/>
                <w:szCs w:val="20"/>
                <w:color w:val="auto"/>
              </w:rPr>
            </w:pPr>
            <w:r>
              <w:rPr>
                <w:rFonts w:ascii="Arial" w:cs="Arial" w:eastAsia="Arial" w:hAnsi="Arial"/>
                <w:sz w:val="16"/>
                <w:szCs w:val="16"/>
                <w:color w:val="auto"/>
              </w:rPr>
              <w:t>Item 3.</w:t>
            </w:r>
          </w:p>
        </w:tc>
        <w:tc>
          <w:tcPr>
            <w:tcW w:w="10340" w:type="dxa"/>
            <w:vAlign w:val="bottom"/>
          </w:tcPr>
          <w:p>
            <w:pPr>
              <w:ind w:left="80"/>
              <w:spacing w:after="0"/>
              <w:rPr>
                <w:sz w:val="20"/>
                <w:szCs w:val="20"/>
                <w:color w:val="auto"/>
              </w:rPr>
            </w:pPr>
            <w:r>
              <w:rPr>
                <w:rFonts w:ascii="Arial" w:cs="Arial" w:eastAsia="Arial" w:hAnsi="Arial"/>
                <w:sz w:val="16"/>
                <w:szCs w:val="16"/>
                <w:color w:val="auto"/>
              </w:rPr>
              <w:t>Quantitative and Qualitative Disclosures about Market Risk</w:t>
            </w: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39">
              <w:r>
                <w:rPr>
                  <w:rFonts w:ascii="Arial" w:cs="Arial" w:eastAsia="Arial" w:hAnsi="Arial"/>
                  <w:sz w:val="16"/>
                  <w:szCs w:val="16"/>
                  <w:color w:val="0000EE"/>
                  <w:w w:val="89"/>
                </w:rPr>
                <w:t>35</w:t>
              </w:r>
            </w:hyperlink>
          </w:p>
        </w:tc>
      </w:tr>
      <w:tr>
        <w:trPr>
          <w:trHeight w:val="466"/>
        </w:trPr>
        <w:tc>
          <w:tcPr>
            <w:tcW w:w="840" w:type="dxa"/>
            <w:vAlign w:val="bottom"/>
          </w:tcPr>
          <w:p>
            <w:pPr>
              <w:spacing w:after="0"/>
              <w:rPr>
                <w:sz w:val="20"/>
                <w:szCs w:val="20"/>
                <w:color w:val="auto"/>
              </w:rPr>
            </w:pPr>
            <w:r>
              <w:rPr>
                <w:rFonts w:ascii="Arial" w:cs="Arial" w:eastAsia="Arial" w:hAnsi="Arial"/>
                <w:sz w:val="16"/>
                <w:szCs w:val="16"/>
                <w:color w:val="auto"/>
              </w:rPr>
              <w:t>Item 4.</w:t>
            </w:r>
          </w:p>
        </w:tc>
        <w:tc>
          <w:tcPr>
            <w:tcW w:w="10340" w:type="dxa"/>
            <w:vAlign w:val="bottom"/>
          </w:tcPr>
          <w:p>
            <w:pPr>
              <w:ind w:left="80"/>
              <w:spacing w:after="0"/>
              <w:rPr>
                <w:sz w:val="20"/>
                <w:szCs w:val="20"/>
                <w:color w:val="auto"/>
              </w:rPr>
            </w:pPr>
            <w:r>
              <w:rPr>
                <w:rFonts w:ascii="Arial" w:cs="Arial" w:eastAsia="Arial" w:hAnsi="Arial"/>
                <w:sz w:val="16"/>
                <w:szCs w:val="16"/>
                <w:color w:val="auto"/>
              </w:rPr>
              <w:t>Controls and Procedures</w:t>
            </w: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39">
              <w:r>
                <w:rPr>
                  <w:rFonts w:ascii="Arial" w:cs="Arial" w:eastAsia="Arial" w:hAnsi="Arial"/>
                  <w:sz w:val="16"/>
                  <w:szCs w:val="16"/>
                  <w:color w:val="0000EE"/>
                  <w:w w:val="89"/>
                </w:rPr>
                <w:t>35</w:t>
              </w:r>
            </w:hyperlink>
          </w:p>
        </w:tc>
      </w:tr>
      <w:tr>
        <w:trPr>
          <w:trHeight w:val="501"/>
        </w:trPr>
        <w:tc>
          <w:tcPr>
            <w:tcW w:w="11180" w:type="dxa"/>
            <w:vAlign w:val="bottom"/>
            <w:gridSpan w:val="2"/>
          </w:tcPr>
          <w:p>
            <w:pPr>
              <w:spacing w:after="0"/>
              <w:rPr>
                <w:sz w:val="20"/>
                <w:szCs w:val="20"/>
                <w:color w:val="auto"/>
              </w:rPr>
            </w:pPr>
            <w:r>
              <w:rPr>
                <w:rFonts w:ascii="Arial" w:cs="Arial" w:eastAsia="Arial" w:hAnsi="Arial"/>
                <w:sz w:val="16"/>
                <w:szCs w:val="16"/>
                <w:color w:val="auto"/>
              </w:rPr>
              <w:t>PART II. OTHER INFORMATION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06"/>
        </w:trPr>
        <w:tc>
          <w:tcPr>
            <w:tcW w:w="840" w:type="dxa"/>
            <w:vAlign w:val="bottom"/>
          </w:tcPr>
          <w:p>
            <w:pPr>
              <w:spacing w:after="0"/>
              <w:rPr>
                <w:sz w:val="20"/>
                <w:szCs w:val="20"/>
                <w:color w:val="auto"/>
              </w:rPr>
            </w:pPr>
            <w:r>
              <w:rPr>
                <w:rFonts w:ascii="Arial" w:cs="Arial" w:eastAsia="Arial" w:hAnsi="Arial"/>
                <w:sz w:val="16"/>
                <w:szCs w:val="16"/>
                <w:color w:val="auto"/>
              </w:rPr>
              <w:t>Item 1A.</w:t>
            </w:r>
          </w:p>
        </w:tc>
        <w:tc>
          <w:tcPr>
            <w:tcW w:w="10340" w:type="dxa"/>
            <w:vAlign w:val="bottom"/>
          </w:tcPr>
          <w:p>
            <w:pPr>
              <w:ind w:left="80"/>
              <w:spacing w:after="0"/>
              <w:rPr>
                <w:sz w:val="20"/>
                <w:szCs w:val="20"/>
                <w:color w:val="auto"/>
              </w:rPr>
            </w:pPr>
            <w:r>
              <w:rPr>
                <w:rFonts w:ascii="Arial" w:cs="Arial" w:eastAsia="Arial" w:hAnsi="Arial"/>
                <w:sz w:val="16"/>
                <w:szCs w:val="16"/>
                <w:color w:val="auto"/>
              </w:rPr>
              <w:t>Risk Factors</w:t>
            </w: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40">
              <w:r>
                <w:rPr>
                  <w:rFonts w:ascii="Arial" w:cs="Arial" w:eastAsia="Arial" w:hAnsi="Arial"/>
                  <w:sz w:val="16"/>
                  <w:szCs w:val="16"/>
                  <w:color w:val="0000EE"/>
                  <w:w w:val="89"/>
                </w:rPr>
                <w:t>36</w:t>
              </w:r>
            </w:hyperlink>
          </w:p>
        </w:tc>
      </w:tr>
      <w:tr>
        <w:trPr>
          <w:trHeight w:val="466"/>
        </w:trPr>
        <w:tc>
          <w:tcPr>
            <w:tcW w:w="840" w:type="dxa"/>
            <w:vAlign w:val="bottom"/>
          </w:tcPr>
          <w:p>
            <w:pPr>
              <w:spacing w:after="0"/>
              <w:rPr>
                <w:sz w:val="20"/>
                <w:szCs w:val="20"/>
                <w:color w:val="auto"/>
              </w:rPr>
            </w:pPr>
            <w:r>
              <w:rPr>
                <w:rFonts w:ascii="Arial" w:cs="Arial" w:eastAsia="Arial" w:hAnsi="Arial"/>
                <w:sz w:val="16"/>
                <w:szCs w:val="16"/>
                <w:color w:val="auto"/>
              </w:rPr>
              <w:t>Item 2.</w:t>
            </w:r>
          </w:p>
        </w:tc>
        <w:tc>
          <w:tcPr>
            <w:tcW w:w="10340" w:type="dxa"/>
            <w:vAlign w:val="bottom"/>
          </w:tcPr>
          <w:p>
            <w:pPr>
              <w:ind w:left="80"/>
              <w:spacing w:after="0"/>
              <w:rPr>
                <w:sz w:val="20"/>
                <w:szCs w:val="20"/>
                <w:color w:val="auto"/>
              </w:rPr>
            </w:pPr>
            <w:r>
              <w:rPr>
                <w:rFonts w:ascii="Arial" w:cs="Arial" w:eastAsia="Arial" w:hAnsi="Arial"/>
                <w:sz w:val="16"/>
                <w:szCs w:val="16"/>
                <w:color w:val="auto"/>
              </w:rPr>
              <w:t>Unregistered Sales of Equity Securities and Use of Proceeds</w:t>
            </w: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40">
              <w:r>
                <w:rPr>
                  <w:rFonts w:ascii="Arial" w:cs="Arial" w:eastAsia="Arial" w:hAnsi="Arial"/>
                  <w:sz w:val="16"/>
                  <w:szCs w:val="16"/>
                  <w:color w:val="0000EE"/>
                  <w:w w:val="89"/>
                </w:rPr>
                <w:t>36</w:t>
              </w:r>
            </w:hyperlink>
          </w:p>
        </w:tc>
      </w:tr>
      <w:tr>
        <w:trPr>
          <w:trHeight w:val="520"/>
        </w:trPr>
        <w:tc>
          <w:tcPr>
            <w:tcW w:w="840" w:type="dxa"/>
            <w:vAlign w:val="bottom"/>
          </w:tcPr>
          <w:p>
            <w:pPr>
              <w:spacing w:after="0"/>
              <w:rPr>
                <w:sz w:val="20"/>
                <w:szCs w:val="20"/>
                <w:color w:val="auto"/>
              </w:rPr>
            </w:pPr>
            <w:r>
              <w:rPr>
                <w:rFonts w:ascii="Arial" w:cs="Arial" w:eastAsia="Arial" w:hAnsi="Arial"/>
                <w:sz w:val="16"/>
                <w:szCs w:val="16"/>
                <w:color w:val="auto"/>
              </w:rPr>
              <w:t>Item 6.</w:t>
            </w:r>
          </w:p>
        </w:tc>
        <w:tc>
          <w:tcPr>
            <w:tcW w:w="10340" w:type="dxa"/>
            <w:vAlign w:val="bottom"/>
          </w:tcPr>
          <w:p>
            <w:pPr>
              <w:ind w:left="80"/>
              <w:spacing w:after="0"/>
              <w:rPr>
                <w:sz w:val="20"/>
                <w:szCs w:val="20"/>
                <w:color w:val="auto"/>
              </w:rPr>
            </w:pPr>
            <w:r>
              <w:rPr>
                <w:rFonts w:ascii="Arial" w:cs="Arial" w:eastAsia="Arial" w:hAnsi="Arial"/>
                <w:sz w:val="16"/>
                <w:szCs w:val="16"/>
                <w:color w:val="auto"/>
              </w:rPr>
              <w:t>Exhibits</w:t>
            </w: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41">
              <w:r>
                <w:rPr>
                  <w:rFonts w:ascii="Arial" w:cs="Arial" w:eastAsia="Arial" w:hAnsi="Arial"/>
                  <w:sz w:val="16"/>
                  <w:szCs w:val="16"/>
                  <w:color w:val="0000EE"/>
                  <w:w w:val="89"/>
                </w:rPr>
                <w:t>37</w:t>
              </w:r>
            </w:hyperlink>
          </w:p>
        </w:tc>
      </w:tr>
      <w:tr>
        <w:trPr>
          <w:trHeight w:val="466"/>
        </w:trPr>
        <w:tc>
          <w:tcPr>
            <w:tcW w:w="840" w:type="dxa"/>
            <w:vAlign w:val="bottom"/>
          </w:tcPr>
          <w:p>
            <w:pPr>
              <w:spacing w:after="0"/>
              <w:rPr>
                <w:sz w:val="20"/>
                <w:szCs w:val="20"/>
                <w:color w:val="auto"/>
              </w:rPr>
            </w:pPr>
            <w:r>
              <w:rPr>
                <w:rFonts w:ascii="Arial" w:cs="Arial" w:eastAsia="Arial" w:hAnsi="Arial"/>
                <w:sz w:val="16"/>
                <w:szCs w:val="16"/>
                <w:color w:val="auto"/>
              </w:rPr>
              <w:t>Signatures</w:t>
            </w:r>
          </w:p>
        </w:tc>
        <w:tc>
          <w:tcPr>
            <w:tcW w:w="1034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42">
              <w:r>
                <w:rPr>
                  <w:rFonts w:ascii="Arial" w:cs="Arial" w:eastAsia="Arial" w:hAnsi="Arial"/>
                  <w:sz w:val="16"/>
                  <w:szCs w:val="16"/>
                  <w:color w:val="0000EE"/>
                  <w:w w:val="89"/>
                </w:rPr>
                <w:t>38</w:t>
              </w:r>
            </w:hyperlink>
          </w:p>
        </w:tc>
      </w:tr>
    </w:tbl>
    <w:p>
      <w:pPr>
        <w:sectPr>
          <w:pgSz w:w="11900" w:h="16838" w:orient="portrait"/>
          <w:cols w:equalWidth="0" w:num="1">
            <w:col w:w="11360"/>
          </w:cols>
          <w:pgMar w:left="280" w:top="711"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GRAHAM HOLDINGS COMPANY</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199" w:lineRule="exact"/>
        <w:rPr>
          <w:sz w:val="20"/>
          <w:szCs w:val="20"/>
          <w:color w:val="auto"/>
        </w:rPr>
      </w:pPr>
    </w:p>
    <w:p>
      <w:pPr>
        <w:ind w:left="940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88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 share amounts)</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color w:val="auto"/>
              </w:rPr>
              <w:t>2017</w:t>
            </w:r>
          </w:p>
        </w:tc>
        <w:tc>
          <w:tcPr>
            <w:tcW w:w="0" w:type="dxa"/>
            <w:vAlign w:val="bottom"/>
          </w:tcPr>
          <w:p>
            <w:pPr>
              <w:spacing w:after="0"/>
              <w:rPr>
                <w:sz w:val="1"/>
                <w:szCs w:val="1"/>
                <w:color w:val="auto"/>
              </w:rPr>
            </w:pPr>
          </w:p>
        </w:tc>
      </w:tr>
      <w:tr>
        <w:trPr>
          <w:trHeight w:val="250"/>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300" w:type="dxa"/>
            <w:vAlign w:val="bottom"/>
          </w:tcPr>
          <w:p>
            <w:pPr>
              <w:spacing w:after="0"/>
              <w:rPr>
                <w:sz w:val="21"/>
                <w:szCs w:val="21"/>
                <w:color w:val="auto"/>
              </w:rPr>
            </w:pPr>
          </w:p>
        </w:tc>
        <w:tc>
          <w:tcPr>
            <w:tcW w:w="1000" w:type="dxa"/>
            <w:vAlign w:val="bottom"/>
          </w:tcPr>
          <w:p>
            <w:pPr>
              <w:jc w:val="right"/>
              <w:ind w:right="80"/>
              <w:spacing w:after="0"/>
              <w:rPr>
                <w:sz w:val="20"/>
                <w:szCs w:val="20"/>
                <w:color w:val="auto"/>
              </w:rPr>
            </w:pPr>
            <w:r>
              <w:rPr>
                <w:rFonts w:ascii="Arial" w:cs="Arial" w:eastAsia="Arial" w:hAnsi="Arial"/>
                <w:sz w:val="16"/>
                <w:szCs w:val="16"/>
                <w:b w:val="1"/>
                <w:bCs w:val="1"/>
                <w:color w:val="auto"/>
              </w:rPr>
              <w:t>659,436</w:t>
            </w:r>
          </w:p>
        </w:tc>
        <w:tc>
          <w:tcPr>
            <w:tcW w:w="440" w:type="dxa"/>
            <w:vAlign w:val="bottom"/>
          </w:tcPr>
          <w:p>
            <w:pPr>
              <w:spacing w:after="0"/>
              <w:rPr>
                <w:sz w:val="21"/>
                <w:szCs w:val="21"/>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582,717</w:t>
            </w:r>
          </w:p>
        </w:tc>
        <w:tc>
          <w:tcPr>
            <w:tcW w:w="0" w:type="dxa"/>
            <w:vAlign w:val="bottom"/>
          </w:tcPr>
          <w:p>
            <w:pPr>
              <w:spacing w:after="0"/>
              <w:rPr>
                <w:sz w:val="1"/>
                <w:szCs w:val="1"/>
                <w:color w:val="auto"/>
              </w:rPr>
            </w:pPr>
          </w:p>
        </w:tc>
      </w:tr>
      <w:tr>
        <w:trPr>
          <w:trHeight w:val="270"/>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Operating Costs and Expenses</w:t>
            </w: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800" w:type="dxa"/>
            <w:vAlign w:val="bottom"/>
          </w:tcPr>
          <w:p>
            <w:pPr>
              <w:ind w:left="280"/>
              <w:spacing w:after="0"/>
              <w:rPr>
                <w:sz w:val="20"/>
                <w:szCs w:val="20"/>
                <w:color w:val="auto"/>
              </w:rPr>
            </w:pPr>
            <w:r>
              <w:rPr>
                <w:rFonts w:ascii="Arial" w:cs="Arial" w:eastAsia="Arial" w:hAnsi="Arial"/>
                <w:sz w:val="16"/>
                <w:szCs w:val="16"/>
                <w:color w:val="auto"/>
              </w:rPr>
              <w:t>Operating</w:t>
            </w:r>
          </w:p>
        </w:tc>
        <w:tc>
          <w:tcPr>
            <w:tcW w:w="300" w:type="dxa"/>
            <w:vAlign w:val="bottom"/>
          </w:tcPr>
          <w:p>
            <w:pPr>
              <w:spacing w:after="0"/>
              <w:rPr>
                <w:sz w:val="23"/>
                <w:szCs w:val="23"/>
                <w:color w:val="auto"/>
              </w:rPr>
            </w:pPr>
          </w:p>
        </w:tc>
        <w:tc>
          <w:tcPr>
            <w:tcW w:w="1000" w:type="dxa"/>
            <w:vAlign w:val="bottom"/>
          </w:tcPr>
          <w:p>
            <w:pPr>
              <w:jc w:val="right"/>
              <w:ind w:right="80"/>
              <w:spacing w:after="0"/>
              <w:rPr>
                <w:sz w:val="20"/>
                <w:szCs w:val="20"/>
                <w:color w:val="auto"/>
              </w:rPr>
            </w:pPr>
            <w:r>
              <w:rPr>
                <w:rFonts w:ascii="Arial" w:cs="Arial" w:eastAsia="Arial" w:hAnsi="Arial"/>
                <w:sz w:val="16"/>
                <w:szCs w:val="16"/>
                <w:b w:val="1"/>
                <w:bCs w:val="1"/>
                <w:color w:val="auto"/>
              </w:rPr>
              <w:t>365,151</w:t>
            </w:r>
          </w:p>
        </w:tc>
        <w:tc>
          <w:tcPr>
            <w:tcW w:w="4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325,687</w:t>
            </w:r>
          </w:p>
        </w:tc>
        <w:tc>
          <w:tcPr>
            <w:tcW w:w="0" w:type="dxa"/>
            <w:vAlign w:val="bottom"/>
          </w:tcPr>
          <w:p>
            <w:pPr>
              <w:spacing w:after="0"/>
              <w:rPr>
                <w:sz w:val="1"/>
                <w:szCs w:val="1"/>
                <w:color w:val="auto"/>
              </w:rPr>
            </w:pPr>
          </w:p>
        </w:tc>
      </w:tr>
      <w:tr>
        <w:trPr>
          <w:trHeight w:val="270"/>
        </w:trPr>
        <w:tc>
          <w:tcPr>
            <w:tcW w:w="8800" w:type="dxa"/>
            <w:vAlign w:val="bottom"/>
          </w:tcPr>
          <w:p>
            <w:pPr>
              <w:ind w:left="280"/>
              <w:spacing w:after="0"/>
              <w:rPr>
                <w:sz w:val="20"/>
                <w:szCs w:val="20"/>
                <w:color w:val="auto"/>
              </w:rPr>
            </w:pPr>
            <w:r>
              <w:rPr>
                <w:rFonts w:ascii="Arial" w:cs="Arial" w:eastAsia="Arial" w:hAnsi="Arial"/>
                <w:sz w:val="16"/>
                <w:szCs w:val="16"/>
                <w:color w:val="auto"/>
              </w:rPr>
              <w:t>Selling, general and administrative</w:t>
            </w:r>
          </w:p>
        </w:tc>
        <w:tc>
          <w:tcPr>
            <w:tcW w:w="300" w:type="dxa"/>
            <w:vAlign w:val="bottom"/>
          </w:tcPr>
          <w:p>
            <w:pPr>
              <w:spacing w:after="0"/>
              <w:rPr>
                <w:sz w:val="23"/>
                <w:szCs w:val="23"/>
                <w:color w:val="auto"/>
              </w:rPr>
            </w:pPr>
          </w:p>
        </w:tc>
        <w:tc>
          <w:tcPr>
            <w:tcW w:w="1000" w:type="dxa"/>
            <w:vAlign w:val="bottom"/>
          </w:tcPr>
          <w:p>
            <w:pPr>
              <w:jc w:val="right"/>
              <w:ind w:right="80"/>
              <w:spacing w:after="0"/>
              <w:rPr>
                <w:sz w:val="20"/>
                <w:szCs w:val="20"/>
                <w:color w:val="auto"/>
              </w:rPr>
            </w:pPr>
            <w:r>
              <w:rPr>
                <w:rFonts w:ascii="Arial" w:cs="Arial" w:eastAsia="Arial" w:hAnsi="Arial"/>
                <w:sz w:val="16"/>
                <w:szCs w:val="16"/>
                <w:b w:val="1"/>
                <w:bCs w:val="1"/>
                <w:color w:val="auto"/>
              </w:rPr>
              <w:t>225,045</w:t>
            </w:r>
          </w:p>
        </w:tc>
        <w:tc>
          <w:tcPr>
            <w:tcW w:w="4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225,289</w:t>
            </w:r>
          </w:p>
        </w:tc>
        <w:tc>
          <w:tcPr>
            <w:tcW w:w="0" w:type="dxa"/>
            <w:vAlign w:val="bottom"/>
          </w:tcPr>
          <w:p>
            <w:pPr>
              <w:spacing w:after="0"/>
              <w:rPr>
                <w:sz w:val="1"/>
                <w:szCs w:val="1"/>
                <w:color w:val="auto"/>
              </w:rPr>
            </w:pPr>
          </w:p>
        </w:tc>
      </w:tr>
      <w:tr>
        <w:trPr>
          <w:trHeight w:val="270"/>
        </w:trPr>
        <w:tc>
          <w:tcPr>
            <w:tcW w:w="8800" w:type="dxa"/>
            <w:vAlign w:val="bottom"/>
          </w:tcPr>
          <w:p>
            <w:pPr>
              <w:ind w:left="280"/>
              <w:spacing w:after="0"/>
              <w:rPr>
                <w:sz w:val="20"/>
                <w:szCs w:val="20"/>
                <w:color w:val="auto"/>
              </w:rPr>
            </w:pPr>
            <w:r>
              <w:rPr>
                <w:rFonts w:ascii="Arial" w:cs="Arial" w:eastAsia="Arial" w:hAnsi="Arial"/>
                <w:sz w:val="16"/>
                <w:szCs w:val="16"/>
                <w:color w:val="auto"/>
              </w:rPr>
              <w:t>Depreciation of property, plant and equipment</w:t>
            </w:r>
          </w:p>
        </w:tc>
        <w:tc>
          <w:tcPr>
            <w:tcW w:w="300" w:type="dxa"/>
            <w:vAlign w:val="bottom"/>
          </w:tcPr>
          <w:p>
            <w:pPr>
              <w:spacing w:after="0"/>
              <w:rPr>
                <w:sz w:val="23"/>
                <w:szCs w:val="23"/>
                <w:color w:val="auto"/>
              </w:rPr>
            </w:pPr>
          </w:p>
        </w:tc>
        <w:tc>
          <w:tcPr>
            <w:tcW w:w="1000" w:type="dxa"/>
            <w:vAlign w:val="bottom"/>
          </w:tcPr>
          <w:p>
            <w:pPr>
              <w:jc w:val="right"/>
              <w:ind w:right="80"/>
              <w:spacing w:after="0"/>
              <w:rPr>
                <w:sz w:val="20"/>
                <w:szCs w:val="20"/>
                <w:color w:val="auto"/>
              </w:rPr>
            </w:pPr>
            <w:r>
              <w:rPr>
                <w:rFonts w:ascii="Arial" w:cs="Arial" w:eastAsia="Arial" w:hAnsi="Arial"/>
                <w:sz w:val="16"/>
                <w:szCs w:val="16"/>
                <w:b w:val="1"/>
                <w:bCs w:val="1"/>
                <w:color w:val="auto"/>
              </w:rPr>
              <w:t>14,642</w:t>
            </w:r>
          </w:p>
        </w:tc>
        <w:tc>
          <w:tcPr>
            <w:tcW w:w="4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14,652</w:t>
            </w:r>
          </w:p>
        </w:tc>
        <w:tc>
          <w:tcPr>
            <w:tcW w:w="0" w:type="dxa"/>
            <w:vAlign w:val="bottom"/>
          </w:tcPr>
          <w:p>
            <w:pPr>
              <w:spacing w:after="0"/>
              <w:rPr>
                <w:sz w:val="1"/>
                <w:szCs w:val="1"/>
                <w:color w:val="auto"/>
              </w:rPr>
            </w:pPr>
          </w:p>
        </w:tc>
      </w:tr>
      <w:tr>
        <w:trPr>
          <w:trHeight w:val="283"/>
        </w:trPr>
        <w:tc>
          <w:tcPr>
            <w:tcW w:w="8800" w:type="dxa"/>
            <w:vAlign w:val="bottom"/>
          </w:tcPr>
          <w:p>
            <w:pPr>
              <w:ind w:left="280"/>
              <w:spacing w:after="0"/>
              <w:rPr>
                <w:sz w:val="20"/>
                <w:szCs w:val="20"/>
                <w:color w:val="auto"/>
              </w:rPr>
            </w:pPr>
            <w:r>
              <w:rPr>
                <w:rFonts w:ascii="Arial" w:cs="Arial" w:eastAsia="Arial" w:hAnsi="Arial"/>
                <w:sz w:val="16"/>
                <w:szCs w:val="16"/>
                <w:color w:val="auto"/>
              </w:rPr>
              <w:t>Amortization of intangible assets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10,384</w:t>
            </w:r>
          </w:p>
        </w:tc>
        <w:tc>
          <w:tcPr>
            <w:tcW w:w="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6,836</w:t>
            </w:r>
          </w:p>
        </w:tc>
        <w:tc>
          <w:tcPr>
            <w:tcW w:w="0" w:type="dxa"/>
            <w:vAlign w:val="bottom"/>
          </w:tcPr>
          <w:p>
            <w:pPr>
              <w:spacing w:after="0"/>
              <w:rPr>
                <w:sz w:val="1"/>
                <w:szCs w:val="1"/>
                <w:color w:val="auto"/>
              </w:rPr>
            </w:pPr>
          </w:p>
        </w:tc>
      </w:tr>
      <w:tr>
        <w:trPr>
          <w:trHeight w:val="264"/>
        </w:trPr>
        <w:tc>
          <w:tcPr>
            <w:tcW w:w="88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615,222</w:t>
            </w:r>
          </w:p>
        </w:tc>
        <w:tc>
          <w:tcPr>
            <w:tcW w:w="4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572,464</w:t>
            </w:r>
          </w:p>
        </w:tc>
        <w:tc>
          <w:tcPr>
            <w:tcW w:w="0" w:type="dxa"/>
            <w:vAlign w:val="bottom"/>
          </w:tcPr>
          <w:p>
            <w:pPr>
              <w:spacing w:after="0"/>
              <w:rPr>
                <w:sz w:val="1"/>
                <w:szCs w:val="1"/>
                <w:color w:val="auto"/>
              </w:rPr>
            </w:pPr>
          </w:p>
        </w:tc>
      </w:tr>
      <w:tr>
        <w:trPr>
          <w:trHeight w:val="251"/>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Income from Operations</w:t>
            </w:r>
          </w:p>
        </w:tc>
        <w:tc>
          <w:tcPr>
            <w:tcW w:w="300" w:type="dxa"/>
            <w:vAlign w:val="bottom"/>
          </w:tcPr>
          <w:p>
            <w:pPr>
              <w:spacing w:after="0"/>
              <w:rPr>
                <w:sz w:val="21"/>
                <w:szCs w:val="21"/>
                <w:color w:val="auto"/>
              </w:rPr>
            </w:pPr>
          </w:p>
        </w:tc>
        <w:tc>
          <w:tcPr>
            <w:tcW w:w="1000" w:type="dxa"/>
            <w:vAlign w:val="bottom"/>
          </w:tcPr>
          <w:p>
            <w:pPr>
              <w:jc w:val="right"/>
              <w:ind w:right="80"/>
              <w:spacing w:after="0"/>
              <w:rPr>
                <w:sz w:val="20"/>
                <w:szCs w:val="20"/>
                <w:color w:val="auto"/>
              </w:rPr>
            </w:pPr>
            <w:r>
              <w:rPr>
                <w:rFonts w:ascii="Arial" w:cs="Arial" w:eastAsia="Arial" w:hAnsi="Arial"/>
                <w:sz w:val="16"/>
                <w:szCs w:val="16"/>
                <w:b w:val="1"/>
                <w:bCs w:val="1"/>
                <w:color w:val="auto"/>
              </w:rPr>
              <w:t>44,214</w:t>
            </w:r>
          </w:p>
        </w:tc>
        <w:tc>
          <w:tcPr>
            <w:tcW w:w="440" w:type="dxa"/>
            <w:vAlign w:val="bottom"/>
          </w:tcPr>
          <w:p>
            <w:pPr>
              <w:spacing w:after="0"/>
              <w:rPr>
                <w:sz w:val="21"/>
                <w:szCs w:val="21"/>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10,253</w:t>
            </w:r>
          </w:p>
        </w:tc>
        <w:tc>
          <w:tcPr>
            <w:tcW w:w="0" w:type="dxa"/>
            <w:vAlign w:val="bottom"/>
          </w:tcPr>
          <w:p>
            <w:pPr>
              <w:spacing w:after="0"/>
              <w:rPr>
                <w:sz w:val="1"/>
                <w:szCs w:val="1"/>
                <w:color w:val="auto"/>
              </w:rPr>
            </w:pPr>
          </w:p>
        </w:tc>
      </w:tr>
      <w:tr>
        <w:trPr>
          <w:trHeight w:val="270"/>
        </w:trPr>
        <w:tc>
          <w:tcPr>
            <w:tcW w:w="8800" w:type="dxa"/>
            <w:vAlign w:val="bottom"/>
          </w:tcPr>
          <w:p>
            <w:pPr>
              <w:ind w:left="280"/>
              <w:spacing w:after="0"/>
              <w:rPr>
                <w:sz w:val="20"/>
                <w:szCs w:val="20"/>
                <w:color w:val="auto"/>
              </w:rPr>
            </w:pPr>
            <w:r>
              <w:rPr>
                <w:rFonts w:ascii="Arial" w:cs="Arial" w:eastAsia="Arial" w:hAnsi="Arial"/>
                <w:sz w:val="16"/>
                <w:szCs w:val="16"/>
                <w:color w:val="auto"/>
              </w:rPr>
              <w:t>Equity in earnings of affiliates, net</w:t>
            </w:r>
          </w:p>
        </w:tc>
        <w:tc>
          <w:tcPr>
            <w:tcW w:w="300" w:type="dxa"/>
            <w:vAlign w:val="bottom"/>
          </w:tcPr>
          <w:p>
            <w:pPr>
              <w:spacing w:after="0"/>
              <w:rPr>
                <w:sz w:val="23"/>
                <w:szCs w:val="23"/>
                <w:color w:val="auto"/>
              </w:rPr>
            </w:pPr>
          </w:p>
        </w:tc>
        <w:tc>
          <w:tcPr>
            <w:tcW w:w="1000" w:type="dxa"/>
            <w:vAlign w:val="bottom"/>
          </w:tcPr>
          <w:p>
            <w:pPr>
              <w:jc w:val="right"/>
              <w:ind w:right="80"/>
              <w:spacing w:after="0"/>
              <w:rPr>
                <w:sz w:val="20"/>
                <w:szCs w:val="20"/>
                <w:color w:val="auto"/>
              </w:rPr>
            </w:pPr>
            <w:r>
              <w:rPr>
                <w:rFonts w:ascii="Arial" w:cs="Arial" w:eastAsia="Arial" w:hAnsi="Arial"/>
                <w:sz w:val="16"/>
                <w:szCs w:val="16"/>
                <w:b w:val="1"/>
                <w:bCs w:val="1"/>
                <w:color w:val="auto"/>
              </w:rPr>
              <w:t>2,579</w:t>
            </w:r>
          </w:p>
        </w:tc>
        <w:tc>
          <w:tcPr>
            <w:tcW w:w="4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649</w:t>
            </w:r>
          </w:p>
        </w:tc>
        <w:tc>
          <w:tcPr>
            <w:tcW w:w="0" w:type="dxa"/>
            <w:vAlign w:val="bottom"/>
          </w:tcPr>
          <w:p>
            <w:pPr>
              <w:spacing w:after="0"/>
              <w:rPr>
                <w:sz w:val="1"/>
                <w:szCs w:val="1"/>
                <w:color w:val="auto"/>
              </w:rPr>
            </w:pPr>
          </w:p>
        </w:tc>
      </w:tr>
      <w:tr>
        <w:trPr>
          <w:trHeight w:val="270"/>
        </w:trPr>
        <w:tc>
          <w:tcPr>
            <w:tcW w:w="8800" w:type="dxa"/>
            <w:vAlign w:val="bottom"/>
          </w:tcPr>
          <w:p>
            <w:pPr>
              <w:ind w:left="280"/>
              <w:spacing w:after="0"/>
              <w:rPr>
                <w:sz w:val="20"/>
                <w:szCs w:val="20"/>
                <w:color w:val="auto"/>
              </w:rPr>
            </w:pPr>
            <w:r>
              <w:rPr>
                <w:rFonts w:ascii="Arial" w:cs="Arial" w:eastAsia="Arial" w:hAnsi="Arial"/>
                <w:sz w:val="16"/>
                <w:szCs w:val="16"/>
                <w:color w:val="auto"/>
              </w:rPr>
              <w:t>Interest income</w:t>
            </w:r>
          </w:p>
        </w:tc>
        <w:tc>
          <w:tcPr>
            <w:tcW w:w="300" w:type="dxa"/>
            <w:vAlign w:val="bottom"/>
          </w:tcPr>
          <w:p>
            <w:pPr>
              <w:spacing w:after="0"/>
              <w:rPr>
                <w:sz w:val="23"/>
                <w:szCs w:val="23"/>
                <w:color w:val="auto"/>
              </w:rPr>
            </w:pPr>
          </w:p>
        </w:tc>
        <w:tc>
          <w:tcPr>
            <w:tcW w:w="1000" w:type="dxa"/>
            <w:vAlign w:val="bottom"/>
          </w:tcPr>
          <w:p>
            <w:pPr>
              <w:jc w:val="right"/>
              <w:ind w:right="80"/>
              <w:spacing w:after="0"/>
              <w:rPr>
                <w:sz w:val="20"/>
                <w:szCs w:val="20"/>
                <w:color w:val="auto"/>
              </w:rPr>
            </w:pPr>
            <w:r>
              <w:rPr>
                <w:rFonts w:ascii="Arial" w:cs="Arial" w:eastAsia="Arial" w:hAnsi="Arial"/>
                <w:sz w:val="16"/>
                <w:szCs w:val="16"/>
                <w:b w:val="1"/>
                <w:bCs w:val="1"/>
                <w:color w:val="auto"/>
              </w:rPr>
              <w:t>1,372</w:t>
            </w:r>
          </w:p>
        </w:tc>
        <w:tc>
          <w:tcPr>
            <w:tcW w:w="4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1,363</w:t>
            </w:r>
          </w:p>
        </w:tc>
        <w:tc>
          <w:tcPr>
            <w:tcW w:w="0" w:type="dxa"/>
            <w:vAlign w:val="bottom"/>
          </w:tcPr>
          <w:p>
            <w:pPr>
              <w:spacing w:after="0"/>
              <w:rPr>
                <w:sz w:val="1"/>
                <w:szCs w:val="1"/>
                <w:color w:val="auto"/>
              </w:rPr>
            </w:pPr>
          </w:p>
        </w:tc>
      </w:tr>
      <w:tr>
        <w:trPr>
          <w:trHeight w:val="270"/>
        </w:trPr>
        <w:tc>
          <w:tcPr>
            <w:tcW w:w="8800" w:type="dxa"/>
            <w:vAlign w:val="bottom"/>
          </w:tcPr>
          <w:p>
            <w:pPr>
              <w:ind w:left="280"/>
              <w:spacing w:after="0"/>
              <w:rPr>
                <w:sz w:val="20"/>
                <w:szCs w:val="20"/>
                <w:color w:val="auto"/>
              </w:rPr>
            </w:pPr>
            <w:r>
              <w:rPr>
                <w:rFonts w:ascii="Arial" w:cs="Arial" w:eastAsia="Arial" w:hAnsi="Arial"/>
                <w:sz w:val="16"/>
                <w:szCs w:val="16"/>
                <w:color w:val="auto"/>
              </w:rPr>
              <w:t>Interest expense</w:t>
            </w:r>
          </w:p>
        </w:tc>
        <w:tc>
          <w:tcPr>
            <w:tcW w:w="300" w:type="dxa"/>
            <w:vAlign w:val="bottom"/>
          </w:tcPr>
          <w:p>
            <w:pPr>
              <w:spacing w:after="0"/>
              <w:rPr>
                <w:sz w:val="23"/>
                <w:szCs w:val="23"/>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b w:val="1"/>
                <w:bCs w:val="1"/>
                <w:color w:val="auto"/>
              </w:rPr>
              <w:t>(8,071)</w:t>
            </w:r>
          </w:p>
        </w:tc>
        <w:tc>
          <w:tcPr>
            <w:tcW w:w="4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(8,129)</w:t>
            </w:r>
          </w:p>
        </w:tc>
        <w:tc>
          <w:tcPr>
            <w:tcW w:w="0" w:type="dxa"/>
            <w:vAlign w:val="bottom"/>
          </w:tcPr>
          <w:p>
            <w:pPr>
              <w:spacing w:after="0"/>
              <w:rPr>
                <w:sz w:val="1"/>
                <w:szCs w:val="1"/>
                <w:color w:val="auto"/>
              </w:rPr>
            </w:pPr>
          </w:p>
        </w:tc>
      </w:tr>
      <w:tr>
        <w:trPr>
          <w:trHeight w:val="270"/>
        </w:trPr>
        <w:tc>
          <w:tcPr>
            <w:tcW w:w="8800" w:type="dxa"/>
            <w:vAlign w:val="bottom"/>
          </w:tcPr>
          <w:p>
            <w:pPr>
              <w:ind w:left="280"/>
              <w:spacing w:after="0"/>
              <w:rPr>
                <w:sz w:val="20"/>
                <w:szCs w:val="20"/>
                <w:color w:val="auto"/>
              </w:rPr>
            </w:pPr>
            <w:r>
              <w:rPr>
                <w:rFonts w:ascii="Arial" w:cs="Arial" w:eastAsia="Arial" w:hAnsi="Arial"/>
                <w:sz w:val="16"/>
                <w:szCs w:val="16"/>
                <w:color w:val="auto"/>
              </w:rPr>
              <w:t>Non-operating pension and postretirement benefit income, net</w:t>
            </w:r>
          </w:p>
        </w:tc>
        <w:tc>
          <w:tcPr>
            <w:tcW w:w="300" w:type="dxa"/>
            <w:vAlign w:val="bottom"/>
          </w:tcPr>
          <w:p>
            <w:pPr>
              <w:spacing w:after="0"/>
              <w:rPr>
                <w:sz w:val="23"/>
                <w:szCs w:val="23"/>
                <w:color w:val="auto"/>
              </w:rPr>
            </w:pPr>
          </w:p>
        </w:tc>
        <w:tc>
          <w:tcPr>
            <w:tcW w:w="1000" w:type="dxa"/>
            <w:vAlign w:val="bottom"/>
          </w:tcPr>
          <w:p>
            <w:pPr>
              <w:jc w:val="right"/>
              <w:ind w:right="80"/>
              <w:spacing w:after="0"/>
              <w:rPr>
                <w:sz w:val="20"/>
                <w:szCs w:val="20"/>
                <w:color w:val="auto"/>
              </w:rPr>
            </w:pPr>
            <w:r>
              <w:rPr>
                <w:rFonts w:ascii="Arial" w:cs="Arial" w:eastAsia="Arial" w:hAnsi="Arial"/>
                <w:sz w:val="16"/>
                <w:szCs w:val="16"/>
                <w:b w:val="1"/>
                <w:bCs w:val="1"/>
                <w:color w:val="auto"/>
              </w:rPr>
              <w:t>21,386</w:t>
            </w:r>
          </w:p>
        </w:tc>
        <w:tc>
          <w:tcPr>
            <w:tcW w:w="4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18,801</w:t>
            </w:r>
          </w:p>
        </w:tc>
        <w:tc>
          <w:tcPr>
            <w:tcW w:w="0" w:type="dxa"/>
            <w:vAlign w:val="bottom"/>
          </w:tcPr>
          <w:p>
            <w:pPr>
              <w:spacing w:after="0"/>
              <w:rPr>
                <w:sz w:val="1"/>
                <w:szCs w:val="1"/>
                <w:color w:val="auto"/>
              </w:rPr>
            </w:pPr>
          </w:p>
        </w:tc>
      </w:tr>
      <w:tr>
        <w:trPr>
          <w:trHeight w:val="270"/>
        </w:trPr>
        <w:tc>
          <w:tcPr>
            <w:tcW w:w="8800" w:type="dxa"/>
            <w:vAlign w:val="bottom"/>
          </w:tcPr>
          <w:p>
            <w:pPr>
              <w:ind w:left="280"/>
              <w:spacing w:after="0"/>
              <w:rPr>
                <w:sz w:val="20"/>
                <w:szCs w:val="20"/>
                <w:color w:val="auto"/>
              </w:rPr>
            </w:pPr>
            <w:r>
              <w:rPr>
                <w:rFonts w:ascii="Arial" w:cs="Arial" w:eastAsia="Arial" w:hAnsi="Arial"/>
                <w:sz w:val="16"/>
                <w:szCs w:val="16"/>
                <w:color w:val="auto"/>
              </w:rPr>
              <w:t>Loss on marketable equity securities, net</w:t>
            </w:r>
          </w:p>
        </w:tc>
        <w:tc>
          <w:tcPr>
            <w:tcW w:w="300" w:type="dxa"/>
            <w:vAlign w:val="bottom"/>
          </w:tcPr>
          <w:p>
            <w:pPr>
              <w:spacing w:after="0"/>
              <w:rPr>
                <w:sz w:val="23"/>
                <w:szCs w:val="23"/>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b w:val="1"/>
                <w:bCs w:val="1"/>
                <w:color w:val="auto"/>
              </w:rPr>
              <w:t>(14,102)</w:t>
            </w:r>
          </w:p>
        </w:tc>
        <w:tc>
          <w:tcPr>
            <w:tcW w:w="4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8800" w:type="dxa"/>
            <w:vAlign w:val="bottom"/>
          </w:tcPr>
          <w:p>
            <w:pPr>
              <w:ind w:left="280"/>
              <w:spacing w:after="0"/>
              <w:rPr>
                <w:sz w:val="20"/>
                <w:szCs w:val="20"/>
                <w:color w:val="auto"/>
              </w:rPr>
            </w:pPr>
            <w:r>
              <w:rPr>
                <w:rFonts w:ascii="Arial" w:cs="Arial" w:eastAsia="Arial" w:hAnsi="Arial"/>
                <w:sz w:val="16"/>
                <w:szCs w:val="16"/>
                <w:color w:val="auto"/>
              </w:rPr>
              <w:t>Other income, net</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9,187</w:t>
            </w:r>
          </w:p>
        </w:tc>
        <w:tc>
          <w:tcPr>
            <w:tcW w:w="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849</w:t>
            </w:r>
          </w:p>
        </w:tc>
        <w:tc>
          <w:tcPr>
            <w:tcW w:w="0" w:type="dxa"/>
            <w:vAlign w:val="bottom"/>
          </w:tcPr>
          <w:p>
            <w:pPr>
              <w:spacing w:after="0"/>
              <w:rPr>
                <w:sz w:val="1"/>
                <w:szCs w:val="1"/>
                <w:color w:val="auto"/>
              </w:rPr>
            </w:pPr>
          </w:p>
        </w:tc>
      </w:tr>
      <w:tr>
        <w:trPr>
          <w:trHeight w:val="251"/>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Income Before Income Taxes</w:t>
            </w:r>
          </w:p>
        </w:tc>
        <w:tc>
          <w:tcPr>
            <w:tcW w:w="300" w:type="dxa"/>
            <w:vAlign w:val="bottom"/>
          </w:tcPr>
          <w:p>
            <w:pPr>
              <w:spacing w:after="0"/>
              <w:rPr>
                <w:sz w:val="21"/>
                <w:szCs w:val="21"/>
                <w:color w:val="auto"/>
              </w:rPr>
            </w:pPr>
          </w:p>
        </w:tc>
        <w:tc>
          <w:tcPr>
            <w:tcW w:w="1000" w:type="dxa"/>
            <w:vAlign w:val="bottom"/>
          </w:tcPr>
          <w:p>
            <w:pPr>
              <w:jc w:val="right"/>
              <w:ind w:right="80"/>
              <w:spacing w:after="0"/>
              <w:rPr>
                <w:sz w:val="20"/>
                <w:szCs w:val="20"/>
                <w:color w:val="auto"/>
              </w:rPr>
            </w:pPr>
            <w:r>
              <w:rPr>
                <w:rFonts w:ascii="Arial" w:cs="Arial" w:eastAsia="Arial" w:hAnsi="Arial"/>
                <w:sz w:val="16"/>
                <w:szCs w:val="16"/>
                <w:b w:val="1"/>
                <w:bCs w:val="1"/>
                <w:color w:val="auto"/>
              </w:rPr>
              <w:t>56,565</w:t>
            </w:r>
          </w:p>
        </w:tc>
        <w:tc>
          <w:tcPr>
            <w:tcW w:w="440" w:type="dxa"/>
            <w:vAlign w:val="bottom"/>
          </w:tcPr>
          <w:p>
            <w:pPr>
              <w:spacing w:after="0"/>
              <w:rPr>
                <w:sz w:val="21"/>
                <w:szCs w:val="21"/>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23,786</w:t>
            </w:r>
          </w:p>
        </w:tc>
        <w:tc>
          <w:tcPr>
            <w:tcW w:w="0" w:type="dxa"/>
            <w:vAlign w:val="bottom"/>
          </w:tcPr>
          <w:p>
            <w:pPr>
              <w:spacing w:after="0"/>
              <w:rPr>
                <w:sz w:val="1"/>
                <w:szCs w:val="1"/>
                <w:color w:val="auto"/>
              </w:rPr>
            </w:pPr>
          </w:p>
        </w:tc>
      </w:tr>
      <w:tr>
        <w:trPr>
          <w:trHeight w:val="283"/>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Provision for Income Taxes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13,600</w:t>
            </w:r>
          </w:p>
        </w:tc>
        <w:tc>
          <w:tcPr>
            <w:tcW w:w="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2,700</w:t>
            </w:r>
          </w:p>
        </w:tc>
        <w:tc>
          <w:tcPr>
            <w:tcW w:w="0" w:type="dxa"/>
            <w:vAlign w:val="bottom"/>
          </w:tcPr>
          <w:p>
            <w:pPr>
              <w:spacing w:after="0"/>
              <w:rPr>
                <w:sz w:val="1"/>
                <w:szCs w:val="1"/>
                <w:color w:val="auto"/>
              </w:rPr>
            </w:pPr>
          </w:p>
        </w:tc>
      </w:tr>
      <w:tr>
        <w:trPr>
          <w:trHeight w:val="251"/>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Net Income</w:t>
            </w:r>
          </w:p>
        </w:tc>
        <w:tc>
          <w:tcPr>
            <w:tcW w:w="300" w:type="dxa"/>
            <w:vAlign w:val="bottom"/>
          </w:tcPr>
          <w:p>
            <w:pPr>
              <w:spacing w:after="0"/>
              <w:rPr>
                <w:sz w:val="21"/>
                <w:szCs w:val="21"/>
                <w:color w:val="auto"/>
              </w:rPr>
            </w:pPr>
          </w:p>
        </w:tc>
        <w:tc>
          <w:tcPr>
            <w:tcW w:w="1000" w:type="dxa"/>
            <w:vAlign w:val="bottom"/>
          </w:tcPr>
          <w:p>
            <w:pPr>
              <w:jc w:val="right"/>
              <w:ind w:right="80"/>
              <w:spacing w:after="0"/>
              <w:rPr>
                <w:sz w:val="20"/>
                <w:szCs w:val="20"/>
                <w:color w:val="auto"/>
              </w:rPr>
            </w:pPr>
            <w:r>
              <w:rPr>
                <w:rFonts w:ascii="Arial" w:cs="Arial" w:eastAsia="Arial" w:hAnsi="Arial"/>
                <w:sz w:val="16"/>
                <w:szCs w:val="16"/>
                <w:b w:val="1"/>
                <w:bCs w:val="1"/>
                <w:color w:val="auto"/>
              </w:rPr>
              <w:t>42,965</w:t>
            </w:r>
          </w:p>
        </w:tc>
        <w:tc>
          <w:tcPr>
            <w:tcW w:w="440" w:type="dxa"/>
            <w:vAlign w:val="bottom"/>
          </w:tcPr>
          <w:p>
            <w:pPr>
              <w:spacing w:after="0"/>
              <w:rPr>
                <w:sz w:val="21"/>
                <w:szCs w:val="21"/>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21,086</w:t>
            </w:r>
          </w:p>
        </w:tc>
        <w:tc>
          <w:tcPr>
            <w:tcW w:w="0" w:type="dxa"/>
            <w:vAlign w:val="bottom"/>
          </w:tcPr>
          <w:p>
            <w:pPr>
              <w:spacing w:after="0"/>
              <w:rPr>
                <w:sz w:val="1"/>
                <w:szCs w:val="1"/>
                <w:color w:val="auto"/>
              </w:rPr>
            </w:pPr>
          </w:p>
        </w:tc>
      </w:tr>
      <w:tr>
        <w:trPr>
          <w:trHeight w:val="283"/>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Net Income Attributable to Noncontrolling Interests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(74)</w:t>
            </w:r>
          </w:p>
        </w:tc>
        <w:tc>
          <w:tcPr>
            <w:tcW w:w="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Net Income Attributable to Graham Holdings Company Common Stockholders</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42,891</w:t>
            </w:r>
          </w:p>
        </w:tc>
        <w:tc>
          <w:tcPr>
            <w:tcW w:w="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21,086</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Per Share Information Attributable to Graham Holdings Company Common Stockholders</w:t>
            </w: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80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800" w:type="dxa"/>
            <w:vAlign w:val="bottom"/>
          </w:tcPr>
          <w:p>
            <w:pPr>
              <w:ind w:left="280"/>
              <w:spacing w:after="0"/>
              <w:rPr>
                <w:sz w:val="20"/>
                <w:szCs w:val="20"/>
                <w:color w:val="auto"/>
              </w:rPr>
            </w:pPr>
            <w:r>
              <w:rPr>
                <w:rFonts w:ascii="Arial" w:cs="Arial" w:eastAsia="Arial" w:hAnsi="Arial"/>
                <w:sz w:val="16"/>
                <w:szCs w:val="16"/>
                <w:color w:val="auto"/>
              </w:rPr>
              <w:t>Basic net income per common share</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80"/>
              <w:spacing w:after="0"/>
              <w:rPr>
                <w:sz w:val="20"/>
                <w:szCs w:val="20"/>
                <w:color w:val="auto"/>
              </w:rPr>
            </w:pPr>
            <w:r>
              <w:rPr>
                <w:rFonts w:ascii="Arial" w:cs="Arial" w:eastAsia="Arial" w:hAnsi="Arial"/>
                <w:sz w:val="16"/>
                <w:szCs w:val="16"/>
                <w:b w:val="1"/>
                <w:bCs w:val="1"/>
                <w:color w:val="auto"/>
              </w:rPr>
              <w:t>7.84</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3.77</w:t>
            </w:r>
          </w:p>
        </w:tc>
        <w:tc>
          <w:tcPr>
            <w:tcW w:w="0" w:type="dxa"/>
            <w:vAlign w:val="bottom"/>
          </w:tcPr>
          <w:p>
            <w:pPr>
              <w:spacing w:after="0"/>
              <w:rPr>
                <w:sz w:val="1"/>
                <w:szCs w:val="1"/>
                <w:color w:val="auto"/>
              </w:rPr>
            </w:pPr>
          </w:p>
        </w:tc>
      </w:tr>
      <w:tr>
        <w:trPr>
          <w:trHeight w:val="270"/>
        </w:trPr>
        <w:tc>
          <w:tcPr>
            <w:tcW w:w="8800" w:type="dxa"/>
            <w:vAlign w:val="bottom"/>
          </w:tcPr>
          <w:p>
            <w:pPr>
              <w:ind w:left="280"/>
              <w:spacing w:after="0"/>
              <w:rPr>
                <w:sz w:val="20"/>
                <w:szCs w:val="20"/>
                <w:color w:val="auto"/>
              </w:rPr>
            </w:pPr>
            <w:r>
              <w:rPr>
                <w:rFonts w:ascii="Arial" w:cs="Arial" w:eastAsia="Arial" w:hAnsi="Arial"/>
                <w:sz w:val="16"/>
                <w:szCs w:val="16"/>
                <w:color w:val="auto"/>
              </w:rPr>
              <w:t>Basic average number of common shares outstanding</w:t>
            </w:r>
          </w:p>
        </w:tc>
        <w:tc>
          <w:tcPr>
            <w:tcW w:w="300" w:type="dxa"/>
            <w:vAlign w:val="bottom"/>
          </w:tcPr>
          <w:p>
            <w:pPr>
              <w:spacing w:after="0"/>
              <w:rPr>
                <w:sz w:val="23"/>
                <w:szCs w:val="23"/>
                <w:color w:val="auto"/>
              </w:rPr>
            </w:pPr>
          </w:p>
        </w:tc>
        <w:tc>
          <w:tcPr>
            <w:tcW w:w="1000" w:type="dxa"/>
            <w:vAlign w:val="bottom"/>
          </w:tcPr>
          <w:p>
            <w:pPr>
              <w:jc w:val="right"/>
              <w:ind w:right="80"/>
              <w:spacing w:after="0"/>
              <w:rPr>
                <w:sz w:val="20"/>
                <w:szCs w:val="20"/>
                <w:color w:val="auto"/>
              </w:rPr>
            </w:pPr>
            <w:r>
              <w:rPr>
                <w:rFonts w:ascii="Arial" w:cs="Arial" w:eastAsia="Arial" w:hAnsi="Arial"/>
                <w:sz w:val="16"/>
                <w:szCs w:val="16"/>
                <w:b w:val="1"/>
                <w:bCs w:val="1"/>
                <w:color w:val="auto"/>
              </w:rPr>
              <w:t>5,436</w:t>
            </w:r>
          </w:p>
        </w:tc>
        <w:tc>
          <w:tcPr>
            <w:tcW w:w="4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5,535</w:t>
            </w:r>
          </w:p>
        </w:tc>
        <w:tc>
          <w:tcPr>
            <w:tcW w:w="0" w:type="dxa"/>
            <w:vAlign w:val="bottom"/>
          </w:tcPr>
          <w:p>
            <w:pPr>
              <w:spacing w:after="0"/>
              <w:rPr>
                <w:sz w:val="1"/>
                <w:szCs w:val="1"/>
                <w:color w:val="auto"/>
              </w:rPr>
            </w:pPr>
          </w:p>
        </w:tc>
      </w:tr>
      <w:tr>
        <w:trPr>
          <w:trHeight w:val="270"/>
        </w:trPr>
        <w:tc>
          <w:tcPr>
            <w:tcW w:w="8800" w:type="dxa"/>
            <w:vAlign w:val="bottom"/>
          </w:tcPr>
          <w:p>
            <w:pPr>
              <w:ind w:left="280"/>
              <w:spacing w:after="0"/>
              <w:rPr>
                <w:sz w:val="20"/>
                <w:szCs w:val="20"/>
                <w:color w:val="auto"/>
              </w:rPr>
            </w:pPr>
            <w:r>
              <w:rPr>
                <w:rFonts w:ascii="Arial" w:cs="Arial" w:eastAsia="Arial" w:hAnsi="Arial"/>
                <w:sz w:val="16"/>
                <w:szCs w:val="16"/>
                <w:color w:val="auto"/>
              </w:rPr>
              <w:t>Diluted net income per common share</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80"/>
              <w:spacing w:after="0"/>
              <w:rPr>
                <w:sz w:val="20"/>
                <w:szCs w:val="20"/>
                <w:color w:val="auto"/>
              </w:rPr>
            </w:pPr>
            <w:r>
              <w:rPr>
                <w:rFonts w:ascii="Arial" w:cs="Arial" w:eastAsia="Arial" w:hAnsi="Arial"/>
                <w:sz w:val="16"/>
                <w:szCs w:val="16"/>
                <w:b w:val="1"/>
                <w:bCs w:val="1"/>
                <w:color w:val="auto"/>
              </w:rPr>
              <w:t>7.78</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3.75</w:t>
            </w:r>
          </w:p>
        </w:tc>
        <w:tc>
          <w:tcPr>
            <w:tcW w:w="0" w:type="dxa"/>
            <w:vAlign w:val="bottom"/>
          </w:tcPr>
          <w:p>
            <w:pPr>
              <w:spacing w:after="0"/>
              <w:rPr>
                <w:sz w:val="1"/>
                <w:szCs w:val="1"/>
                <w:color w:val="auto"/>
              </w:rPr>
            </w:pPr>
          </w:p>
        </w:tc>
      </w:tr>
      <w:tr>
        <w:trPr>
          <w:trHeight w:val="270"/>
        </w:trPr>
        <w:tc>
          <w:tcPr>
            <w:tcW w:w="8800" w:type="dxa"/>
            <w:vAlign w:val="bottom"/>
          </w:tcPr>
          <w:p>
            <w:pPr>
              <w:ind w:left="280"/>
              <w:spacing w:after="0"/>
              <w:rPr>
                <w:sz w:val="20"/>
                <w:szCs w:val="20"/>
                <w:color w:val="auto"/>
              </w:rPr>
            </w:pPr>
            <w:r>
              <w:rPr>
                <w:rFonts w:ascii="Arial" w:cs="Arial" w:eastAsia="Arial" w:hAnsi="Arial"/>
                <w:sz w:val="16"/>
                <w:szCs w:val="16"/>
                <w:color w:val="auto"/>
              </w:rPr>
              <w:t>Diluted average number of common shares outstanding</w:t>
            </w:r>
          </w:p>
        </w:tc>
        <w:tc>
          <w:tcPr>
            <w:tcW w:w="300" w:type="dxa"/>
            <w:vAlign w:val="bottom"/>
          </w:tcPr>
          <w:p>
            <w:pPr>
              <w:spacing w:after="0"/>
              <w:rPr>
                <w:sz w:val="23"/>
                <w:szCs w:val="23"/>
                <w:color w:val="auto"/>
              </w:rPr>
            </w:pPr>
          </w:p>
        </w:tc>
        <w:tc>
          <w:tcPr>
            <w:tcW w:w="1000" w:type="dxa"/>
            <w:vAlign w:val="bottom"/>
          </w:tcPr>
          <w:p>
            <w:pPr>
              <w:jc w:val="right"/>
              <w:ind w:right="80"/>
              <w:spacing w:after="0"/>
              <w:rPr>
                <w:sz w:val="20"/>
                <w:szCs w:val="20"/>
                <w:color w:val="auto"/>
              </w:rPr>
            </w:pPr>
            <w:r>
              <w:rPr>
                <w:rFonts w:ascii="Arial" w:cs="Arial" w:eastAsia="Arial" w:hAnsi="Arial"/>
                <w:sz w:val="16"/>
                <w:szCs w:val="16"/>
                <w:b w:val="1"/>
                <w:bCs w:val="1"/>
                <w:color w:val="auto"/>
              </w:rPr>
              <w:t>5,473</w:t>
            </w:r>
          </w:p>
        </w:tc>
        <w:tc>
          <w:tcPr>
            <w:tcW w:w="4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5,569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69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GRAHAM HOLDINGS COMPANY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159" w:lineRule="exact"/>
        <w:rPr>
          <w:sz w:val="20"/>
          <w:szCs w:val="20"/>
          <w:color w:val="auto"/>
        </w:rPr>
      </w:pPr>
    </w:p>
    <w:p>
      <w:pPr>
        <w:ind w:left="962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700" w:type="dxa"/>
            <w:vAlign w:val="bottom"/>
            <w:tcBorders>
              <w:bottom w:val="single" w:sz="8" w:color="auto"/>
            </w:tcBorders>
          </w:tcPr>
          <w:p>
            <w:pPr>
              <w:spacing w:after="0"/>
              <w:rPr>
                <w:sz w:val="16"/>
                <w:szCs w:val="16"/>
                <w:color w:val="auto"/>
              </w:rPr>
            </w:pPr>
          </w:p>
        </w:tc>
      </w:tr>
      <w:tr>
        <w:trPr>
          <w:trHeight w:val="258"/>
        </w:trPr>
        <w:tc>
          <w:tcPr>
            <w:tcW w:w="9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color w:val="auto"/>
              </w:rPr>
              <w:t>2017</w:t>
            </w:r>
          </w:p>
        </w:tc>
      </w:tr>
      <w:tr>
        <w:trPr>
          <w:trHeight w:val="250"/>
        </w:trPr>
        <w:tc>
          <w:tcPr>
            <w:tcW w:w="9260" w:type="dxa"/>
            <w:vAlign w:val="bottom"/>
          </w:tcPr>
          <w:p>
            <w:pPr>
              <w:ind w:left="40"/>
              <w:spacing w:after="0"/>
              <w:rPr>
                <w:sz w:val="20"/>
                <w:szCs w:val="20"/>
                <w:color w:val="auto"/>
              </w:rPr>
            </w:pPr>
            <w:r>
              <w:rPr>
                <w:rFonts w:ascii="Arial" w:cs="Arial" w:eastAsia="Arial" w:hAnsi="Arial"/>
                <w:sz w:val="16"/>
                <w:szCs w:val="16"/>
                <w:b w:val="1"/>
                <w:bCs w:val="1"/>
                <w:color w:val="auto"/>
              </w:rPr>
              <w:t>Net Income</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60"/>
              <w:spacing w:after="0"/>
              <w:rPr>
                <w:sz w:val="20"/>
                <w:szCs w:val="20"/>
                <w:color w:val="auto"/>
              </w:rPr>
            </w:pPr>
            <w:r>
              <w:rPr>
                <w:rFonts w:ascii="Arial" w:cs="Arial" w:eastAsia="Arial" w:hAnsi="Arial"/>
                <w:sz w:val="16"/>
                <w:szCs w:val="16"/>
                <w:b w:val="1"/>
                <w:bCs w:val="1"/>
                <w:color w:val="auto"/>
              </w:rPr>
              <w:t>42,965</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21,086</w:t>
            </w:r>
          </w:p>
        </w:tc>
      </w:tr>
      <w:tr>
        <w:trPr>
          <w:trHeight w:val="270"/>
        </w:trPr>
        <w:tc>
          <w:tcPr>
            <w:tcW w:w="9260" w:type="dxa"/>
            <w:vAlign w:val="bottom"/>
          </w:tcPr>
          <w:p>
            <w:pPr>
              <w:ind w:left="40"/>
              <w:spacing w:after="0"/>
              <w:rPr>
                <w:sz w:val="20"/>
                <w:szCs w:val="20"/>
                <w:color w:val="auto"/>
              </w:rPr>
            </w:pPr>
            <w:r>
              <w:rPr>
                <w:rFonts w:ascii="Arial" w:cs="Arial" w:eastAsia="Arial" w:hAnsi="Arial"/>
                <w:sz w:val="16"/>
                <w:szCs w:val="16"/>
                <w:b w:val="1"/>
                <w:bCs w:val="1"/>
                <w:color w:val="auto"/>
              </w:rPr>
              <w:t>Other Comprehensive Income, Before Tax</w:t>
            </w: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00" w:type="dxa"/>
            <w:vAlign w:val="bottom"/>
          </w:tcPr>
          <w:p>
            <w:pPr>
              <w:spacing w:after="0"/>
              <w:rPr>
                <w:sz w:val="23"/>
                <w:szCs w:val="23"/>
                <w:color w:val="auto"/>
              </w:rPr>
            </w:pPr>
          </w:p>
        </w:tc>
      </w:tr>
      <w:tr>
        <w:trPr>
          <w:trHeight w:val="270"/>
        </w:trPr>
        <w:tc>
          <w:tcPr>
            <w:tcW w:w="9260" w:type="dxa"/>
            <w:vAlign w:val="bottom"/>
          </w:tcPr>
          <w:p>
            <w:pPr>
              <w:ind w:left="180"/>
              <w:spacing w:after="0"/>
              <w:rPr>
                <w:sz w:val="20"/>
                <w:szCs w:val="20"/>
                <w:color w:val="auto"/>
              </w:rPr>
            </w:pPr>
            <w:r>
              <w:rPr>
                <w:rFonts w:ascii="Arial" w:cs="Arial" w:eastAsia="Arial" w:hAnsi="Arial"/>
                <w:sz w:val="16"/>
                <w:szCs w:val="16"/>
                <w:color w:val="auto"/>
              </w:rPr>
              <w:t>Foreign currency translation adjustments:</w:t>
            </w: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00" w:type="dxa"/>
            <w:vAlign w:val="bottom"/>
          </w:tcPr>
          <w:p>
            <w:pPr>
              <w:spacing w:after="0"/>
              <w:rPr>
                <w:sz w:val="23"/>
                <w:szCs w:val="23"/>
                <w:color w:val="auto"/>
              </w:rPr>
            </w:pPr>
          </w:p>
        </w:tc>
      </w:tr>
      <w:tr>
        <w:trPr>
          <w:trHeight w:val="270"/>
        </w:trPr>
        <w:tc>
          <w:tcPr>
            <w:tcW w:w="9260" w:type="dxa"/>
            <w:vAlign w:val="bottom"/>
          </w:tcPr>
          <w:p>
            <w:pPr>
              <w:ind w:left="280"/>
              <w:spacing w:after="0"/>
              <w:rPr>
                <w:sz w:val="20"/>
                <w:szCs w:val="20"/>
                <w:color w:val="auto"/>
              </w:rPr>
            </w:pPr>
            <w:r>
              <w:rPr>
                <w:rFonts w:ascii="Arial" w:cs="Arial" w:eastAsia="Arial" w:hAnsi="Arial"/>
                <w:sz w:val="16"/>
                <w:szCs w:val="16"/>
                <w:color w:val="auto"/>
              </w:rPr>
              <w:t>Translation adjustments arising during the period</w:t>
            </w:r>
          </w:p>
        </w:tc>
        <w:tc>
          <w:tcPr>
            <w:tcW w:w="240" w:type="dxa"/>
            <w:vAlign w:val="bottom"/>
          </w:tcPr>
          <w:p>
            <w:pPr>
              <w:spacing w:after="0"/>
              <w:rPr>
                <w:sz w:val="23"/>
                <w:szCs w:val="23"/>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b w:val="1"/>
                <w:bCs w:val="1"/>
                <w:color w:val="auto"/>
              </w:rPr>
              <w:t>11,564</w:t>
            </w:r>
          </w:p>
        </w:tc>
        <w:tc>
          <w:tcPr>
            <w:tcW w:w="400" w:type="dxa"/>
            <w:vAlign w:val="bottom"/>
          </w:tcPr>
          <w:p>
            <w:pPr>
              <w:spacing w:after="0"/>
              <w:rPr>
                <w:sz w:val="23"/>
                <w:szCs w:val="23"/>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13,668</w:t>
            </w:r>
          </w:p>
        </w:tc>
      </w:tr>
      <w:tr>
        <w:trPr>
          <w:trHeight w:val="270"/>
        </w:trPr>
        <w:tc>
          <w:tcPr>
            <w:tcW w:w="9260" w:type="dxa"/>
            <w:vAlign w:val="bottom"/>
          </w:tcPr>
          <w:p>
            <w:pPr>
              <w:ind w:left="180"/>
              <w:spacing w:after="0"/>
              <w:rPr>
                <w:sz w:val="20"/>
                <w:szCs w:val="20"/>
                <w:color w:val="auto"/>
              </w:rPr>
            </w:pPr>
            <w:r>
              <w:rPr>
                <w:rFonts w:ascii="Arial" w:cs="Arial" w:eastAsia="Arial" w:hAnsi="Arial"/>
                <w:sz w:val="16"/>
                <w:szCs w:val="16"/>
                <w:color w:val="auto"/>
              </w:rPr>
              <w:t>Unrealized gains on available-for-sale securities:</w:t>
            </w: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00" w:type="dxa"/>
            <w:vAlign w:val="bottom"/>
          </w:tcPr>
          <w:p>
            <w:pPr>
              <w:spacing w:after="0"/>
              <w:rPr>
                <w:sz w:val="23"/>
                <w:szCs w:val="23"/>
                <w:color w:val="auto"/>
              </w:rPr>
            </w:pPr>
          </w:p>
        </w:tc>
      </w:tr>
      <w:tr>
        <w:trPr>
          <w:trHeight w:val="270"/>
        </w:trPr>
        <w:tc>
          <w:tcPr>
            <w:tcW w:w="9260" w:type="dxa"/>
            <w:vAlign w:val="bottom"/>
          </w:tcPr>
          <w:p>
            <w:pPr>
              <w:ind w:left="280"/>
              <w:spacing w:after="0"/>
              <w:rPr>
                <w:sz w:val="20"/>
                <w:szCs w:val="20"/>
                <w:color w:val="auto"/>
              </w:rPr>
            </w:pPr>
            <w:r>
              <w:rPr>
                <w:rFonts w:ascii="Arial" w:cs="Arial" w:eastAsia="Arial" w:hAnsi="Arial"/>
                <w:sz w:val="16"/>
                <w:szCs w:val="16"/>
                <w:color w:val="auto"/>
              </w:rPr>
              <w:t>Unrealized gains for the period, net</w:t>
            </w:r>
          </w:p>
        </w:tc>
        <w:tc>
          <w:tcPr>
            <w:tcW w:w="240" w:type="dxa"/>
            <w:vAlign w:val="bottom"/>
          </w:tcPr>
          <w:p>
            <w:pPr>
              <w:spacing w:after="0"/>
              <w:rPr>
                <w:sz w:val="23"/>
                <w:szCs w:val="23"/>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23"/>
                <w:szCs w:val="23"/>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9,558</w:t>
            </w:r>
          </w:p>
        </w:tc>
      </w:tr>
      <w:tr>
        <w:trPr>
          <w:trHeight w:val="270"/>
        </w:trPr>
        <w:tc>
          <w:tcPr>
            <w:tcW w:w="9260" w:type="dxa"/>
            <w:vAlign w:val="bottom"/>
          </w:tcPr>
          <w:p>
            <w:pPr>
              <w:ind w:left="180"/>
              <w:spacing w:after="0"/>
              <w:rPr>
                <w:sz w:val="20"/>
                <w:szCs w:val="20"/>
                <w:color w:val="auto"/>
              </w:rPr>
            </w:pPr>
            <w:r>
              <w:rPr>
                <w:rFonts w:ascii="Arial" w:cs="Arial" w:eastAsia="Arial" w:hAnsi="Arial"/>
                <w:sz w:val="16"/>
                <w:szCs w:val="16"/>
                <w:color w:val="auto"/>
              </w:rPr>
              <w:t>Pension and other postretirement plans:</w:t>
            </w: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00" w:type="dxa"/>
            <w:vAlign w:val="bottom"/>
          </w:tcPr>
          <w:p>
            <w:pPr>
              <w:spacing w:after="0"/>
              <w:rPr>
                <w:sz w:val="23"/>
                <w:szCs w:val="23"/>
                <w:color w:val="auto"/>
              </w:rPr>
            </w:pPr>
          </w:p>
        </w:tc>
      </w:tr>
      <w:tr>
        <w:trPr>
          <w:trHeight w:val="270"/>
        </w:trPr>
        <w:tc>
          <w:tcPr>
            <w:tcW w:w="9260" w:type="dxa"/>
            <w:vAlign w:val="bottom"/>
          </w:tcPr>
          <w:p>
            <w:pPr>
              <w:ind w:left="280"/>
              <w:spacing w:after="0"/>
              <w:rPr>
                <w:sz w:val="20"/>
                <w:szCs w:val="20"/>
                <w:color w:val="auto"/>
              </w:rPr>
            </w:pPr>
            <w:r>
              <w:rPr>
                <w:rFonts w:ascii="Arial" w:cs="Arial" w:eastAsia="Arial" w:hAnsi="Arial"/>
                <w:sz w:val="16"/>
                <w:szCs w:val="16"/>
                <w:color w:val="auto"/>
              </w:rPr>
              <w:t>Amortization of net prior service cost included in net income</w:t>
            </w:r>
          </w:p>
        </w:tc>
        <w:tc>
          <w:tcPr>
            <w:tcW w:w="240" w:type="dxa"/>
            <w:vAlign w:val="bottom"/>
          </w:tcPr>
          <w:p>
            <w:pPr>
              <w:spacing w:after="0"/>
              <w:rPr>
                <w:sz w:val="23"/>
                <w:szCs w:val="23"/>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b w:val="1"/>
                <w:bCs w:val="1"/>
                <w:color w:val="auto"/>
              </w:rPr>
              <w:t>76</w:t>
            </w:r>
          </w:p>
        </w:tc>
        <w:tc>
          <w:tcPr>
            <w:tcW w:w="400" w:type="dxa"/>
            <w:vAlign w:val="bottom"/>
          </w:tcPr>
          <w:p>
            <w:pPr>
              <w:spacing w:after="0"/>
              <w:rPr>
                <w:sz w:val="23"/>
                <w:szCs w:val="23"/>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120</w:t>
            </w:r>
          </w:p>
        </w:tc>
      </w:tr>
      <w:tr>
        <w:trPr>
          <w:trHeight w:val="283"/>
        </w:trPr>
        <w:tc>
          <w:tcPr>
            <w:tcW w:w="9260" w:type="dxa"/>
            <w:vAlign w:val="bottom"/>
          </w:tcPr>
          <w:p>
            <w:pPr>
              <w:ind w:left="280"/>
              <w:spacing w:after="0"/>
              <w:rPr>
                <w:sz w:val="20"/>
                <w:szCs w:val="20"/>
                <w:color w:val="auto"/>
              </w:rPr>
            </w:pPr>
            <w:r>
              <w:rPr>
                <w:rFonts w:ascii="Arial" w:cs="Arial" w:eastAsia="Arial" w:hAnsi="Arial"/>
                <w:sz w:val="16"/>
                <w:szCs w:val="16"/>
                <w:color w:val="auto"/>
              </w:rPr>
              <w:t>Amortization of net actuarial gain included in net income</w:t>
            </w: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(1,367)</w:t>
            </w:r>
          </w:p>
        </w:tc>
        <w:tc>
          <w:tcPr>
            <w:tcW w:w="4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(1,823)</w:t>
            </w:r>
          </w:p>
        </w:tc>
      </w:tr>
      <w:tr>
        <w:trPr>
          <w:trHeight w:val="251"/>
        </w:trPr>
        <w:tc>
          <w:tcPr>
            <w:tcW w:w="9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(1,291)</w:t>
            </w:r>
          </w:p>
        </w:tc>
        <w:tc>
          <w:tcPr>
            <w:tcW w:w="4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(1,703)</w:t>
            </w:r>
          </w:p>
        </w:tc>
      </w:tr>
      <w:tr>
        <w:trPr>
          <w:trHeight w:val="283"/>
        </w:trPr>
        <w:tc>
          <w:tcPr>
            <w:tcW w:w="9260" w:type="dxa"/>
            <w:vAlign w:val="bottom"/>
          </w:tcPr>
          <w:p>
            <w:pPr>
              <w:ind w:left="180"/>
              <w:spacing w:after="0"/>
              <w:rPr>
                <w:sz w:val="20"/>
                <w:szCs w:val="20"/>
                <w:color w:val="auto"/>
              </w:rPr>
            </w:pPr>
            <w:r>
              <w:rPr>
                <w:rFonts w:ascii="Arial" w:cs="Arial" w:eastAsia="Arial" w:hAnsi="Arial"/>
                <w:sz w:val="16"/>
                <w:szCs w:val="16"/>
                <w:color w:val="auto"/>
              </w:rPr>
              <w:t>Cash flow hedge gain (loss)</w:t>
            </w: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236</w:t>
            </w:r>
          </w:p>
        </w:tc>
        <w:tc>
          <w:tcPr>
            <w:tcW w:w="4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w:t>
            </w:r>
          </w:p>
        </w:tc>
      </w:tr>
      <w:tr>
        <w:trPr>
          <w:trHeight w:val="251"/>
        </w:trPr>
        <w:tc>
          <w:tcPr>
            <w:tcW w:w="9260" w:type="dxa"/>
            <w:vAlign w:val="bottom"/>
          </w:tcPr>
          <w:p>
            <w:pPr>
              <w:ind w:left="40"/>
              <w:spacing w:after="0"/>
              <w:rPr>
                <w:sz w:val="20"/>
                <w:szCs w:val="20"/>
                <w:color w:val="auto"/>
              </w:rPr>
            </w:pPr>
            <w:r>
              <w:rPr>
                <w:rFonts w:ascii="Arial" w:cs="Arial" w:eastAsia="Arial" w:hAnsi="Arial"/>
                <w:sz w:val="16"/>
                <w:szCs w:val="16"/>
                <w:b w:val="1"/>
                <w:bCs w:val="1"/>
                <w:color w:val="auto"/>
              </w:rPr>
              <w:t>Other Comprehensive Income, Before Tax</w:t>
            </w:r>
          </w:p>
        </w:tc>
        <w:tc>
          <w:tcPr>
            <w:tcW w:w="240" w:type="dxa"/>
            <w:vAlign w:val="bottom"/>
          </w:tcPr>
          <w:p>
            <w:pPr>
              <w:spacing w:after="0"/>
              <w:rPr>
                <w:sz w:val="21"/>
                <w:szCs w:val="21"/>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b w:val="1"/>
                <w:bCs w:val="1"/>
                <w:color w:val="auto"/>
              </w:rPr>
              <w:t>10,509</w:t>
            </w:r>
          </w:p>
        </w:tc>
        <w:tc>
          <w:tcPr>
            <w:tcW w:w="400" w:type="dxa"/>
            <w:vAlign w:val="bottom"/>
          </w:tcPr>
          <w:p>
            <w:pPr>
              <w:spacing w:after="0"/>
              <w:rPr>
                <w:sz w:val="21"/>
                <w:szCs w:val="21"/>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21,399</w:t>
            </w:r>
          </w:p>
        </w:tc>
      </w:tr>
      <w:tr>
        <w:trPr>
          <w:trHeight w:val="283"/>
        </w:trPr>
        <w:tc>
          <w:tcPr>
            <w:tcW w:w="9260" w:type="dxa"/>
            <w:vAlign w:val="bottom"/>
          </w:tcPr>
          <w:p>
            <w:pPr>
              <w:ind w:left="180"/>
              <w:spacing w:after="0"/>
              <w:rPr>
                <w:sz w:val="20"/>
                <w:szCs w:val="20"/>
                <w:color w:val="auto"/>
              </w:rPr>
            </w:pPr>
            <w:r>
              <w:rPr>
                <w:rFonts w:ascii="Arial" w:cs="Arial" w:eastAsia="Arial" w:hAnsi="Arial"/>
                <w:sz w:val="16"/>
                <w:szCs w:val="16"/>
                <w:color w:val="auto"/>
              </w:rPr>
              <w:t>Income tax benefit (expense) related to items of other comprehensive income</w:t>
            </w: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303</w:t>
            </w:r>
          </w:p>
        </w:tc>
        <w:tc>
          <w:tcPr>
            <w:tcW w:w="4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(3,117)</w:t>
            </w:r>
          </w:p>
        </w:tc>
      </w:tr>
      <w:tr>
        <w:trPr>
          <w:trHeight w:val="264"/>
        </w:trPr>
        <w:tc>
          <w:tcPr>
            <w:tcW w:w="9260" w:type="dxa"/>
            <w:vAlign w:val="bottom"/>
          </w:tcPr>
          <w:p>
            <w:pPr>
              <w:ind w:left="40"/>
              <w:spacing w:after="0"/>
              <w:rPr>
                <w:sz w:val="20"/>
                <w:szCs w:val="20"/>
                <w:color w:val="auto"/>
              </w:rPr>
            </w:pPr>
            <w:r>
              <w:rPr>
                <w:rFonts w:ascii="Arial" w:cs="Arial" w:eastAsia="Arial" w:hAnsi="Arial"/>
                <w:sz w:val="16"/>
                <w:szCs w:val="16"/>
                <w:b w:val="1"/>
                <w:bCs w:val="1"/>
                <w:color w:val="auto"/>
              </w:rPr>
              <w:t>Other Comprehensive Income, Net of Tax</w:t>
            </w: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10,812</w:t>
            </w:r>
          </w:p>
        </w:tc>
        <w:tc>
          <w:tcPr>
            <w:tcW w:w="4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18,282</w:t>
            </w:r>
          </w:p>
        </w:tc>
      </w:tr>
      <w:tr>
        <w:trPr>
          <w:trHeight w:val="251"/>
        </w:trPr>
        <w:tc>
          <w:tcPr>
            <w:tcW w:w="9260" w:type="dxa"/>
            <w:vAlign w:val="bottom"/>
          </w:tcPr>
          <w:p>
            <w:pPr>
              <w:ind w:left="40"/>
              <w:spacing w:after="0"/>
              <w:rPr>
                <w:sz w:val="20"/>
                <w:szCs w:val="20"/>
                <w:color w:val="auto"/>
              </w:rPr>
            </w:pPr>
            <w:r>
              <w:rPr>
                <w:rFonts w:ascii="Arial" w:cs="Arial" w:eastAsia="Arial" w:hAnsi="Arial"/>
                <w:sz w:val="16"/>
                <w:szCs w:val="16"/>
                <w:b w:val="1"/>
                <w:bCs w:val="1"/>
                <w:color w:val="auto"/>
              </w:rPr>
              <w:t>Comprehensive Income</w:t>
            </w:r>
          </w:p>
        </w:tc>
        <w:tc>
          <w:tcPr>
            <w:tcW w:w="240" w:type="dxa"/>
            <w:vAlign w:val="bottom"/>
          </w:tcPr>
          <w:p>
            <w:pPr>
              <w:spacing w:after="0"/>
              <w:rPr>
                <w:sz w:val="21"/>
                <w:szCs w:val="21"/>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b w:val="1"/>
                <w:bCs w:val="1"/>
                <w:color w:val="auto"/>
              </w:rPr>
              <w:t>53,777</w:t>
            </w:r>
          </w:p>
        </w:tc>
        <w:tc>
          <w:tcPr>
            <w:tcW w:w="400" w:type="dxa"/>
            <w:vAlign w:val="bottom"/>
          </w:tcPr>
          <w:p>
            <w:pPr>
              <w:spacing w:after="0"/>
              <w:rPr>
                <w:sz w:val="21"/>
                <w:szCs w:val="21"/>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39,368</w:t>
            </w:r>
          </w:p>
        </w:tc>
      </w:tr>
      <w:tr>
        <w:trPr>
          <w:trHeight w:val="283"/>
        </w:trPr>
        <w:tc>
          <w:tcPr>
            <w:tcW w:w="9260" w:type="dxa"/>
            <w:vAlign w:val="bottom"/>
          </w:tcPr>
          <w:p>
            <w:pPr>
              <w:ind w:left="180"/>
              <w:spacing w:after="0"/>
              <w:rPr>
                <w:sz w:val="20"/>
                <w:szCs w:val="20"/>
                <w:color w:val="auto"/>
              </w:rPr>
            </w:pPr>
            <w:r>
              <w:rPr>
                <w:rFonts w:ascii="Arial" w:cs="Arial" w:eastAsia="Arial" w:hAnsi="Arial"/>
                <w:sz w:val="16"/>
                <w:szCs w:val="16"/>
                <w:color w:val="auto"/>
              </w:rPr>
              <w:t>Comprehensive income attributable to noncontrolling interests</w:t>
            </w: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(74)</w:t>
            </w:r>
          </w:p>
        </w:tc>
        <w:tc>
          <w:tcPr>
            <w:tcW w:w="4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r>
      <w:tr>
        <w:trPr>
          <w:trHeight w:val="267"/>
        </w:trPr>
        <w:tc>
          <w:tcPr>
            <w:tcW w:w="9260" w:type="dxa"/>
            <w:vAlign w:val="bottom"/>
          </w:tcPr>
          <w:p>
            <w:pPr>
              <w:ind w:left="40"/>
              <w:spacing w:after="0"/>
              <w:rPr>
                <w:sz w:val="20"/>
                <w:szCs w:val="20"/>
                <w:color w:val="auto"/>
              </w:rPr>
            </w:pPr>
            <w:r>
              <w:rPr>
                <w:rFonts w:ascii="Arial" w:cs="Arial" w:eastAsia="Arial" w:hAnsi="Arial"/>
                <w:sz w:val="16"/>
                <w:szCs w:val="16"/>
                <w:b w:val="1"/>
                <w:bCs w:val="1"/>
                <w:color w:val="auto"/>
              </w:rPr>
              <w:t>Total Comprehensive Income Attributable to Graham Holdings Company</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53,703</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39,368</w:t>
            </w:r>
          </w:p>
        </w:tc>
      </w:tr>
      <w:tr>
        <w:trPr>
          <w:trHeight w:val="20"/>
        </w:trPr>
        <w:tc>
          <w:tcPr>
            <w:tcW w:w="9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711" w:right="2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GRAHAM HOLDINGS COMPANY</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361"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83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2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8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jc w:val="center"/>
              <w:ind w:right="220"/>
              <w:spacing w:after="0"/>
              <w:rPr>
                <w:sz w:val="20"/>
                <w:szCs w:val="20"/>
                <w:color w:val="auto"/>
              </w:rPr>
            </w:pPr>
            <w:r>
              <w:rPr>
                <w:rFonts w:ascii="Arial" w:cs="Arial" w:eastAsia="Arial" w:hAnsi="Arial"/>
                <w:sz w:val="14"/>
                <w:szCs w:val="14"/>
                <w:b w:val="1"/>
                <w:bCs w:val="1"/>
                <w:color w:val="auto"/>
              </w:rPr>
              <w:t>March 31,</w:t>
            </w:r>
          </w:p>
        </w:tc>
        <w:tc>
          <w:tcPr>
            <w:tcW w:w="280" w:type="dxa"/>
            <w:vAlign w:val="bottom"/>
          </w:tcPr>
          <w:p>
            <w:pPr>
              <w:spacing w:after="0"/>
              <w:rPr>
                <w:sz w:val="15"/>
                <w:szCs w:val="15"/>
                <w:color w:val="auto"/>
              </w:rPr>
            </w:pPr>
          </w:p>
        </w:tc>
        <w:tc>
          <w:tcPr>
            <w:tcW w:w="1260" w:type="dxa"/>
            <w:vAlign w:val="bottom"/>
          </w:tcPr>
          <w:p>
            <w:pPr>
              <w:jc w:val="right"/>
              <w:ind w:right="219"/>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96"/>
        </w:trPr>
        <w:tc>
          <w:tcPr>
            <w:tcW w:w="8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200"/>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color w:val="auto"/>
              </w:rPr>
              <w:t>2017</w:t>
            </w:r>
          </w:p>
        </w:tc>
        <w:tc>
          <w:tcPr>
            <w:tcW w:w="0" w:type="dxa"/>
            <w:vAlign w:val="bottom"/>
          </w:tcPr>
          <w:p>
            <w:pPr>
              <w:spacing w:after="0"/>
              <w:rPr>
                <w:sz w:val="1"/>
                <w:szCs w:val="1"/>
                <w:color w:val="auto"/>
              </w:rPr>
            </w:pPr>
          </w:p>
        </w:tc>
      </w:tr>
      <w:tr>
        <w:trPr>
          <w:trHeight w:val="258"/>
        </w:trPr>
        <w:tc>
          <w:tcPr>
            <w:tcW w:w="8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80" w:type="dxa"/>
            <w:vAlign w:val="bottom"/>
          </w:tcPr>
          <w:p>
            <w:pPr>
              <w:jc w:val="center"/>
              <w:ind w:right="200"/>
              <w:spacing w:after="0"/>
              <w:rPr>
                <w:sz w:val="20"/>
                <w:szCs w:val="20"/>
                <w:color w:val="auto"/>
              </w:rPr>
            </w:pPr>
            <w:r>
              <w:rPr>
                <w:rFonts w:ascii="Arial" w:cs="Arial" w:eastAsia="Arial" w:hAnsi="Arial"/>
                <w:sz w:val="14"/>
                <w:szCs w:val="14"/>
                <w:b w:val="1"/>
                <w:bCs w:val="1"/>
                <w:color w:val="auto"/>
              </w:rPr>
              <w:t>(Unaudited)</w:t>
            </w:r>
          </w:p>
        </w:tc>
        <w:tc>
          <w:tcPr>
            <w:tcW w:w="2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2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2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Cash and cash equivalents</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315,789</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390,014</w:t>
            </w: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Restricted cash</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12,396</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17,552</w:t>
            </w: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Investments in marketable equity securities and other investments</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491,449</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557,153</w:t>
            </w: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Accounts receivable, net</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540,593</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620,319</w:t>
            </w: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Income taxes receivable</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5,304</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23,901</w:t>
            </w: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Inventories and contracts in progress</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66,949</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60,612</w:t>
            </w:r>
          </w:p>
        </w:tc>
        <w:tc>
          <w:tcPr>
            <w:tcW w:w="0" w:type="dxa"/>
            <w:vAlign w:val="bottom"/>
          </w:tcPr>
          <w:p>
            <w:pPr>
              <w:spacing w:after="0"/>
              <w:rPr>
                <w:sz w:val="1"/>
                <w:szCs w:val="1"/>
                <w:color w:val="auto"/>
              </w:rPr>
            </w:pPr>
          </w:p>
        </w:tc>
      </w:tr>
      <w:tr>
        <w:trPr>
          <w:trHeight w:val="283"/>
        </w:trPr>
        <w:tc>
          <w:tcPr>
            <w:tcW w:w="8320" w:type="dxa"/>
            <w:vAlign w:val="bottom"/>
          </w:tcPr>
          <w:p>
            <w:pPr>
              <w:ind w:left="280"/>
              <w:spacing w:after="0"/>
              <w:rPr>
                <w:sz w:val="20"/>
                <w:szCs w:val="20"/>
                <w:color w:val="auto"/>
              </w:rPr>
            </w:pPr>
            <w:r>
              <w:rPr>
                <w:rFonts w:ascii="Arial" w:cs="Arial" w:eastAsia="Arial" w:hAnsi="Arial"/>
                <w:sz w:val="16"/>
                <w:szCs w:val="16"/>
                <w:color w:val="auto"/>
              </w:rPr>
              <w:t>Other current assets</w:t>
            </w:r>
          </w:p>
        </w:tc>
        <w:tc>
          <w:tcPr>
            <w:tcW w:w="2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88,956</w:t>
            </w:r>
          </w:p>
        </w:tc>
        <w:tc>
          <w:tcPr>
            <w:tcW w:w="2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66,253</w:t>
            </w:r>
          </w:p>
        </w:tc>
        <w:tc>
          <w:tcPr>
            <w:tcW w:w="0" w:type="dxa"/>
            <w:vAlign w:val="bottom"/>
          </w:tcPr>
          <w:p>
            <w:pPr>
              <w:spacing w:after="0"/>
              <w:rPr>
                <w:sz w:val="1"/>
                <w:szCs w:val="1"/>
                <w:color w:val="auto"/>
              </w:rPr>
            </w:pPr>
          </w:p>
        </w:tc>
      </w:tr>
      <w:tr>
        <w:trPr>
          <w:trHeight w:val="251"/>
        </w:trPr>
        <w:tc>
          <w:tcPr>
            <w:tcW w:w="8320" w:type="dxa"/>
            <w:vAlign w:val="bottom"/>
          </w:tcPr>
          <w:p>
            <w:pPr>
              <w:ind w:left="480"/>
              <w:spacing w:after="0"/>
              <w:rPr>
                <w:sz w:val="20"/>
                <w:szCs w:val="20"/>
                <w:color w:val="auto"/>
              </w:rPr>
            </w:pPr>
            <w:r>
              <w:rPr>
                <w:rFonts w:ascii="Arial" w:cs="Arial" w:eastAsia="Arial" w:hAnsi="Arial"/>
                <w:sz w:val="16"/>
                <w:szCs w:val="16"/>
                <w:b w:val="1"/>
                <w:bCs w:val="1"/>
                <w:color w:val="auto"/>
              </w:rPr>
              <w:t>Total Current Assets</w:t>
            </w:r>
          </w:p>
        </w:tc>
        <w:tc>
          <w:tcPr>
            <w:tcW w:w="240" w:type="dxa"/>
            <w:vAlign w:val="bottom"/>
          </w:tcPr>
          <w:p>
            <w:pPr>
              <w:spacing w:after="0"/>
              <w:rPr>
                <w:sz w:val="21"/>
                <w:szCs w:val="21"/>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1,521,436</w:t>
            </w:r>
          </w:p>
        </w:tc>
        <w:tc>
          <w:tcPr>
            <w:tcW w:w="280" w:type="dxa"/>
            <w:vAlign w:val="bottom"/>
          </w:tcPr>
          <w:p>
            <w:pPr>
              <w:spacing w:after="0"/>
              <w:rPr>
                <w:sz w:val="21"/>
                <w:szCs w:val="21"/>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1,735,804</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Property, Plant and Equipment, Net</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258,694</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259,358</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Investments in Affiliates</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131,887</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128,590</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Goodwill, Net</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1,301,484</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1,299,710</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Indefinite-Lived Intangible Assets</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103,916</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102,195</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Amortized Intangible Assets, Net</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230,674</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237,976</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Prepaid Pension Cost</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1,073,873</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1,056,777</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Deferred Income Taxes</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15,367</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15,367</w:t>
            </w:r>
          </w:p>
        </w:tc>
        <w:tc>
          <w:tcPr>
            <w:tcW w:w="0" w:type="dxa"/>
            <w:vAlign w:val="bottom"/>
          </w:tcPr>
          <w:p>
            <w:pPr>
              <w:spacing w:after="0"/>
              <w:rPr>
                <w:sz w:val="1"/>
                <w:szCs w:val="1"/>
                <w:color w:val="auto"/>
              </w:rPr>
            </w:pPr>
          </w:p>
        </w:tc>
      </w:tr>
      <w:tr>
        <w:trPr>
          <w:trHeight w:val="283"/>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Deferred Charges and Other Assets</w:t>
            </w:r>
          </w:p>
        </w:tc>
        <w:tc>
          <w:tcPr>
            <w:tcW w:w="2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123,627</w:t>
            </w:r>
          </w:p>
        </w:tc>
        <w:tc>
          <w:tcPr>
            <w:tcW w:w="2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102,046</w:t>
            </w:r>
          </w:p>
        </w:tc>
        <w:tc>
          <w:tcPr>
            <w:tcW w:w="0" w:type="dxa"/>
            <w:vAlign w:val="bottom"/>
          </w:tcPr>
          <w:p>
            <w:pPr>
              <w:spacing w:after="0"/>
              <w:rPr>
                <w:sz w:val="1"/>
                <w:szCs w:val="1"/>
                <w:color w:val="auto"/>
              </w:rPr>
            </w:pPr>
          </w:p>
        </w:tc>
      </w:tr>
      <w:tr>
        <w:trPr>
          <w:trHeight w:val="264"/>
        </w:trPr>
        <w:tc>
          <w:tcPr>
            <w:tcW w:w="8320" w:type="dxa"/>
            <w:vAlign w:val="bottom"/>
          </w:tcPr>
          <w:p>
            <w:pPr>
              <w:ind w:left="480"/>
              <w:spacing w:after="0"/>
              <w:rPr>
                <w:sz w:val="20"/>
                <w:szCs w:val="20"/>
                <w:color w:val="auto"/>
              </w:rPr>
            </w:pPr>
            <w:r>
              <w:rPr>
                <w:rFonts w:ascii="Arial" w:cs="Arial" w:eastAsia="Arial" w:hAnsi="Arial"/>
                <w:sz w:val="16"/>
                <w:szCs w:val="16"/>
                <w:b w:val="1"/>
                <w:bCs w:val="1"/>
                <w:color w:val="auto"/>
              </w:rPr>
              <w:t>Total Assets</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4,760,958</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4,937,823</w:t>
            </w:r>
          </w:p>
        </w:tc>
        <w:tc>
          <w:tcPr>
            <w:tcW w:w="0" w:type="dxa"/>
            <w:vAlign w:val="bottom"/>
          </w:tcPr>
          <w:p>
            <w:pPr>
              <w:spacing w:after="0"/>
              <w:rPr>
                <w:sz w:val="1"/>
                <w:szCs w:val="1"/>
                <w:color w:val="auto"/>
              </w:rPr>
            </w:pPr>
          </w:p>
        </w:tc>
      </w:tr>
      <w:tr>
        <w:trPr>
          <w:trHeight w:val="20"/>
        </w:trPr>
        <w:tc>
          <w:tcPr>
            <w:tcW w:w="83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3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2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Accounts payable and accrued liabilities</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435,498</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526,323</w:t>
            </w: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Deferred revenue</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294,519</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339,454</w:t>
            </w: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Income taxes payable</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8,593</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6,109</w:t>
            </w: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Current portion of long-term debt</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406,654</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6,726</w:t>
            </w:r>
          </w:p>
        </w:tc>
        <w:tc>
          <w:tcPr>
            <w:tcW w:w="0" w:type="dxa"/>
            <w:vAlign w:val="bottom"/>
          </w:tcPr>
          <w:p>
            <w:pPr>
              <w:spacing w:after="0"/>
              <w:rPr>
                <w:sz w:val="1"/>
                <w:szCs w:val="1"/>
                <w:color w:val="auto"/>
              </w:rPr>
            </w:pPr>
          </w:p>
        </w:tc>
      </w:tr>
      <w:tr>
        <w:trPr>
          <w:trHeight w:val="283"/>
        </w:trPr>
        <w:tc>
          <w:tcPr>
            <w:tcW w:w="8320" w:type="dxa"/>
            <w:vAlign w:val="bottom"/>
          </w:tcPr>
          <w:p>
            <w:pPr>
              <w:ind w:left="280"/>
              <w:spacing w:after="0"/>
              <w:rPr>
                <w:sz w:val="20"/>
                <w:szCs w:val="20"/>
                <w:color w:val="auto"/>
              </w:rPr>
            </w:pPr>
            <w:r>
              <w:rPr>
                <w:rFonts w:ascii="Arial" w:cs="Arial" w:eastAsia="Arial" w:hAnsi="Arial"/>
                <w:sz w:val="16"/>
                <w:szCs w:val="16"/>
                <w:color w:val="auto"/>
              </w:rPr>
              <w:t>Dividends declared</w:t>
            </w:r>
          </w:p>
        </w:tc>
        <w:tc>
          <w:tcPr>
            <w:tcW w:w="2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7,319</w:t>
            </w:r>
          </w:p>
        </w:tc>
        <w:tc>
          <w:tcPr>
            <w:tcW w:w="2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8320" w:type="dxa"/>
            <w:vAlign w:val="bottom"/>
          </w:tcPr>
          <w:p>
            <w:pPr>
              <w:ind w:left="480"/>
              <w:spacing w:after="0"/>
              <w:rPr>
                <w:sz w:val="20"/>
                <w:szCs w:val="20"/>
                <w:color w:val="auto"/>
              </w:rPr>
            </w:pPr>
            <w:r>
              <w:rPr>
                <w:rFonts w:ascii="Arial" w:cs="Arial" w:eastAsia="Arial" w:hAnsi="Arial"/>
                <w:sz w:val="16"/>
                <w:szCs w:val="16"/>
                <w:b w:val="1"/>
                <w:bCs w:val="1"/>
                <w:color w:val="auto"/>
              </w:rPr>
              <w:t>Total Current Liabilities</w:t>
            </w:r>
          </w:p>
        </w:tc>
        <w:tc>
          <w:tcPr>
            <w:tcW w:w="240" w:type="dxa"/>
            <w:vAlign w:val="bottom"/>
          </w:tcPr>
          <w:p>
            <w:pPr>
              <w:spacing w:after="0"/>
              <w:rPr>
                <w:sz w:val="21"/>
                <w:szCs w:val="21"/>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1,152,583</w:t>
            </w:r>
          </w:p>
        </w:tc>
        <w:tc>
          <w:tcPr>
            <w:tcW w:w="280" w:type="dxa"/>
            <w:vAlign w:val="bottom"/>
          </w:tcPr>
          <w:p>
            <w:pPr>
              <w:spacing w:after="0"/>
              <w:rPr>
                <w:sz w:val="21"/>
                <w:szCs w:val="21"/>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878,612</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Postretirement Benefits Other Than Pensions</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20,943</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20,865</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Accrued Compensation and Related Benefits</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176,697</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193,024</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Other Liabilities</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63,714</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65,977</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Deferred Income Taxes</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356,018</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362,701</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Mandatorily Redeemable Noncontrolling Interest</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10,331</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10,331</w:t>
            </w:r>
          </w:p>
        </w:tc>
        <w:tc>
          <w:tcPr>
            <w:tcW w:w="0" w:type="dxa"/>
            <w:vAlign w:val="bottom"/>
          </w:tcPr>
          <w:p>
            <w:pPr>
              <w:spacing w:after="0"/>
              <w:rPr>
                <w:sz w:val="1"/>
                <w:szCs w:val="1"/>
                <w:color w:val="auto"/>
              </w:rPr>
            </w:pPr>
          </w:p>
        </w:tc>
      </w:tr>
      <w:tr>
        <w:trPr>
          <w:trHeight w:val="283"/>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Long-Term Debt</w:t>
            </w:r>
          </w:p>
        </w:tc>
        <w:tc>
          <w:tcPr>
            <w:tcW w:w="2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91,079</w:t>
            </w:r>
          </w:p>
        </w:tc>
        <w:tc>
          <w:tcPr>
            <w:tcW w:w="2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486,561</w:t>
            </w:r>
          </w:p>
        </w:tc>
        <w:tc>
          <w:tcPr>
            <w:tcW w:w="0" w:type="dxa"/>
            <w:vAlign w:val="bottom"/>
          </w:tcPr>
          <w:p>
            <w:pPr>
              <w:spacing w:after="0"/>
              <w:rPr>
                <w:sz w:val="1"/>
                <w:szCs w:val="1"/>
                <w:color w:val="auto"/>
              </w:rPr>
            </w:pPr>
          </w:p>
        </w:tc>
      </w:tr>
      <w:tr>
        <w:trPr>
          <w:trHeight w:val="264"/>
        </w:trPr>
        <w:tc>
          <w:tcPr>
            <w:tcW w:w="8320" w:type="dxa"/>
            <w:vAlign w:val="bottom"/>
          </w:tcPr>
          <w:p>
            <w:pPr>
              <w:ind w:left="480"/>
              <w:spacing w:after="0"/>
              <w:rPr>
                <w:sz w:val="20"/>
                <w:szCs w:val="20"/>
                <w:color w:val="auto"/>
              </w:rPr>
            </w:pPr>
            <w:r>
              <w:rPr>
                <w:rFonts w:ascii="Arial" w:cs="Arial" w:eastAsia="Arial" w:hAnsi="Arial"/>
                <w:sz w:val="16"/>
                <w:szCs w:val="16"/>
                <w:b w:val="1"/>
                <w:bCs w:val="1"/>
                <w:color w:val="auto"/>
              </w:rPr>
              <w:t>Total Liabilities</w:t>
            </w:r>
          </w:p>
        </w:tc>
        <w:tc>
          <w:tcPr>
            <w:tcW w:w="2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1,871,365</w:t>
            </w:r>
          </w:p>
        </w:tc>
        <w:tc>
          <w:tcPr>
            <w:tcW w:w="2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2,018,071</w:t>
            </w:r>
          </w:p>
        </w:tc>
        <w:tc>
          <w:tcPr>
            <w:tcW w:w="0" w:type="dxa"/>
            <w:vAlign w:val="bottom"/>
          </w:tcPr>
          <w:p>
            <w:pPr>
              <w:spacing w:after="0"/>
              <w:rPr>
                <w:sz w:val="1"/>
                <w:szCs w:val="1"/>
                <w:color w:val="auto"/>
              </w:rPr>
            </w:pPr>
          </w:p>
        </w:tc>
      </w:tr>
      <w:tr>
        <w:trPr>
          <w:trHeight w:val="264"/>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Redeemable Noncontrolling Interest</w:t>
            </w:r>
          </w:p>
        </w:tc>
        <w:tc>
          <w:tcPr>
            <w:tcW w:w="2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4,680</w:t>
            </w:r>
          </w:p>
        </w:tc>
        <w:tc>
          <w:tcPr>
            <w:tcW w:w="2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4,607</w:t>
            </w:r>
          </w:p>
        </w:tc>
        <w:tc>
          <w:tcPr>
            <w:tcW w:w="0" w:type="dxa"/>
            <w:vAlign w:val="bottom"/>
          </w:tcPr>
          <w:p>
            <w:pPr>
              <w:spacing w:after="0"/>
              <w:rPr>
                <w:sz w:val="1"/>
                <w:szCs w:val="1"/>
                <w:color w:val="auto"/>
              </w:rPr>
            </w:pPr>
          </w:p>
        </w:tc>
      </w:tr>
      <w:tr>
        <w:trPr>
          <w:trHeight w:val="264"/>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Preferred Stock</w:t>
            </w:r>
          </w:p>
        </w:tc>
        <w:tc>
          <w:tcPr>
            <w:tcW w:w="2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Common Stockholders’ Equity</w:t>
            </w:r>
          </w:p>
        </w:tc>
        <w:tc>
          <w:tcPr>
            <w:tcW w:w="2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Common stock</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20,000</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20,000</w:t>
            </w: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Capital in excess of par value</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372,836</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370,700</w:t>
            </w: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Retained earnings</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6,022,315</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5,791,724</w:t>
            </w: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Accumulated other comprehensive income (loss), net of tax</w:t>
            </w:r>
          </w:p>
        </w:tc>
        <w:tc>
          <w:tcPr>
            <w:tcW w:w="2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320" w:type="dxa"/>
            <w:vAlign w:val="bottom"/>
          </w:tcPr>
          <w:p>
            <w:pPr>
              <w:ind w:left="480"/>
              <w:spacing w:after="0"/>
              <w:rPr>
                <w:sz w:val="20"/>
                <w:szCs w:val="20"/>
                <w:color w:val="auto"/>
              </w:rPr>
            </w:pPr>
            <w:r>
              <w:rPr>
                <w:rFonts w:ascii="Arial" w:cs="Arial" w:eastAsia="Arial" w:hAnsi="Arial"/>
                <w:sz w:val="16"/>
                <w:szCs w:val="16"/>
                <w:color w:val="auto"/>
              </w:rPr>
              <w:t>Cumulative foreign currency translation adjustment</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17,878</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6,314</w:t>
            </w:r>
          </w:p>
        </w:tc>
        <w:tc>
          <w:tcPr>
            <w:tcW w:w="0" w:type="dxa"/>
            <w:vAlign w:val="bottom"/>
          </w:tcPr>
          <w:p>
            <w:pPr>
              <w:spacing w:after="0"/>
              <w:rPr>
                <w:sz w:val="1"/>
                <w:szCs w:val="1"/>
                <w:color w:val="auto"/>
              </w:rPr>
            </w:pPr>
          </w:p>
        </w:tc>
      </w:tr>
      <w:tr>
        <w:trPr>
          <w:trHeight w:val="270"/>
        </w:trPr>
        <w:tc>
          <w:tcPr>
            <w:tcW w:w="8320" w:type="dxa"/>
            <w:vAlign w:val="bottom"/>
          </w:tcPr>
          <w:p>
            <w:pPr>
              <w:ind w:left="480"/>
              <w:spacing w:after="0"/>
              <w:rPr>
                <w:sz w:val="20"/>
                <w:szCs w:val="20"/>
                <w:color w:val="auto"/>
              </w:rPr>
            </w:pPr>
            <w:r>
              <w:rPr>
                <w:rFonts w:ascii="Arial" w:cs="Arial" w:eastAsia="Arial" w:hAnsi="Arial"/>
                <w:sz w:val="16"/>
                <w:szCs w:val="16"/>
                <w:color w:val="auto"/>
              </w:rPr>
              <w:t>Unrealized gain on available-for-sale securities</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194,889</w:t>
            </w:r>
          </w:p>
        </w:tc>
        <w:tc>
          <w:tcPr>
            <w:tcW w:w="0" w:type="dxa"/>
            <w:vAlign w:val="bottom"/>
          </w:tcPr>
          <w:p>
            <w:pPr>
              <w:spacing w:after="0"/>
              <w:rPr>
                <w:sz w:val="1"/>
                <w:szCs w:val="1"/>
                <w:color w:val="auto"/>
              </w:rPr>
            </w:pPr>
          </w:p>
        </w:tc>
      </w:tr>
      <w:tr>
        <w:trPr>
          <w:trHeight w:val="270"/>
        </w:trPr>
        <w:tc>
          <w:tcPr>
            <w:tcW w:w="8320" w:type="dxa"/>
            <w:vAlign w:val="bottom"/>
          </w:tcPr>
          <w:p>
            <w:pPr>
              <w:ind w:left="480"/>
              <w:spacing w:after="0"/>
              <w:rPr>
                <w:sz w:val="20"/>
                <w:szCs w:val="20"/>
                <w:color w:val="auto"/>
              </w:rPr>
            </w:pPr>
            <w:r>
              <w:rPr>
                <w:rFonts w:ascii="Arial" w:cs="Arial" w:eastAsia="Arial" w:hAnsi="Arial"/>
                <w:sz w:val="16"/>
                <w:szCs w:val="16"/>
                <w:color w:val="auto"/>
              </w:rPr>
              <w:t>Unrealized gain on pensions and other postretirement plans</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333,593</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334,536</w:t>
            </w:r>
          </w:p>
        </w:tc>
        <w:tc>
          <w:tcPr>
            <w:tcW w:w="0" w:type="dxa"/>
            <w:vAlign w:val="bottom"/>
          </w:tcPr>
          <w:p>
            <w:pPr>
              <w:spacing w:after="0"/>
              <w:rPr>
                <w:sz w:val="1"/>
                <w:szCs w:val="1"/>
                <w:color w:val="auto"/>
              </w:rPr>
            </w:pPr>
          </w:p>
        </w:tc>
      </w:tr>
      <w:tr>
        <w:trPr>
          <w:trHeight w:val="270"/>
        </w:trPr>
        <w:tc>
          <w:tcPr>
            <w:tcW w:w="8320" w:type="dxa"/>
            <w:vAlign w:val="bottom"/>
          </w:tcPr>
          <w:p>
            <w:pPr>
              <w:ind w:left="480"/>
              <w:spacing w:after="0"/>
              <w:rPr>
                <w:sz w:val="20"/>
                <w:szCs w:val="20"/>
                <w:color w:val="auto"/>
              </w:rPr>
            </w:pPr>
            <w:r>
              <w:rPr>
                <w:rFonts w:ascii="Arial" w:cs="Arial" w:eastAsia="Arial" w:hAnsi="Arial"/>
                <w:sz w:val="16"/>
                <w:szCs w:val="16"/>
                <w:color w:val="auto"/>
              </w:rPr>
              <w:t>Cash flow hedge</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7</w:t>
            </w:r>
          </w:p>
        </w:tc>
        <w:tc>
          <w:tcPr>
            <w:tcW w:w="2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(184)</w:t>
            </w:r>
          </w:p>
        </w:tc>
        <w:tc>
          <w:tcPr>
            <w:tcW w:w="0" w:type="dxa"/>
            <w:vAlign w:val="bottom"/>
          </w:tcPr>
          <w:p>
            <w:pPr>
              <w:spacing w:after="0"/>
              <w:rPr>
                <w:sz w:val="1"/>
                <w:szCs w:val="1"/>
                <w:color w:val="auto"/>
              </w:rPr>
            </w:pPr>
          </w:p>
        </w:tc>
      </w:tr>
      <w:tr>
        <w:trPr>
          <w:trHeight w:val="283"/>
        </w:trPr>
        <w:tc>
          <w:tcPr>
            <w:tcW w:w="8320" w:type="dxa"/>
            <w:vAlign w:val="bottom"/>
          </w:tcPr>
          <w:p>
            <w:pPr>
              <w:ind w:left="280"/>
              <w:spacing w:after="0"/>
              <w:rPr>
                <w:sz w:val="20"/>
                <w:szCs w:val="20"/>
                <w:color w:val="auto"/>
              </w:rPr>
            </w:pPr>
            <w:r>
              <w:rPr>
                <w:rFonts w:ascii="Arial" w:cs="Arial" w:eastAsia="Arial" w:hAnsi="Arial"/>
                <w:sz w:val="16"/>
                <w:szCs w:val="16"/>
                <w:color w:val="auto"/>
              </w:rPr>
              <w:t>Cost of Class B common stock held in treasury</w:t>
            </w:r>
          </w:p>
        </w:tc>
        <w:tc>
          <w:tcPr>
            <w:tcW w:w="2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(3,881,716)</w:t>
            </w:r>
          </w:p>
        </w:tc>
        <w:tc>
          <w:tcPr>
            <w:tcW w:w="2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(3,802,834)</w:t>
            </w:r>
          </w:p>
        </w:tc>
        <w:tc>
          <w:tcPr>
            <w:tcW w:w="0" w:type="dxa"/>
            <w:vAlign w:val="bottom"/>
          </w:tcPr>
          <w:p>
            <w:pPr>
              <w:spacing w:after="0"/>
              <w:rPr>
                <w:sz w:val="1"/>
                <w:szCs w:val="1"/>
                <w:color w:val="auto"/>
              </w:rPr>
            </w:pPr>
          </w:p>
        </w:tc>
      </w:tr>
      <w:tr>
        <w:trPr>
          <w:trHeight w:val="264"/>
        </w:trPr>
        <w:tc>
          <w:tcPr>
            <w:tcW w:w="8320" w:type="dxa"/>
            <w:vAlign w:val="bottom"/>
          </w:tcPr>
          <w:p>
            <w:pPr>
              <w:ind w:left="480"/>
              <w:spacing w:after="0"/>
              <w:rPr>
                <w:sz w:val="20"/>
                <w:szCs w:val="20"/>
                <w:color w:val="auto"/>
              </w:rPr>
            </w:pPr>
            <w:r>
              <w:rPr>
                <w:rFonts w:ascii="Arial" w:cs="Arial" w:eastAsia="Arial" w:hAnsi="Arial"/>
                <w:sz w:val="16"/>
                <w:szCs w:val="16"/>
                <w:b w:val="1"/>
                <w:bCs w:val="1"/>
                <w:color w:val="auto"/>
              </w:rPr>
              <w:t>Total Equity</w:t>
            </w:r>
          </w:p>
        </w:tc>
        <w:tc>
          <w:tcPr>
            <w:tcW w:w="2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2,884,913</w:t>
            </w:r>
          </w:p>
        </w:tc>
        <w:tc>
          <w:tcPr>
            <w:tcW w:w="2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2,915,145</w:t>
            </w:r>
          </w:p>
        </w:tc>
        <w:tc>
          <w:tcPr>
            <w:tcW w:w="0" w:type="dxa"/>
            <w:vAlign w:val="bottom"/>
          </w:tcPr>
          <w:p>
            <w:pPr>
              <w:spacing w:after="0"/>
              <w:rPr>
                <w:sz w:val="1"/>
                <w:szCs w:val="1"/>
                <w:color w:val="auto"/>
              </w:rPr>
            </w:pPr>
          </w:p>
        </w:tc>
      </w:tr>
      <w:tr>
        <w:trPr>
          <w:trHeight w:val="267"/>
        </w:trPr>
        <w:tc>
          <w:tcPr>
            <w:tcW w:w="8320" w:type="dxa"/>
            <w:vAlign w:val="bottom"/>
          </w:tcPr>
          <w:p>
            <w:pPr>
              <w:ind w:left="700"/>
              <w:spacing w:after="0"/>
              <w:rPr>
                <w:sz w:val="20"/>
                <w:szCs w:val="20"/>
                <w:color w:val="auto"/>
              </w:rPr>
            </w:pPr>
            <w:r>
              <w:rPr>
                <w:rFonts w:ascii="Arial" w:cs="Arial" w:eastAsia="Arial" w:hAnsi="Arial"/>
                <w:sz w:val="16"/>
                <w:szCs w:val="16"/>
                <w:b w:val="1"/>
                <w:bCs w:val="1"/>
                <w:color w:val="auto"/>
              </w:rPr>
              <w:t>Total Liabilities and Equity</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4,760,958</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4,937,823</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697" w:right="259" w:bottom="0" w:gutter="0" w:footer="0" w:header="0"/>
        </w:sectPr>
      </w:pPr>
    </w:p>
    <w:p>
      <w:pPr>
        <w:spacing w:after="0" w:line="264"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ectPr>
          <w:pgSz w:w="11900" w:h="16838" w:orient="portrait"/>
          <w:cols w:equalWidth="0" w:num="1">
            <w:col w:w="11400"/>
          </w:cols>
          <w:pgMar w:left="240" w:top="697" w:right="259" w:bottom="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9019"/>
          </w:cols>
          <w:pgMar w:left="1440" w:top="368" w:right="1440"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GRAHAM HOLDINGS COMPANY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59" w:lineRule="exact"/>
        <w:rPr>
          <w:sz w:val="20"/>
          <w:szCs w:val="20"/>
          <w:color w:val="auto"/>
        </w:rPr>
      </w:pPr>
    </w:p>
    <w:p>
      <w:pPr>
        <w:ind w:left="950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ind w:left="99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14605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2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50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2018</w:t>
            </w:r>
          </w:p>
        </w:tc>
        <w:tc>
          <w:tcPr>
            <w:tcW w:w="12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2017</w:t>
            </w:r>
          </w:p>
        </w:tc>
      </w:tr>
    </w:tbl>
    <w:p>
      <w:pPr>
        <w:spacing w:after="0" w:line="36" w:lineRule="exact"/>
        <w:rPr>
          <w:sz w:val="20"/>
          <w:szCs w:val="20"/>
          <w:color w:val="auto"/>
        </w:rPr>
      </w:pPr>
    </w:p>
    <w:p>
      <w:pPr>
        <w:sectPr>
          <w:pgSz w:w="11900" w:h="16838" w:orient="portrait"/>
          <w:cols w:equalWidth="0" w:num="1">
            <w:col w:w="11420"/>
          </w:cols>
          <w:pgMar w:left="240" w:top="711" w:right="239" w:bottom="1440" w:gutter="0" w:footer="0" w:header="0"/>
        </w:sectPr>
      </w:pPr>
    </w:p>
    <w:p>
      <w:pPr>
        <w:ind w:left="40"/>
        <w:spacing w:after="0"/>
        <w:rPr>
          <w:sz w:val="20"/>
          <w:szCs w:val="20"/>
          <w:color w:val="auto"/>
        </w:rPr>
      </w:pPr>
      <w:r>
        <w:rPr>
          <w:rFonts w:ascii="Arial" w:cs="Arial" w:eastAsia="Arial" w:hAnsi="Arial"/>
          <w:sz w:val="16"/>
          <w:szCs w:val="16"/>
          <w:b w:val="1"/>
          <w:bCs w:val="1"/>
          <w:color w:val="auto"/>
        </w:rPr>
        <w:t>Cash Flows from Operating Activities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Net Income</w:t>
      </w:r>
    </w:p>
    <w:p>
      <w:pPr>
        <w:spacing w:after="0" w:line="10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Adjustments to reconcile net income to net cash provided by operating activities: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Depreciation and amortization</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Net pension benefit</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Loss on marketable equity securities, net</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Stock-based compensation expense, net</w:t>
      </w:r>
    </w:p>
    <w:p>
      <w:pPr>
        <w:spacing w:after="0" w:line="86" w:lineRule="exact"/>
        <w:rPr>
          <w:sz w:val="20"/>
          <w:szCs w:val="20"/>
          <w:color w:val="auto"/>
        </w:rPr>
      </w:pPr>
    </w:p>
    <w:p>
      <w:pPr>
        <w:ind w:left="280" w:right="1440"/>
        <w:spacing w:after="0" w:line="352" w:lineRule="auto"/>
        <w:rPr>
          <w:sz w:val="20"/>
          <w:szCs w:val="20"/>
          <w:color w:val="auto"/>
        </w:rPr>
      </w:pPr>
      <w:r>
        <w:rPr>
          <w:rFonts w:ascii="Arial" w:cs="Arial" w:eastAsia="Arial" w:hAnsi="Arial"/>
          <w:sz w:val="16"/>
          <w:szCs w:val="16"/>
          <w:color w:val="auto"/>
        </w:rPr>
        <w:t>(Gain) loss on disposition of businesses, property, plant and equipment and investments, net Foreign exchange gain</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Equity in earnings of affiliates, net of distributions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(Benefit) provision for deferred income taxes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Change in operating assets and liabilities:</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Accounts receivable, net</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Accounts payable and accrued liabilities</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Deferred revenue</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Income taxes receivable</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Other assets and other liabilities, net</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Other</w:t>
      </w:r>
    </w:p>
    <w:p>
      <w:pPr>
        <w:spacing w:after="0" w:line="10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Net Cash Provided by Operating Activities</w:t>
      </w:r>
    </w:p>
    <w:p>
      <w:pPr>
        <w:spacing w:after="0" w:line="8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Cash Flows from Investing Activities</w:t>
      </w:r>
    </w:p>
    <w:p>
      <w:pPr>
        <w:spacing w:after="0" w:line="10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Proceeds from sales of marketable equity securities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Advance related to Kaplan University transaction</w:t>
      </w:r>
    </w:p>
    <w:p>
      <w:pPr>
        <w:spacing w:after="0" w:line="86" w:lineRule="exact"/>
        <w:rPr>
          <w:sz w:val="20"/>
          <w:szCs w:val="20"/>
          <w:color w:val="auto"/>
        </w:rPr>
      </w:pPr>
    </w:p>
    <w:p>
      <w:pPr>
        <w:ind w:left="280" w:right="580"/>
        <w:spacing w:after="0" w:line="352" w:lineRule="auto"/>
        <w:rPr>
          <w:sz w:val="20"/>
          <w:szCs w:val="20"/>
          <w:color w:val="auto"/>
        </w:rPr>
      </w:pPr>
      <w:r>
        <w:rPr>
          <w:rFonts w:ascii="Arial" w:cs="Arial" w:eastAsia="Arial" w:hAnsi="Arial"/>
          <w:sz w:val="16"/>
          <w:szCs w:val="16"/>
          <w:color w:val="auto"/>
        </w:rPr>
        <w:t>Net (payments) proceeds from disposition of businesses, property, plant and equipment and investments Purchases of property, plant and equipment</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Investments in equity affiliates, cost method and other investments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Investments in certain businesses, net of cash acquired</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Return of investment in equity affiliate</w:t>
      </w:r>
    </w:p>
    <w:p>
      <w:pPr>
        <w:spacing w:after="0" w:line="10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Net Cash Used in Investing Activities</w:t>
      </w:r>
    </w:p>
    <w:p>
      <w:pPr>
        <w:spacing w:after="0" w:line="8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Cash Flows from Financing Activities</w:t>
      </w:r>
    </w:p>
    <w:p>
      <w:pPr>
        <w:spacing w:after="0" w:line="10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Common shares repurchased</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Dividends paid</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Proceeds from exercise of stock options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Other</w:t>
      </w:r>
    </w:p>
    <w:p>
      <w:pPr>
        <w:spacing w:after="0" w:line="10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Net Cash Used in Financing Activities</w:t>
      </w:r>
    </w:p>
    <w:p>
      <w:pPr>
        <w:spacing w:after="0" w:line="8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Effect of Currency Exchange Rate Change</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Net Decrease in Cash and Cash Equivalents and Restricted Cash</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Beginning Cash and Cash Equivalents and Restricted Cash</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Ending Cash and Cash Equivalents and Restricted Cash</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1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280" w:type="dxa"/>
            <w:vAlign w:val="bottom"/>
          </w:tcPr>
          <w:p>
            <w:pPr>
              <w:jc w:val="right"/>
              <w:ind w:right="124"/>
              <w:spacing w:after="0"/>
              <w:rPr>
                <w:sz w:val="20"/>
                <w:szCs w:val="20"/>
                <w:color w:val="auto"/>
              </w:rPr>
            </w:pPr>
            <w:r>
              <w:rPr>
                <w:rFonts w:ascii="Arial" w:cs="Arial" w:eastAsia="Arial" w:hAnsi="Arial"/>
                <w:sz w:val="15"/>
                <w:szCs w:val="15"/>
                <w:b w:val="1"/>
                <w:bCs w:val="1"/>
                <w:color w:val="auto"/>
                <w:w w:val="71"/>
              </w:rPr>
              <w:t>$</w:t>
            </w:r>
          </w:p>
        </w:tc>
        <w:tc>
          <w:tcPr>
            <w:tcW w:w="880" w:type="dxa"/>
            <w:vAlign w:val="bottom"/>
          </w:tcPr>
          <w:p>
            <w:pPr>
              <w:jc w:val="right"/>
              <w:ind w:right="79"/>
              <w:spacing w:after="0"/>
              <w:rPr>
                <w:sz w:val="20"/>
                <w:szCs w:val="20"/>
                <w:color w:val="auto"/>
              </w:rPr>
            </w:pPr>
            <w:r>
              <w:rPr>
                <w:rFonts w:ascii="Arial" w:cs="Arial" w:eastAsia="Arial" w:hAnsi="Arial"/>
                <w:sz w:val="16"/>
                <w:szCs w:val="16"/>
                <w:b w:val="1"/>
                <w:bCs w:val="1"/>
                <w:color w:val="auto"/>
              </w:rPr>
              <w:t>42,965</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21,086</w:t>
            </w:r>
          </w:p>
        </w:tc>
      </w:tr>
      <w:tr>
        <w:trPr>
          <w:trHeight w:val="540"/>
        </w:trPr>
        <w:tc>
          <w:tcPr>
            <w:tcW w:w="280" w:type="dxa"/>
            <w:vAlign w:val="bottom"/>
          </w:tcPr>
          <w:p>
            <w:pPr>
              <w:spacing w:after="0"/>
              <w:rPr>
                <w:sz w:val="24"/>
                <w:szCs w:val="24"/>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b w:val="1"/>
                <w:bCs w:val="1"/>
                <w:color w:val="auto"/>
              </w:rPr>
              <w:t>25,026</w:t>
            </w:r>
          </w:p>
        </w:tc>
        <w:tc>
          <w:tcPr>
            <w:tcW w:w="3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21,488</w:t>
            </w:r>
          </w:p>
        </w:tc>
      </w:tr>
      <w:tr>
        <w:trPr>
          <w:trHeight w:val="270"/>
        </w:trPr>
        <w:tc>
          <w:tcPr>
            <w:tcW w:w="28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b w:val="1"/>
                <w:bCs w:val="1"/>
                <w:color w:val="auto"/>
              </w:rPr>
              <w:t>(17,295)</w:t>
            </w:r>
          </w:p>
        </w:tc>
        <w:tc>
          <w:tcPr>
            <w:tcW w:w="3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(14,688)</w:t>
            </w:r>
          </w:p>
        </w:tc>
      </w:tr>
      <w:tr>
        <w:trPr>
          <w:trHeight w:val="270"/>
        </w:trPr>
        <w:tc>
          <w:tcPr>
            <w:tcW w:w="280" w:type="dxa"/>
            <w:vAlign w:val="bottom"/>
          </w:tcPr>
          <w:p>
            <w:pPr>
              <w:spacing w:after="0"/>
              <w:rPr>
                <w:sz w:val="23"/>
                <w:szCs w:val="23"/>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b w:val="1"/>
                <w:bCs w:val="1"/>
                <w:color w:val="auto"/>
              </w:rPr>
              <w:t>14,102</w:t>
            </w:r>
          </w:p>
        </w:tc>
        <w:tc>
          <w:tcPr>
            <w:tcW w:w="3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280" w:type="dxa"/>
            <w:vAlign w:val="bottom"/>
          </w:tcPr>
          <w:p>
            <w:pPr>
              <w:spacing w:after="0"/>
              <w:rPr>
                <w:sz w:val="23"/>
                <w:szCs w:val="23"/>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b w:val="1"/>
                <w:bCs w:val="1"/>
                <w:color w:val="auto"/>
              </w:rPr>
              <w:t>2,111</w:t>
            </w:r>
          </w:p>
        </w:tc>
        <w:tc>
          <w:tcPr>
            <w:tcW w:w="3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2,866</w:t>
            </w:r>
          </w:p>
        </w:tc>
      </w:tr>
      <w:tr>
        <w:trPr>
          <w:trHeight w:val="270"/>
        </w:trPr>
        <w:tc>
          <w:tcPr>
            <w:tcW w:w="28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b w:val="1"/>
                <w:bCs w:val="1"/>
                <w:color w:val="auto"/>
              </w:rPr>
              <w:t>(8,739)</w:t>
            </w:r>
          </w:p>
        </w:tc>
        <w:tc>
          <w:tcPr>
            <w:tcW w:w="3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335</w:t>
            </w:r>
          </w:p>
        </w:tc>
      </w:tr>
    </w:tbl>
    <w:p>
      <w:pPr>
        <w:spacing w:after="0" w:line="75" w:lineRule="exact"/>
        <w:rPr>
          <w:sz w:val="20"/>
          <w:szCs w:val="20"/>
          <w:color w:val="auto"/>
        </w:rPr>
      </w:pPr>
    </w:p>
    <w:p>
      <w:pPr>
        <w:ind w:left="1800" w:hanging="1115"/>
        <w:spacing w:after="0"/>
        <w:tabs>
          <w:tab w:leader="none" w:pos="1800" w:val="left"/>
        </w:tabs>
        <w:numPr>
          <w:ilvl w:val="0"/>
          <w:numId w:val="3"/>
        </w:numPr>
        <w:rPr>
          <w:rFonts w:ascii="Arial" w:cs="Arial" w:eastAsia="Arial" w:hAnsi="Arial"/>
          <w:sz w:val="15"/>
          <w:szCs w:val="15"/>
          <w:b w:val="1"/>
          <w:bCs w:val="1"/>
          <w:color w:val="auto"/>
        </w:rPr>
      </w:pPr>
      <w:r>
        <w:rPr>
          <w:rFonts w:ascii="Arial" w:cs="Arial" w:eastAsia="Arial" w:hAnsi="Arial"/>
          <w:sz w:val="15"/>
          <w:szCs w:val="15"/>
          <w:color w:val="auto"/>
        </w:rPr>
        <w:t>(1,728)</w:t>
      </w:r>
    </w:p>
    <w:p>
      <w:pPr>
        <w:spacing w:after="0" w:line="77" w:lineRule="exact"/>
        <w:rPr>
          <w:rFonts w:ascii="Arial" w:cs="Arial" w:eastAsia="Arial" w:hAnsi="Arial"/>
          <w:sz w:val="15"/>
          <w:szCs w:val="15"/>
          <w:b w:val="1"/>
          <w:bCs w:val="1"/>
          <w:color w:val="auto"/>
        </w:rPr>
      </w:pPr>
    </w:p>
    <w:p>
      <w:pPr>
        <w:ind w:left="560"/>
        <w:spacing w:after="0"/>
        <w:rPr>
          <w:rFonts w:ascii="Arial" w:cs="Arial" w:eastAsia="Arial" w:hAnsi="Arial"/>
          <w:sz w:val="15"/>
          <w:szCs w:val="15"/>
          <w:b w:val="1"/>
          <w:bCs w:val="1"/>
          <w:color w:val="auto"/>
        </w:rPr>
      </w:pPr>
      <w:r>
        <w:rPr>
          <w:rFonts w:ascii="Arial" w:cs="Arial" w:eastAsia="Arial" w:hAnsi="Arial"/>
          <w:sz w:val="16"/>
          <w:szCs w:val="16"/>
          <w:b w:val="1"/>
          <w:bCs w:val="1"/>
          <w:color w:val="auto"/>
        </w:rPr>
        <w:t>(2,115)</w:t>
      </w:r>
      <w:r>
        <w:rPr>
          <w:rFonts w:ascii="Arial" w:cs="Arial" w:eastAsia="Arial" w:hAnsi="Arial"/>
          <w:sz w:val="16"/>
          <w:szCs w:val="16"/>
          <w:color w:val="auto"/>
        </w:rPr>
        <w:t>(649)</w:t>
      </w:r>
    </w:p>
    <w:p>
      <w:pPr>
        <w:spacing w:after="0" w:line="86" w:lineRule="exact"/>
        <w:rPr>
          <w:rFonts w:ascii="Arial" w:cs="Arial" w:eastAsia="Arial" w:hAnsi="Arial"/>
          <w:sz w:val="15"/>
          <w:szCs w:val="15"/>
          <w:b w:val="1"/>
          <w:bCs w:val="1"/>
          <w:color w:val="auto"/>
        </w:rPr>
      </w:pPr>
    </w:p>
    <w:p>
      <w:pPr>
        <w:ind w:left="560"/>
        <w:spacing w:after="0"/>
        <w:rPr>
          <w:rFonts w:ascii="Arial" w:cs="Arial" w:eastAsia="Arial" w:hAnsi="Arial"/>
          <w:sz w:val="15"/>
          <w:szCs w:val="15"/>
          <w:b w:val="1"/>
          <w:bCs w:val="1"/>
          <w:color w:val="auto"/>
        </w:rPr>
      </w:pPr>
      <w:r>
        <w:rPr>
          <w:rFonts w:ascii="Arial" w:cs="Arial" w:eastAsia="Arial" w:hAnsi="Arial"/>
          <w:sz w:val="16"/>
          <w:szCs w:val="16"/>
          <w:b w:val="1"/>
          <w:bCs w:val="1"/>
          <w:color w:val="auto"/>
        </w:rPr>
        <w:t>(7,436)</w:t>
      </w:r>
      <w:r>
        <w:rPr>
          <w:rFonts w:ascii="Arial" w:cs="Arial" w:eastAsia="Arial" w:hAnsi="Arial"/>
          <w:sz w:val="16"/>
          <w:szCs w:val="16"/>
          <w:color w:val="auto"/>
        </w:rPr>
        <w:t>7,443</w:t>
      </w:r>
    </w:p>
    <w:p>
      <w:pPr>
        <w:spacing w:after="0" w:line="356" w:lineRule="exact"/>
        <w:rPr>
          <w:sz w:val="20"/>
          <w:szCs w:val="20"/>
          <w:color w:val="auto"/>
        </w:rPr>
      </w:pPr>
    </w:p>
    <w:p>
      <w:pPr>
        <w:ind w:left="520"/>
        <w:spacing w:after="0"/>
        <w:tabs>
          <w:tab w:leader="none" w:pos="1640" w:val="left"/>
        </w:tabs>
        <w:rPr>
          <w:sz w:val="20"/>
          <w:szCs w:val="20"/>
          <w:color w:val="auto"/>
        </w:rPr>
      </w:pPr>
      <w:r>
        <w:rPr>
          <w:rFonts w:ascii="Arial" w:cs="Arial" w:eastAsia="Arial" w:hAnsi="Arial"/>
          <w:sz w:val="16"/>
          <w:szCs w:val="16"/>
          <w:b w:val="1"/>
          <w:bCs w:val="1"/>
          <w:color w:val="auto"/>
        </w:rPr>
        <w:t>87,311</w:t>
      </w:r>
      <w:r>
        <w:rPr>
          <w:sz w:val="20"/>
          <w:szCs w:val="20"/>
          <w:color w:val="auto"/>
        </w:rPr>
        <w:tab/>
      </w:r>
      <w:r>
        <w:rPr>
          <w:rFonts w:ascii="Arial" w:cs="Arial" w:eastAsia="Arial" w:hAnsi="Arial"/>
          <w:sz w:val="16"/>
          <w:szCs w:val="16"/>
          <w:color w:val="auto"/>
        </w:rPr>
        <w:t>122,605</w:t>
      </w:r>
    </w:p>
    <w:p>
      <w:pPr>
        <w:spacing w:after="0" w:line="86" w:lineRule="exact"/>
        <w:rPr>
          <w:sz w:val="20"/>
          <w:szCs w:val="20"/>
          <w:color w:val="auto"/>
        </w:rPr>
      </w:pPr>
    </w:p>
    <w:p>
      <w:pPr>
        <w:jc w:val="both"/>
        <w:ind w:left="460"/>
        <w:spacing w:after="0"/>
        <w:tabs>
          <w:tab w:leader="none" w:pos="1680" w:val="left"/>
        </w:tabs>
        <w:rPr>
          <w:sz w:val="20"/>
          <w:szCs w:val="20"/>
          <w:color w:val="auto"/>
        </w:rPr>
      </w:pPr>
      <w:r>
        <w:rPr>
          <w:rFonts w:ascii="Arial" w:cs="Arial" w:eastAsia="Arial" w:hAnsi="Arial"/>
          <w:sz w:val="16"/>
          <w:szCs w:val="16"/>
          <w:b w:val="1"/>
          <w:bCs w:val="1"/>
          <w:color w:val="auto"/>
        </w:rPr>
        <w:t>(85,955)</w:t>
      </w:r>
      <w:r>
        <w:rPr>
          <w:sz w:val="20"/>
          <w:szCs w:val="20"/>
          <w:color w:val="auto"/>
        </w:rPr>
        <w:tab/>
      </w:r>
      <w:r>
        <w:rPr>
          <w:rFonts w:ascii="Arial" w:cs="Arial" w:eastAsia="Arial" w:hAnsi="Arial"/>
          <w:sz w:val="16"/>
          <w:szCs w:val="16"/>
          <w:color w:val="auto"/>
        </w:rPr>
        <w:t>(55,584)</w:t>
      </w:r>
    </w:p>
    <w:p>
      <w:pPr>
        <w:spacing w:after="0" w:line="86" w:lineRule="exact"/>
        <w:rPr>
          <w:sz w:val="20"/>
          <w:szCs w:val="20"/>
          <w:color w:val="auto"/>
        </w:rPr>
      </w:pPr>
    </w:p>
    <w:p>
      <w:pPr>
        <w:ind w:left="560"/>
        <w:spacing w:after="0"/>
        <w:tabs>
          <w:tab w:leader="none" w:pos="1820" w:val="left"/>
        </w:tabs>
        <w:rPr>
          <w:sz w:val="20"/>
          <w:szCs w:val="20"/>
          <w:color w:val="auto"/>
        </w:rPr>
      </w:pPr>
      <w:r>
        <w:rPr>
          <w:rFonts w:ascii="Arial" w:cs="Arial" w:eastAsia="Arial" w:hAnsi="Arial"/>
          <w:sz w:val="16"/>
          <w:szCs w:val="16"/>
          <w:b w:val="1"/>
          <w:bCs w:val="1"/>
          <w:color w:val="auto"/>
        </w:rPr>
        <w:t>(8,783)</w:t>
      </w:r>
      <w:r>
        <w:rPr>
          <w:sz w:val="20"/>
          <w:szCs w:val="20"/>
          <w:color w:val="auto"/>
        </w:rPr>
        <w:tab/>
      </w:r>
      <w:r>
        <w:rPr>
          <w:rFonts w:ascii="Arial" w:cs="Arial" w:eastAsia="Arial" w:hAnsi="Arial"/>
          <w:sz w:val="16"/>
          <w:szCs w:val="16"/>
          <w:color w:val="auto"/>
        </w:rPr>
        <w:t>4,603</w:t>
      </w:r>
    </w:p>
    <w:p>
      <w:pPr>
        <w:spacing w:after="0" w:line="86" w:lineRule="exact"/>
        <w:rPr>
          <w:sz w:val="20"/>
          <w:szCs w:val="20"/>
          <w:color w:val="auto"/>
        </w:rPr>
      </w:pPr>
    </w:p>
    <w:p>
      <w:pPr>
        <w:jc w:val="both"/>
        <w:ind w:left="520"/>
        <w:spacing w:after="0"/>
        <w:tabs>
          <w:tab w:leader="none" w:pos="1780" w:val="left"/>
        </w:tabs>
        <w:rPr>
          <w:sz w:val="20"/>
          <w:szCs w:val="20"/>
          <w:color w:val="auto"/>
        </w:rPr>
      </w:pPr>
      <w:r>
        <w:rPr>
          <w:rFonts w:ascii="Arial" w:cs="Arial" w:eastAsia="Arial" w:hAnsi="Arial"/>
          <w:sz w:val="16"/>
          <w:szCs w:val="16"/>
          <w:b w:val="1"/>
          <w:bCs w:val="1"/>
          <w:color w:val="auto"/>
        </w:rPr>
        <w:t>18,718</w:t>
      </w:r>
      <w:r>
        <w:rPr>
          <w:sz w:val="20"/>
          <w:szCs w:val="20"/>
          <w:color w:val="auto"/>
        </w:rPr>
        <w:tab/>
      </w:r>
      <w:r>
        <w:rPr>
          <w:rFonts w:ascii="Arial" w:cs="Arial" w:eastAsia="Arial" w:hAnsi="Arial"/>
          <w:sz w:val="16"/>
          <w:szCs w:val="16"/>
          <w:color w:val="auto"/>
        </w:rPr>
        <w:t>(6,490)</w:t>
      </w:r>
    </w:p>
    <w:p>
      <w:pPr>
        <w:spacing w:after="0" w:line="86" w:lineRule="exact"/>
        <w:rPr>
          <w:sz w:val="20"/>
          <w:szCs w:val="20"/>
          <w:color w:val="auto"/>
        </w:rPr>
      </w:pPr>
    </w:p>
    <w:p>
      <w:pPr>
        <w:jc w:val="both"/>
        <w:ind w:left="460"/>
        <w:spacing w:after="0"/>
        <w:tabs>
          <w:tab w:leader="none" w:pos="1780" w:val="left"/>
        </w:tabs>
        <w:rPr>
          <w:sz w:val="20"/>
          <w:szCs w:val="20"/>
          <w:color w:val="auto"/>
        </w:rPr>
      </w:pPr>
      <w:r>
        <w:rPr>
          <w:rFonts w:ascii="Arial" w:cs="Arial" w:eastAsia="Arial" w:hAnsi="Arial"/>
          <w:sz w:val="16"/>
          <w:szCs w:val="16"/>
          <w:b w:val="1"/>
          <w:bCs w:val="1"/>
          <w:color w:val="auto"/>
        </w:rPr>
        <w:t>(41,186)</w:t>
      </w:r>
      <w:r>
        <w:rPr>
          <w:sz w:val="20"/>
          <w:szCs w:val="20"/>
          <w:color w:val="auto"/>
        </w:rPr>
        <w:tab/>
      </w:r>
      <w:r>
        <w:rPr>
          <w:rFonts w:ascii="Arial" w:cs="Arial" w:eastAsia="Arial" w:hAnsi="Arial"/>
          <w:sz w:val="16"/>
          <w:szCs w:val="16"/>
          <w:color w:val="auto"/>
        </w:rPr>
        <w:t>(9,489)</w:t>
      </w:r>
    </w:p>
    <w:p>
      <w:pPr>
        <w:spacing w:after="0" w:line="106" w:lineRule="exact"/>
        <w:rPr>
          <w:sz w:val="20"/>
          <w:szCs w:val="20"/>
          <w:color w:val="auto"/>
        </w:rPr>
      </w:pPr>
    </w:p>
    <w:p>
      <w:pPr>
        <w:ind w:left="1980" w:hanging="1241"/>
        <w:spacing w:after="0"/>
        <w:tabs>
          <w:tab w:leader="none" w:pos="1980" w:val="left"/>
        </w:tabs>
        <w:numPr>
          <w:ilvl w:val="0"/>
          <w:numId w:val="4"/>
        </w:numPr>
        <w:rPr>
          <w:rFonts w:ascii="Arial" w:cs="Arial" w:eastAsia="Arial" w:hAnsi="Arial"/>
          <w:sz w:val="16"/>
          <w:szCs w:val="16"/>
          <w:b w:val="1"/>
          <w:bCs w:val="1"/>
          <w:color w:val="auto"/>
        </w:rPr>
      </w:pPr>
      <w:r>
        <w:rPr>
          <w:rFonts w:ascii="Arial" w:cs="Arial" w:eastAsia="Arial" w:hAnsi="Arial"/>
          <w:sz w:val="16"/>
          <w:szCs w:val="16"/>
          <w:color w:val="auto"/>
        </w:rPr>
        <w:t>103</w:t>
      </w:r>
    </w:p>
    <w:p>
      <w:pPr>
        <w:spacing w:after="0" w:line="79" w:lineRule="exact"/>
        <w:rPr>
          <w:rFonts w:ascii="Arial" w:cs="Arial" w:eastAsia="Arial" w:hAnsi="Arial"/>
          <w:sz w:val="16"/>
          <w:szCs w:val="16"/>
          <w:b w:val="1"/>
          <w:bCs w:val="1"/>
          <w:color w:val="auto"/>
        </w:rPr>
      </w:pPr>
    </w:p>
    <w:p>
      <w:pPr>
        <w:ind w:left="52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18,951</w:t>
      </w:r>
      <w:r>
        <w:rPr>
          <w:rFonts w:ascii="Arial" w:cs="Arial" w:eastAsia="Arial" w:hAnsi="Arial"/>
          <w:sz w:val="16"/>
          <w:szCs w:val="16"/>
          <w:color w:val="auto"/>
        </w:rPr>
        <w:t>91,901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31750</wp:posOffset>
            </wp:positionV>
            <wp:extent cx="15176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-147320</wp:posOffset>
            </wp:positionV>
            <wp:extent cx="15176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50" w:lineRule="exact"/>
        <w:rPr>
          <w:sz w:val="20"/>
          <w:szCs w:val="20"/>
          <w:color w:val="auto"/>
        </w:rPr>
      </w:pPr>
    </w:p>
    <w:p>
      <w:pPr>
        <w:ind w:left="520"/>
        <w:spacing w:after="0"/>
        <w:tabs>
          <w:tab w:leader="none" w:pos="2060" w:val="left"/>
        </w:tabs>
        <w:rPr>
          <w:sz w:val="20"/>
          <w:szCs w:val="20"/>
          <w:color w:val="auto"/>
        </w:rPr>
      </w:pPr>
      <w:r>
        <w:rPr>
          <w:rFonts w:ascii="Arial" w:cs="Arial" w:eastAsia="Arial" w:hAnsi="Arial"/>
          <w:sz w:val="16"/>
          <w:szCs w:val="16"/>
          <w:b w:val="1"/>
          <w:bCs w:val="1"/>
          <w:color w:val="auto"/>
        </w:rPr>
        <w:t>49,635</w:t>
      </w:r>
      <w:r>
        <w:rPr>
          <w:sz w:val="20"/>
          <w:szCs w:val="20"/>
          <w:color w:val="auto"/>
        </w:rPr>
        <w:tab/>
      </w:r>
      <w:r>
        <w:rPr>
          <w:rFonts w:ascii="Arial" w:cs="Arial" w:eastAsia="Arial" w:hAnsi="Arial"/>
          <w:sz w:val="16"/>
          <w:szCs w:val="16"/>
          <w:color w:val="auto"/>
        </w:rPr>
        <w:t>—</w:t>
      </w:r>
    </w:p>
    <w:p>
      <w:pPr>
        <w:spacing w:after="0" w:line="86" w:lineRule="exact"/>
        <w:rPr>
          <w:sz w:val="20"/>
          <w:szCs w:val="20"/>
          <w:color w:val="auto"/>
        </w:rPr>
      </w:pPr>
    </w:p>
    <w:p>
      <w:pPr>
        <w:ind w:left="460"/>
        <w:spacing w:after="0"/>
        <w:tabs>
          <w:tab w:leader="none" w:pos="2060" w:val="left"/>
        </w:tabs>
        <w:rPr>
          <w:sz w:val="20"/>
          <w:szCs w:val="20"/>
          <w:color w:val="auto"/>
        </w:rPr>
      </w:pPr>
      <w:r>
        <w:rPr>
          <w:rFonts w:ascii="Arial" w:cs="Arial" w:eastAsia="Arial" w:hAnsi="Arial"/>
          <w:sz w:val="16"/>
          <w:szCs w:val="16"/>
          <w:b w:val="1"/>
          <w:bCs w:val="1"/>
          <w:color w:val="auto"/>
        </w:rPr>
        <w:t>(20,000)</w:t>
      </w:r>
      <w:r>
        <w:rPr>
          <w:sz w:val="20"/>
          <w:szCs w:val="20"/>
          <w:color w:val="auto"/>
        </w:rPr>
        <w:tab/>
      </w:r>
      <w:r>
        <w:rPr>
          <w:rFonts w:ascii="Arial" w:cs="Arial" w:eastAsia="Arial" w:hAnsi="Arial"/>
          <w:sz w:val="16"/>
          <w:szCs w:val="16"/>
          <w:color w:val="auto"/>
        </w:rPr>
        <w:t>—</w:t>
      </w:r>
    </w:p>
    <w:p>
      <w:pPr>
        <w:spacing w:after="0" w:line="86" w:lineRule="exact"/>
        <w:rPr>
          <w:sz w:val="20"/>
          <w:szCs w:val="20"/>
          <w:color w:val="auto"/>
        </w:rPr>
      </w:pPr>
    </w:p>
    <w:p>
      <w:pPr>
        <w:ind w:left="460"/>
        <w:spacing w:after="0"/>
        <w:tabs>
          <w:tab w:leader="none" w:pos="1820" w:val="left"/>
        </w:tabs>
        <w:rPr>
          <w:sz w:val="20"/>
          <w:szCs w:val="20"/>
          <w:color w:val="auto"/>
        </w:rPr>
      </w:pPr>
      <w:r>
        <w:rPr>
          <w:rFonts w:ascii="Arial" w:cs="Arial" w:eastAsia="Arial" w:hAnsi="Arial"/>
          <w:sz w:val="16"/>
          <w:szCs w:val="16"/>
          <w:b w:val="1"/>
          <w:bCs w:val="1"/>
          <w:color w:val="auto"/>
        </w:rPr>
        <w:t>(17,890)</w:t>
      </w:r>
      <w:r>
        <w:rPr>
          <w:sz w:val="20"/>
          <w:szCs w:val="20"/>
          <w:color w:val="auto"/>
        </w:rPr>
        <w:tab/>
      </w:r>
      <w:r>
        <w:rPr>
          <w:rFonts w:ascii="Arial" w:cs="Arial" w:eastAsia="Arial" w:hAnsi="Arial"/>
          <w:sz w:val="16"/>
          <w:szCs w:val="16"/>
          <w:color w:val="auto"/>
        </w:rPr>
        <w:t>1,748</w:t>
      </w:r>
    </w:p>
    <w:p>
      <w:pPr>
        <w:spacing w:after="0" w:line="86" w:lineRule="exact"/>
        <w:rPr>
          <w:sz w:val="20"/>
          <w:szCs w:val="20"/>
          <w:color w:val="auto"/>
        </w:rPr>
      </w:pPr>
    </w:p>
    <w:p>
      <w:pPr>
        <w:jc w:val="both"/>
        <w:ind w:left="460"/>
        <w:spacing w:after="0"/>
        <w:tabs>
          <w:tab w:leader="none" w:pos="1680" w:val="left"/>
        </w:tabs>
        <w:rPr>
          <w:sz w:val="20"/>
          <w:szCs w:val="20"/>
          <w:color w:val="auto"/>
        </w:rPr>
      </w:pPr>
      <w:r>
        <w:rPr>
          <w:rFonts w:ascii="Arial" w:cs="Arial" w:eastAsia="Arial" w:hAnsi="Arial"/>
          <w:sz w:val="16"/>
          <w:szCs w:val="16"/>
          <w:b w:val="1"/>
          <w:bCs w:val="1"/>
          <w:color w:val="auto"/>
        </w:rPr>
        <w:t>(17,506)</w:t>
      </w:r>
      <w:r>
        <w:rPr>
          <w:sz w:val="20"/>
          <w:szCs w:val="20"/>
          <w:color w:val="auto"/>
        </w:rPr>
        <w:tab/>
      </w:r>
      <w:r>
        <w:rPr>
          <w:rFonts w:ascii="Arial" w:cs="Arial" w:eastAsia="Arial" w:hAnsi="Arial"/>
          <w:sz w:val="16"/>
          <w:szCs w:val="16"/>
          <w:color w:val="auto"/>
        </w:rPr>
        <w:t>(15,664)</w:t>
      </w:r>
    </w:p>
    <w:p>
      <w:pPr>
        <w:spacing w:after="0" w:line="86" w:lineRule="exact"/>
        <w:rPr>
          <w:sz w:val="20"/>
          <w:szCs w:val="20"/>
          <w:color w:val="auto"/>
        </w:rPr>
      </w:pPr>
    </w:p>
    <w:p>
      <w:pPr>
        <w:jc w:val="both"/>
        <w:ind w:left="560"/>
        <w:spacing w:after="0"/>
        <w:tabs>
          <w:tab w:leader="none" w:pos="1900" w:val="left"/>
        </w:tabs>
        <w:rPr>
          <w:sz w:val="20"/>
          <w:szCs w:val="20"/>
          <w:color w:val="auto"/>
        </w:rPr>
      </w:pPr>
      <w:r>
        <w:rPr>
          <w:rFonts w:ascii="Arial" w:cs="Arial" w:eastAsia="Arial" w:hAnsi="Arial"/>
          <w:sz w:val="16"/>
          <w:szCs w:val="16"/>
          <w:b w:val="1"/>
          <w:bCs w:val="1"/>
          <w:color w:val="auto"/>
        </w:rPr>
        <w:t>(4,552)</w:t>
      </w:r>
      <w:r>
        <w:rPr>
          <w:sz w:val="20"/>
          <w:szCs w:val="20"/>
          <w:color w:val="auto"/>
        </w:rPr>
        <w:tab/>
      </w:r>
      <w:r>
        <w:rPr>
          <w:rFonts w:ascii="Arial" w:cs="Arial" w:eastAsia="Arial" w:hAnsi="Arial"/>
          <w:sz w:val="16"/>
          <w:szCs w:val="16"/>
          <w:color w:val="auto"/>
        </w:rPr>
        <w:t>(865)</w:t>
      </w:r>
    </w:p>
    <w:p>
      <w:pPr>
        <w:spacing w:after="0" w:line="86" w:lineRule="exact"/>
        <w:rPr>
          <w:sz w:val="20"/>
          <w:szCs w:val="20"/>
          <w:color w:val="auto"/>
        </w:rPr>
      </w:pPr>
    </w:p>
    <w:p>
      <w:pPr>
        <w:jc w:val="both"/>
        <w:ind w:left="560"/>
        <w:spacing w:after="0"/>
        <w:tabs>
          <w:tab w:leader="none" w:pos="1680" w:val="left"/>
        </w:tabs>
        <w:rPr>
          <w:sz w:val="20"/>
          <w:szCs w:val="20"/>
          <w:color w:val="auto"/>
        </w:rPr>
      </w:pPr>
      <w:r>
        <w:rPr>
          <w:rFonts w:ascii="Arial" w:cs="Arial" w:eastAsia="Arial" w:hAnsi="Arial"/>
          <w:sz w:val="16"/>
          <w:szCs w:val="16"/>
          <w:b w:val="1"/>
          <w:bCs w:val="1"/>
          <w:color w:val="auto"/>
        </w:rPr>
        <w:t>(2,619)</w:t>
      </w:r>
      <w:r>
        <w:rPr>
          <w:sz w:val="20"/>
          <w:szCs w:val="20"/>
          <w:color w:val="auto"/>
        </w:rPr>
        <w:tab/>
      </w:r>
      <w:r>
        <w:rPr>
          <w:rFonts w:ascii="Arial" w:cs="Arial" w:eastAsia="Arial" w:hAnsi="Arial"/>
          <w:sz w:val="16"/>
          <w:szCs w:val="16"/>
          <w:color w:val="auto"/>
        </w:rPr>
        <w:t>(85,415)</w:t>
      </w:r>
    </w:p>
    <w:p>
      <w:pPr>
        <w:spacing w:after="0" w:line="86" w:lineRule="exact"/>
        <w:rPr>
          <w:sz w:val="20"/>
          <w:szCs w:val="20"/>
          <w:color w:val="auto"/>
        </w:rPr>
      </w:pPr>
    </w:p>
    <w:p>
      <w:pPr>
        <w:ind w:left="600"/>
        <w:spacing w:after="0"/>
        <w:tabs>
          <w:tab w:leader="none" w:pos="1960" w:val="left"/>
        </w:tabs>
        <w:rPr>
          <w:sz w:val="20"/>
          <w:szCs w:val="20"/>
          <w:color w:val="auto"/>
        </w:rPr>
      </w:pPr>
      <w:r>
        <w:rPr>
          <w:rFonts w:ascii="Arial" w:cs="Arial" w:eastAsia="Arial" w:hAnsi="Arial"/>
          <w:sz w:val="16"/>
          <w:szCs w:val="16"/>
          <w:b w:val="1"/>
          <w:bCs w:val="1"/>
          <w:color w:val="auto"/>
        </w:rPr>
        <w:t>1,402</w:t>
      </w:r>
      <w:r>
        <w:rPr>
          <w:sz w:val="20"/>
          <w:szCs w:val="20"/>
          <w:color w:val="auto"/>
        </w:rPr>
        <w:tab/>
      </w:r>
      <w:r>
        <w:rPr>
          <w:rFonts w:ascii="Arial" w:cs="Arial" w:eastAsia="Arial" w:hAnsi="Arial"/>
          <w:sz w:val="16"/>
          <w:szCs w:val="16"/>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31750</wp:posOffset>
            </wp:positionV>
            <wp:extent cx="15176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80" w:lineRule="exact"/>
        <w:rPr>
          <w:sz w:val="20"/>
          <w:szCs w:val="20"/>
          <w:color w:val="auto"/>
        </w:rPr>
      </w:pPr>
    </w:p>
    <w:p>
      <w:pPr>
        <w:jc w:val="both"/>
        <w:ind w:left="460"/>
        <w:spacing w:after="0"/>
        <w:tabs>
          <w:tab w:leader="none" w:pos="1680" w:val="left"/>
        </w:tabs>
        <w:rPr>
          <w:sz w:val="20"/>
          <w:szCs w:val="20"/>
          <w:color w:val="auto"/>
        </w:rPr>
      </w:pPr>
      <w:r>
        <w:rPr>
          <w:rFonts w:ascii="Arial" w:cs="Arial" w:eastAsia="Arial" w:hAnsi="Arial"/>
          <w:sz w:val="16"/>
          <w:szCs w:val="16"/>
          <w:b w:val="1"/>
          <w:bCs w:val="1"/>
          <w:color w:val="auto"/>
        </w:rPr>
        <w:t>(11,530)</w:t>
      </w:r>
      <w:r>
        <w:rPr>
          <w:sz w:val="20"/>
          <w:szCs w:val="20"/>
          <w:color w:val="auto"/>
        </w:rPr>
        <w:tab/>
      </w:r>
      <w:r>
        <w:rPr>
          <w:rFonts w:ascii="Arial" w:cs="Arial" w:eastAsia="Arial" w:hAnsi="Arial"/>
          <w:sz w:val="16"/>
          <w:szCs w:val="16"/>
          <w:color w:val="auto"/>
        </w:rPr>
        <w:t>(99,996)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31750</wp:posOffset>
            </wp:positionV>
            <wp:extent cx="15176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50" w:lineRule="exact"/>
        <w:rPr>
          <w:sz w:val="20"/>
          <w:szCs w:val="20"/>
          <w:color w:val="auto"/>
        </w:rPr>
      </w:pPr>
    </w:p>
    <w:p>
      <w:pPr>
        <w:jc w:val="both"/>
        <w:ind w:left="460"/>
        <w:spacing w:after="0"/>
        <w:tabs>
          <w:tab w:leader="none" w:pos="1900" w:val="left"/>
        </w:tabs>
        <w:rPr>
          <w:sz w:val="20"/>
          <w:szCs w:val="20"/>
          <w:color w:val="auto"/>
        </w:rPr>
      </w:pPr>
      <w:r>
        <w:rPr>
          <w:rFonts w:ascii="Arial" w:cs="Arial" w:eastAsia="Arial" w:hAnsi="Arial"/>
          <w:sz w:val="16"/>
          <w:szCs w:val="16"/>
          <w:b w:val="1"/>
          <w:bCs w:val="1"/>
          <w:color w:val="auto"/>
        </w:rPr>
        <w:t>(79,001)</w:t>
      </w:r>
      <w:r>
        <w:rPr>
          <w:sz w:val="20"/>
          <w:szCs w:val="20"/>
          <w:color w:val="auto"/>
        </w:rPr>
        <w:tab/>
      </w:r>
      <w:r>
        <w:rPr>
          <w:rFonts w:ascii="Arial" w:cs="Arial" w:eastAsia="Arial" w:hAnsi="Arial"/>
          <w:sz w:val="16"/>
          <w:szCs w:val="16"/>
          <w:color w:val="auto"/>
        </w:rPr>
        <w:t>(395)</w:t>
      </w:r>
    </w:p>
    <w:p>
      <w:pPr>
        <w:spacing w:after="0" w:line="86" w:lineRule="exact"/>
        <w:rPr>
          <w:sz w:val="20"/>
          <w:szCs w:val="20"/>
          <w:color w:val="auto"/>
        </w:rPr>
      </w:pPr>
    </w:p>
    <w:p>
      <w:pPr>
        <w:jc w:val="both"/>
        <w:ind w:left="560"/>
        <w:spacing w:after="0"/>
        <w:tabs>
          <w:tab w:leader="none" w:pos="1780" w:val="left"/>
        </w:tabs>
        <w:rPr>
          <w:sz w:val="20"/>
          <w:szCs w:val="20"/>
          <w:color w:val="auto"/>
        </w:rPr>
      </w:pPr>
      <w:r>
        <w:rPr>
          <w:rFonts w:ascii="Arial" w:cs="Arial" w:eastAsia="Arial" w:hAnsi="Arial"/>
          <w:sz w:val="16"/>
          <w:szCs w:val="16"/>
          <w:b w:val="1"/>
          <w:bCs w:val="1"/>
          <w:color w:val="auto"/>
        </w:rPr>
        <w:t>(7,319)</w:t>
      </w:r>
      <w:r>
        <w:rPr>
          <w:sz w:val="20"/>
          <w:szCs w:val="20"/>
          <w:color w:val="auto"/>
        </w:rPr>
        <w:tab/>
      </w:r>
      <w:r>
        <w:rPr>
          <w:rFonts w:ascii="Arial" w:cs="Arial" w:eastAsia="Arial" w:hAnsi="Arial"/>
          <w:sz w:val="16"/>
          <w:szCs w:val="16"/>
          <w:color w:val="auto"/>
        </w:rPr>
        <w:t>(7,102)</w:t>
      </w:r>
    </w:p>
    <w:p>
      <w:pPr>
        <w:spacing w:after="0" w:line="106" w:lineRule="exact"/>
        <w:rPr>
          <w:sz w:val="20"/>
          <w:szCs w:val="20"/>
          <w:color w:val="auto"/>
        </w:rPr>
      </w:pPr>
    </w:p>
    <w:p>
      <w:pPr>
        <w:ind w:left="2080" w:hanging="1341"/>
        <w:spacing w:after="0"/>
        <w:tabs>
          <w:tab w:leader="none" w:pos="2080" w:val="left"/>
        </w:tabs>
        <w:numPr>
          <w:ilvl w:val="0"/>
          <w:numId w:val="5"/>
        </w:numPr>
        <w:rPr>
          <w:rFonts w:ascii="Arial" w:cs="Arial" w:eastAsia="Arial" w:hAnsi="Arial"/>
          <w:sz w:val="16"/>
          <w:szCs w:val="16"/>
          <w:b w:val="1"/>
          <w:bCs w:val="1"/>
          <w:color w:val="auto"/>
        </w:rPr>
      </w:pPr>
      <w:r>
        <w:rPr>
          <w:rFonts w:ascii="Arial" w:cs="Arial" w:eastAsia="Arial" w:hAnsi="Arial"/>
          <w:sz w:val="16"/>
          <w:szCs w:val="16"/>
          <w:color w:val="auto"/>
        </w:rPr>
        <w:t>—</w:t>
      </w:r>
    </w:p>
    <w:p>
      <w:pPr>
        <w:spacing w:after="0" w:line="66" w:lineRule="exact"/>
        <w:rPr>
          <w:rFonts w:ascii="Arial" w:cs="Arial" w:eastAsia="Arial" w:hAnsi="Arial"/>
          <w:sz w:val="16"/>
          <w:szCs w:val="16"/>
          <w:b w:val="1"/>
          <w:bCs w:val="1"/>
          <w:color w:val="auto"/>
        </w:rPr>
      </w:pPr>
    </w:p>
    <w:p>
      <w:pPr>
        <w:ind w:left="56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(4,797)</w:t>
      </w:r>
      <w:r>
        <w:rPr>
          <w:rFonts w:ascii="Arial" w:cs="Arial" w:eastAsia="Arial" w:hAnsi="Arial"/>
          <w:sz w:val="15"/>
          <w:szCs w:val="15"/>
          <w:color w:val="auto"/>
        </w:rPr>
        <w:t>(2,092)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31750</wp:posOffset>
            </wp:positionV>
            <wp:extent cx="15176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80" w:lineRule="exact"/>
        <w:rPr>
          <w:sz w:val="20"/>
          <w:szCs w:val="20"/>
          <w:color w:val="auto"/>
        </w:rPr>
      </w:pPr>
    </w:p>
    <w:p>
      <w:pPr>
        <w:jc w:val="both"/>
        <w:ind w:left="460"/>
        <w:spacing w:after="0"/>
        <w:tabs>
          <w:tab w:leader="none" w:pos="1780" w:val="left"/>
        </w:tabs>
        <w:rPr>
          <w:sz w:val="20"/>
          <w:szCs w:val="20"/>
          <w:color w:val="auto"/>
        </w:rPr>
      </w:pPr>
      <w:r>
        <w:rPr>
          <w:rFonts w:ascii="Arial" w:cs="Arial" w:eastAsia="Arial" w:hAnsi="Arial"/>
          <w:sz w:val="16"/>
          <w:szCs w:val="16"/>
          <w:b w:val="1"/>
          <w:bCs w:val="1"/>
          <w:color w:val="auto"/>
        </w:rPr>
        <w:t>(90,973)</w:t>
      </w:r>
      <w:r>
        <w:rPr>
          <w:sz w:val="20"/>
          <w:szCs w:val="20"/>
          <w:color w:val="auto"/>
        </w:rPr>
        <w:tab/>
      </w:r>
      <w:r>
        <w:rPr>
          <w:rFonts w:ascii="Arial" w:cs="Arial" w:eastAsia="Arial" w:hAnsi="Arial"/>
          <w:sz w:val="16"/>
          <w:szCs w:val="16"/>
          <w:color w:val="auto"/>
        </w:rPr>
        <w:t>(9,589)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31750</wp:posOffset>
            </wp:positionV>
            <wp:extent cx="15176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80" w:lineRule="exact"/>
        <w:rPr>
          <w:sz w:val="20"/>
          <w:szCs w:val="20"/>
          <w:color w:val="auto"/>
        </w:rPr>
      </w:pPr>
    </w:p>
    <w:p>
      <w:pPr>
        <w:ind w:left="600"/>
        <w:spacing w:after="0"/>
        <w:tabs>
          <w:tab w:leader="none" w:pos="1820" w:val="left"/>
        </w:tabs>
        <w:rPr>
          <w:sz w:val="20"/>
          <w:szCs w:val="20"/>
          <w:color w:val="auto"/>
        </w:rPr>
      </w:pPr>
      <w:r>
        <w:rPr>
          <w:rFonts w:ascii="Arial" w:cs="Arial" w:eastAsia="Arial" w:hAnsi="Arial"/>
          <w:sz w:val="16"/>
          <w:szCs w:val="16"/>
          <w:b w:val="1"/>
          <w:bCs w:val="1"/>
          <w:color w:val="auto"/>
        </w:rPr>
        <w:t>4,171</w:t>
      </w:r>
      <w:r>
        <w:rPr>
          <w:sz w:val="20"/>
          <w:szCs w:val="20"/>
          <w:color w:val="auto"/>
        </w:rPr>
        <w:tab/>
      </w:r>
      <w:r>
        <w:rPr>
          <w:rFonts w:ascii="Arial" w:cs="Arial" w:eastAsia="Arial" w:hAnsi="Arial"/>
          <w:sz w:val="16"/>
          <w:szCs w:val="16"/>
          <w:color w:val="auto"/>
        </w:rPr>
        <w:t>4,210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31750</wp:posOffset>
            </wp:positionV>
            <wp:extent cx="15176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80" w:lineRule="exact"/>
        <w:rPr>
          <w:sz w:val="20"/>
          <w:szCs w:val="20"/>
          <w:color w:val="auto"/>
        </w:rPr>
      </w:pPr>
    </w:p>
    <w:p>
      <w:pPr>
        <w:jc w:val="both"/>
        <w:ind w:left="460"/>
        <w:spacing w:after="0"/>
        <w:tabs>
          <w:tab w:leader="none" w:pos="1680" w:val="left"/>
        </w:tabs>
        <w:rPr>
          <w:sz w:val="20"/>
          <w:szCs w:val="20"/>
          <w:color w:val="auto"/>
        </w:rPr>
      </w:pPr>
      <w:r>
        <w:rPr>
          <w:rFonts w:ascii="Arial" w:cs="Arial" w:eastAsia="Arial" w:hAnsi="Arial"/>
          <w:sz w:val="16"/>
          <w:szCs w:val="16"/>
          <w:b w:val="1"/>
          <w:bCs w:val="1"/>
          <w:color w:val="auto"/>
        </w:rPr>
        <w:t>(79,381)</w:t>
      </w:r>
      <w:r>
        <w:rPr>
          <w:sz w:val="20"/>
          <w:szCs w:val="20"/>
          <w:color w:val="auto"/>
        </w:rPr>
        <w:tab/>
      </w:r>
      <w:r>
        <w:rPr>
          <w:rFonts w:ascii="Arial" w:cs="Arial" w:eastAsia="Arial" w:hAnsi="Arial"/>
          <w:sz w:val="16"/>
          <w:szCs w:val="16"/>
          <w:color w:val="auto"/>
        </w:rPr>
        <w:t>(13,474)</w:t>
      </w:r>
    </w:p>
    <w:p>
      <w:pPr>
        <w:spacing w:after="0" w:line="86" w:lineRule="exact"/>
        <w:rPr>
          <w:sz w:val="20"/>
          <w:szCs w:val="20"/>
          <w:color w:val="auto"/>
        </w:rPr>
      </w:pPr>
    </w:p>
    <w:p>
      <w:pPr>
        <w:ind w:left="420"/>
        <w:spacing w:after="0"/>
        <w:tabs>
          <w:tab w:leader="none" w:pos="1640" w:val="left"/>
        </w:tabs>
        <w:rPr>
          <w:sz w:val="20"/>
          <w:szCs w:val="20"/>
          <w:color w:val="auto"/>
        </w:rPr>
      </w:pPr>
      <w:r>
        <w:rPr>
          <w:rFonts w:ascii="Arial" w:cs="Arial" w:eastAsia="Arial" w:hAnsi="Arial"/>
          <w:sz w:val="16"/>
          <w:szCs w:val="16"/>
          <w:b w:val="1"/>
          <w:bCs w:val="1"/>
          <w:color w:val="auto"/>
        </w:rPr>
        <w:t>407,566</w:t>
      </w:r>
      <w:r>
        <w:rPr>
          <w:sz w:val="20"/>
          <w:szCs w:val="20"/>
          <w:color w:val="auto"/>
        </w:rPr>
        <w:tab/>
      </w:r>
      <w:r>
        <w:rPr>
          <w:rFonts w:ascii="Arial" w:cs="Arial" w:eastAsia="Arial" w:hAnsi="Arial"/>
          <w:sz w:val="16"/>
          <w:szCs w:val="16"/>
          <w:color w:val="auto"/>
        </w:rPr>
        <w:t>670,816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31750</wp:posOffset>
            </wp:positionV>
            <wp:extent cx="15176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80" w:lineRule="exact"/>
        <w:rPr>
          <w:sz w:val="20"/>
          <w:szCs w:val="20"/>
          <w:color w:val="auto"/>
        </w:rPr>
      </w:pPr>
    </w:p>
    <w:p>
      <w:pPr>
        <w:spacing w:after="0"/>
        <w:tabs>
          <w:tab w:leader="none" w:pos="400" w:val="left"/>
          <w:tab w:leader="none" w:pos="1240" w:val="left"/>
          <w:tab w:leader="none" w:pos="164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b w:val="1"/>
          <w:bCs w:val="1"/>
          <w:color w:val="auto"/>
        </w:rPr>
        <w:t>328,185</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657,342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31750</wp:posOffset>
            </wp:positionV>
            <wp:extent cx="15176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48895</wp:posOffset>
            </wp:positionV>
            <wp:extent cx="15176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2">
            <w:col w:w="8340" w:space="720"/>
            <w:col w:w="2360"/>
          </w:cols>
          <w:pgMar w:left="240" w:top="711" w:right="239" w:bottom="1440" w:gutter="0" w:footer="0" w:header="0"/>
          <w:type w:val="continuous"/>
        </w:sectPr>
      </w:pPr>
    </w:p>
    <w:bookmarkStart w:id="7" w:name="page8"/>
    <w:bookmarkEnd w:id="7"/>
    <w:p>
      <w:pPr>
        <w:ind w:left="4340"/>
        <w:spacing w:after="0"/>
        <w:rPr>
          <w:sz w:val="20"/>
          <w:szCs w:val="20"/>
          <w:color w:val="auto"/>
        </w:rPr>
      </w:pPr>
      <w:r>
        <w:rPr>
          <w:rFonts w:ascii="Arial" w:cs="Arial" w:eastAsia="Arial" w:hAnsi="Arial"/>
          <w:sz w:val="18"/>
          <w:szCs w:val="18"/>
          <w:b w:val="1"/>
          <w:bCs w:val="1"/>
          <w:color w:val="auto"/>
        </w:rPr>
        <w:t>GRAHAM HOLDINGS COMPANY</w:t>
      </w:r>
    </w:p>
    <w:p>
      <w:pPr>
        <w:spacing w:after="0" w:line="144"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4"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(UNAUDITED)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BASIS OF PRESENTATION AND RECENT ACCOUNTING PRONOUNCEMENTS</w:t>
      </w:r>
    </w:p>
    <w:p>
      <w:pPr>
        <w:spacing w:after="0" w:line="166"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Graham Holdings Company (the Company), is a diversified education and media company. The Company’s Kaplan subsidiary provides a wide variety of educational services, both domestically and outside the United States. The Company’s media operations comprise the ownership and operation of seven television broadcasting stations, several websites and print publications, and a marketing solutions provider. The Company’s other business operations include manufacturing and home health and hospice services.</w:t>
      </w:r>
    </w:p>
    <w:p>
      <w:pPr>
        <w:spacing w:after="0" w:line="135" w:lineRule="exact"/>
        <w:rPr>
          <w:sz w:val="20"/>
          <w:szCs w:val="20"/>
          <w:color w:val="auto"/>
        </w:rPr>
      </w:pPr>
    </w:p>
    <w:p>
      <w:pPr>
        <w:jc w:val="both"/>
        <w:ind w:right="320"/>
        <w:spacing w:after="0" w:line="229" w:lineRule="auto"/>
        <w:rPr>
          <w:sz w:val="20"/>
          <w:szCs w:val="20"/>
          <w:color w:val="auto"/>
        </w:rPr>
      </w:pPr>
      <w:r>
        <w:rPr>
          <w:rFonts w:ascii="Arial" w:cs="Arial" w:eastAsia="Arial" w:hAnsi="Arial"/>
          <w:sz w:val="18"/>
          <w:szCs w:val="18"/>
          <w:color w:val="auto"/>
        </w:rPr>
        <w:t>On March 22, 2018, Kaplan completed the sale of the institutional assets and operations of Kaplan University (KU) to an Indiana non-profit, public-benefit corporation that is a subsidiary affiliated with Purdue University (Purdue) (see Note 2). The gain on the sale of the institutional assets of KU is included in other income, net, in the Condensed Consolidated Statement of Operations.</w:t>
      </w:r>
    </w:p>
    <w:p>
      <w:pPr>
        <w:spacing w:after="0" w:line="137" w:lineRule="exact"/>
        <w:rPr>
          <w:sz w:val="20"/>
          <w:szCs w:val="20"/>
          <w:color w:val="auto"/>
        </w:rPr>
      </w:pPr>
    </w:p>
    <w:p>
      <w:pPr>
        <w:ind w:right="160"/>
        <w:spacing w:after="0" w:line="225" w:lineRule="auto"/>
        <w:rPr>
          <w:sz w:val="20"/>
          <w:szCs w:val="20"/>
          <w:color w:val="auto"/>
        </w:rPr>
      </w:pPr>
      <w:r>
        <w:rPr>
          <w:rFonts w:ascii="Arial" w:cs="Arial" w:eastAsia="Arial" w:hAnsi="Arial"/>
          <w:sz w:val="18"/>
          <w:szCs w:val="18"/>
          <w:color w:val="auto"/>
        </w:rPr>
        <w:t>As a result of the transaction, Kaplan reorganized its higher education operations into the following two operating segments for the purpose of making operating decisions and assessing performance: Higher Education and Professional (U.S.) (see Note 16). The higher education segment comprises the historical KU for-profit postsecondary education business and the future non-academic operations support services provided to the new university, Purdue University Global. The Professional (U.S.) segment comprises the KU School of Professional and Continuing Education, which provides professional training and exam preparation for professional certifications and licensures.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color w:val="auto"/>
        </w:rPr>
        <w:t>– The accompanying condensed consolidated financial statements have been prepared in accordance with:</w:t>
      </w:r>
    </w:p>
    <w:p>
      <w:pPr>
        <w:ind w:left="220" w:hanging="212"/>
        <w:spacing w:after="0" w:line="223" w:lineRule="auto"/>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generally accepted accounting principles in the United States of America (GAAP) for interim financial information; (ii) the instructions to Form</w:t>
      </w:r>
    </w:p>
    <w:p>
      <w:pPr>
        <w:ind w:right="200"/>
        <w:spacing w:after="0" w:line="222" w:lineRule="auto"/>
        <w:rPr>
          <w:rFonts w:ascii="Arial" w:cs="Arial" w:eastAsia="Arial" w:hAnsi="Arial"/>
          <w:sz w:val="18"/>
          <w:szCs w:val="18"/>
          <w:color w:val="auto"/>
        </w:rPr>
      </w:pPr>
      <w:r>
        <w:rPr>
          <w:rFonts w:ascii="Arial" w:cs="Arial" w:eastAsia="Arial" w:hAnsi="Arial"/>
          <w:sz w:val="18"/>
          <w:szCs w:val="18"/>
          <w:color w:val="auto"/>
        </w:rPr>
        <w:t>10-Q; and (iii) the guidance of Rule 10-01 of Regulation S-X under the Securities and Exchange Act of 1934, as amended, for financial statements required to be filed with the Securities and Exchange Commission (SEC). They include the assets, liabilities, results of operations and cash flows of the Company, including its domestic and foreign subsidiaries that are more than 50% owned or otherwise controlled by the Company. As permitted under such rules, certain notes and other financial information normally required by GAAP have been condensed or omitted. Management believes the accompanying condensed consolidated financial statements reflect all normal and recurring adjustments necessary for a fair statement of the Company’s financial position, results of operations, and cash flows as of and for the periods presented herein. The Company’s results of operations for the three months ended March 31, 2018 and 2017 may not be indicative of the Company’s future results. These condensed consolidated financial statements are unaudited and should be read in conjunction with the Company’s audited consolidated financial statements and the notes thereto included in the Company’s Annual Report on Form 10-K for the fiscal year ended December 31, 2017.</w:t>
      </w:r>
    </w:p>
    <w:p>
      <w:pPr>
        <w:spacing w:after="0" w:line="138"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The year-end condensed consolidated balance sheet data was derived from audited financial statements, but does not include all disclosures required by GAAP.</w:t>
      </w:r>
    </w:p>
    <w:p>
      <w:pPr>
        <w:spacing w:after="0" w:line="113" w:lineRule="exact"/>
        <w:rPr>
          <w:sz w:val="20"/>
          <w:szCs w:val="20"/>
          <w:color w:val="auto"/>
        </w:rPr>
      </w:pPr>
    </w:p>
    <w:p>
      <w:pPr>
        <w:ind w:right="120"/>
        <w:spacing w:after="0" w:line="230" w:lineRule="auto"/>
        <w:rPr>
          <w:sz w:val="20"/>
          <w:szCs w:val="20"/>
          <w:color w:val="auto"/>
        </w:rPr>
      </w:pPr>
      <w:r>
        <w:rPr>
          <w:rFonts w:ascii="Arial" w:cs="Arial" w:eastAsia="Arial" w:hAnsi="Arial"/>
          <w:sz w:val="18"/>
          <w:szCs w:val="18"/>
          <w:b w:val="1"/>
          <w:bCs w:val="1"/>
          <w:color w:val="auto"/>
        </w:rPr>
        <w:t xml:space="preserve">Use of Estimates in the Preparation of the Condensed Consolidated Financial Statements </w:t>
      </w:r>
      <w:r>
        <w:rPr>
          <w:rFonts w:ascii="Arial" w:cs="Arial" w:eastAsia="Arial" w:hAnsi="Arial"/>
          <w:sz w:val="18"/>
          <w:szCs w:val="18"/>
          <w:color w:val="auto"/>
        </w:rPr>
        <w:t>– The preparation of the condensed</w:t>
      </w:r>
      <w:r>
        <w:rPr>
          <w:rFonts w:ascii="Arial" w:cs="Arial" w:eastAsia="Arial" w:hAnsi="Arial"/>
          <w:sz w:val="18"/>
          <w:szCs w:val="18"/>
          <w:b w:val="1"/>
          <w:bCs w:val="1"/>
          <w:color w:val="auto"/>
        </w:rPr>
        <w:t xml:space="preserve"> </w:t>
      </w:r>
      <w:r>
        <w:rPr>
          <w:rFonts w:ascii="Arial" w:cs="Arial" w:eastAsia="Arial" w:hAnsi="Arial"/>
          <w:sz w:val="18"/>
          <w:szCs w:val="18"/>
          <w:color w:val="auto"/>
        </w:rPr>
        <w:t>consolidated financial statements in conformity with GAAP requires management to make estimates and judgments that affect the amounts reported herein. Management bases its estimates and assumptions on historical experience and on various other factors that are believed to be reasonable under the circumstances. Due to the inherent uncertainty involved in making estimates, actual results reported in future periods may be affected by changes in those estimates.</w:t>
      </w:r>
    </w:p>
    <w:p>
      <w:pPr>
        <w:spacing w:after="0" w:line="116" w:lineRule="exact"/>
        <w:rPr>
          <w:sz w:val="20"/>
          <w:szCs w:val="20"/>
          <w:color w:val="auto"/>
        </w:rPr>
      </w:pPr>
    </w:p>
    <w:p>
      <w:pPr>
        <w:ind w:right="40"/>
        <w:spacing w:after="0" w:line="225" w:lineRule="auto"/>
        <w:rPr>
          <w:sz w:val="20"/>
          <w:szCs w:val="20"/>
          <w:color w:val="auto"/>
        </w:rPr>
      </w:pPr>
      <w:r>
        <w:rPr>
          <w:rFonts w:ascii="Arial" w:cs="Arial" w:eastAsia="Arial" w:hAnsi="Arial"/>
          <w:sz w:val="18"/>
          <w:szCs w:val="18"/>
          <w:b w:val="1"/>
          <w:bCs w:val="1"/>
          <w:color w:val="auto"/>
        </w:rPr>
        <w:t xml:space="preserve">Recently Adopted and Issued Accounting Pronouncements </w:t>
      </w:r>
      <w:r>
        <w:rPr>
          <w:rFonts w:ascii="Arial" w:cs="Arial" w:eastAsia="Arial" w:hAnsi="Arial"/>
          <w:sz w:val="18"/>
          <w:szCs w:val="18"/>
          <w:color w:val="auto"/>
        </w:rPr>
        <w:t>– In May 2014, the Financial Accounting Standards Board (FASB) issued</w:t>
      </w:r>
      <w:r>
        <w:rPr>
          <w:rFonts w:ascii="Arial" w:cs="Arial" w:eastAsia="Arial" w:hAnsi="Arial"/>
          <w:sz w:val="18"/>
          <w:szCs w:val="18"/>
          <w:b w:val="1"/>
          <w:bCs w:val="1"/>
          <w:color w:val="auto"/>
        </w:rPr>
        <w:t xml:space="preserve"> </w:t>
      </w:r>
      <w:r>
        <w:rPr>
          <w:rFonts w:ascii="Arial" w:cs="Arial" w:eastAsia="Arial" w:hAnsi="Arial"/>
          <w:sz w:val="18"/>
          <w:szCs w:val="18"/>
          <w:color w:val="auto"/>
        </w:rPr>
        <w:t>comprehensive new guidance that supersedes all existing revenue recognition guidance. In August 2015, the FASB issued an amendment to the guidance that defers the effective date by one year. The new guidance requires revenue to be recognized when the Company transfers promised goods or services to customers in an amount that reflects the consideration to which the Company expects to be entitled in exchange for those goods or services. The new guidance also significantly expands the disclosure requirements for revenue recognition. The guidance is effective for interim and fiscal years beginning after December 15, 2017. The standard permits two implementation approaches, full retrospective, requiring retrospective application of the new guidance with a restatement of prior years, or modified retrospective, requiring prospective application of the new guidance with disclosure of results under the old guidance in the first year of adoption. The Company adopted the new guidance on January 1, 2018 using the modified retrospective approach for contracts not completed as of the adoption date.</w:t>
      </w:r>
    </w:p>
    <w:p>
      <w:pPr>
        <w:spacing w:after="0" w:line="139" w:lineRule="exact"/>
        <w:rPr>
          <w:sz w:val="20"/>
          <w:szCs w:val="20"/>
          <w:color w:val="auto"/>
        </w:rPr>
      </w:pPr>
    </w:p>
    <w:p>
      <w:pPr>
        <w:ind w:right="360"/>
        <w:spacing w:after="0" w:line="235" w:lineRule="auto"/>
        <w:rPr>
          <w:sz w:val="20"/>
          <w:szCs w:val="20"/>
          <w:color w:val="auto"/>
        </w:rPr>
      </w:pPr>
      <w:r>
        <w:rPr>
          <w:rFonts w:ascii="Arial" w:cs="Arial" w:eastAsia="Arial" w:hAnsi="Arial"/>
          <w:sz w:val="18"/>
          <w:szCs w:val="18"/>
          <w:color w:val="auto"/>
        </w:rPr>
        <w:t>Upon adoption of the new guidance, the Company recorded a net increase to the opening balance of retained earnings of $7.4 million. This adjustment was driven by changes in the timing of recognition of both revenues and</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697" w:right="239" w:bottom="1440" w:gutter="0" w:footer="0" w:header="0"/>
        </w:sectPr>
      </w:pPr>
    </w:p>
    <w:bookmarkStart w:id="8" w:name="page9"/>
    <w:bookmarkEnd w:id="8"/>
    <w:p>
      <w:pPr>
        <w:ind w:right="100"/>
        <w:spacing w:after="0" w:line="224" w:lineRule="auto"/>
        <w:rPr>
          <w:sz w:val="20"/>
          <w:szCs w:val="20"/>
          <w:color w:val="auto"/>
        </w:rPr>
      </w:pPr>
      <w:r>
        <w:rPr>
          <w:rFonts w:ascii="Arial" w:cs="Arial" w:eastAsia="Arial" w:hAnsi="Arial"/>
          <w:sz w:val="18"/>
          <w:szCs w:val="18"/>
          <w:color w:val="auto"/>
        </w:rPr>
        <w:t>expenses. A change in revenue recognition at a manufacturing business resulted in the acceleration of revenue and associated expenses as revenue is now recognized over time versus at a point in time. A change in the contract term at an education business resulted in a different revenue recognition pattern from previous recognition. Finally, the Company’s treatment of certain commissions paid to employees and agents at its education division changed. The Company previously expensed such commissions as incurred. Upon adoption of the new guidance, the Company capitalizes certain commission costs as an incremental cost of obtaining a contract and subsequently amortizes the cost as the tuition services are delivered to students.</w:t>
      </w:r>
    </w:p>
    <w:p>
      <w:pPr>
        <w:spacing w:after="0" w:line="137"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The cumulative effect of the changes to the Company's Condensed Consolidated Balance Sheet as a result of adopting the new guidance was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60" w:type="dxa"/>
            <w:vAlign w:val="bottom"/>
          </w:tcPr>
          <w:p>
            <w:pPr>
              <w:spacing w:after="0"/>
              <w:rPr>
                <w:sz w:val="14"/>
                <w:szCs w:val="14"/>
                <w:color w:val="auto"/>
              </w:rPr>
            </w:pPr>
          </w:p>
        </w:tc>
        <w:tc>
          <w:tcPr>
            <w:tcW w:w="3180" w:type="dxa"/>
            <w:vAlign w:val="bottom"/>
            <w:gridSpan w:val="2"/>
          </w:tcPr>
          <w:p>
            <w:pPr>
              <w:jc w:val="right"/>
              <w:spacing w:after="0"/>
              <w:rPr>
                <w:sz w:val="20"/>
                <w:szCs w:val="20"/>
                <w:color w:val="auto"/>
              </w:rPr>
            </w:pPr>
            <w:r>
              <w:rPr>
                <w:rFonts w:ascii="Arial" w:cs="Arial" w:eastAsia="Arial" w:hAnsi="Arial"/>
                <w:sz w:val="14"/>
                <w:szCs w:val="14"/>
                <w:b w:val="1"/>
                <w:bCs w:val="1"/>
                <w:color w:val="auto"/>
              </w:rPr>
              <w:t>Balance as of December</w:t>
            </w:r>
          </w:p>
        </w:tc>
        <w:tc>
          <w:tcPr>
            <w:tcW w:w="3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840" w:type="dxa"/>
            <w:vAlign w:val="bottom"/>
            <w:gridSpan w:val="2"/>
          </w:tcPr>
          <w:p>
            <w:pPr>
              <w:jc w:val="right"/>
              <w:spacing w:after="0"/>
              <w:rPr>
                <w:sz w:val="20"/>
                <w:szCs w:val="20"/>
                <w:color w:val="auto"/>
              </w:rPr>
            </w:pPr>
            <w:r>
              <w:rPr>
                <w:rFonts w:ascii="Arial" w:cs="Arial" w:eastAsia="Arial" w:hAnsi="Arial"/>
                <w:sz w:val="14"/>
                <w:szCs w:val="14"/>
                <w:b w:val="1"/>
                <w:bCs w:val="1"/>
                <w:color w:val="auto"/>
              </w:rPr>
              <w:t>Balance as of January 1,</w:t>
            </w:r>
          </w:p>
        </w:tc>
      </w:tr>
      <w:tr>
        <w:trPr>
          <w:trHeight w:val="196"/>
        </w:trPr>
        <w:tc>
          <w:tcPr>
            <w:tcW w:w="45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7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31, 2017</w:t>
            </w:r>
          </w:p>
        </w:tc>
        <w:tc>
          <w:tcPr>
            <w:tcW w:w="3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Adjustments</w:t>
            </w:r>
          </w:p>
        </w:tc>
        <w:tc>
          <w:tcPr>
            <w:tcW w:w="4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80"/>
              <w:spacing w:after="0"/>
              <w:rPr>
                <w:sz w:val="20"/>
                <w:szCs w:val="20"/>
                <w:color w:val="auto"/>
              </w:rPr>
            </w:pPr>
            <w:r>
              <w:rPr>
                <w:rFonts w:ascii="Arial" w:cs="Arial" w:eastAsia="Arial" w:hAnsi="Arial"/>
                <w:sz w:val="14"/>
                <w:szCs w:val="14"/>
                <w:b w:val="1"/>
                <w:bCs w:val="1"/>
                <w:color w:val="auto"/>
              </w:rPr>
              <w:t>2018</w:t>
            </w:r>
          </w:p>
        </w:tc>
      </w:tr>
      <w:tr>
        <w:trPr>
          <w:trHeight w:val="250"/>
        </w:trPr>
        <w:tc>
          <w:tcPr>
            <w:tcW w:w="456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17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43"/>
        </w:trPr>
        <w:tc>
          <w:tcPr>
            <w:tcW w:w="4560" w:type="dxa"/>
            <w:vAlign w:val="bottom"/>
          </w:tcPr>
          <w:p>
            <w:pPr>
              <w:ind w:left="280"/>
              <w:spacing w:after="0"/>
              <w:rPr>
                <w:sz w:val="20"/>
                <w:szCs w:val="20"/>
                <w:color w:val="auto"/>
              </w:rPr>
            </w:pPr>
            <w:r>
              <w:rPr>
                <w:rFonts w:ascii="Arial" w:cs="Arial" w:eastAsia="Arial" w:hAnsi="Arial"/>
                <w:sz w:val="16"/>
                <w:szCs w:val="16"/>
                <w:color w:val="auto"/>
              </w:rPr>
              <w:t>Accounts receivable, net</w:t>
            </w:r>
          </w:p>
        </w:tc>
        <w:tc>
          <w:tcPr>
            <w:tcW w:w="176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620,319</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20"/>
              <w:spacing w:after="0"/>
              <w:rPr>
                <w:sz w:val="20"/>
                <w:szCs w:val="20"/>
                <w:color w:val="auto"/>
              </w:rPr>
            </w:pPr>
            <w:r>
              <w:rPr>
                <w:rFonts w:ascii="Arial" w:cs="Arial" w:eastAsia="Arial" w:hAnsi="Arial"/>
                <w:sz w:val="16"/>
                <w:szCs w:val="16"/>
                <w:color w:val="auto"/>
              </w:rPr>
              <w:t>2,142</w:t>
            </w:r>
          </w:p>
        </w:tc>
        <w:tc>
          <w:tcPr>
            <w:tcW w:w="460" w:type="dxa"/>
            <w:vAlign w:val="bottom"/>
          </w:tcPr>
          <w:p>
            <w:pPr>
              <w:jc w:val="right"/>
              <w:ind w:right="241"/>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622,461</w:t>
            </w:r>
          </w:p>
        </w:tc>
      </w:tr>
      <w:tr>
        <w:trPr>
          <w:trHeight w:val="243"/>
        </w:trPr>
        <w:tc>
          <w:tcPr>
            <w:tcW w:w="4560" w:type="dxa"/>
            <w:vAlign w:val="bottom"/>
          </w:tcPr>
          <w:p>
            <w:pPr>
              <w:ind w:left="280"/>
              <w:spacing w:after="0"/>
              <w:rPr>
                <w:sz w:val="20"/>
                <w:szCs w:val="20"/>
                <w:color w:val="auto"/>
              </w:rPr>
            </w:pPr>
            <w:r>
              <w:rPr>
                <w:rFonts w:ascii="Arial" w:cs="Arial" w:eastAsia="Arial" w:hAnsi="Arial"/>
                <w:sz w:val="16"/>
                <w:szCs w:val="16"/>
                <w:color w:val="auto"/>
              </w:rPr>
              <w:t>Inventories and contracts in progress</w:t>
            </w:r>
          </w:p>
        </w:tc>
        <w:tc>
          <w:tcPr>
            <w:tcW w:w="17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60,612</w:t>
            </w:r>
          </w:p>
        </w:tc>
        <w:tc>
          <w:tcPr>
            <w:tcW w:w="340" w:type="dxa"/>
            <w:vAlign w:val="bottom"/>
          </w:tcPr>
          <w:p>
            <w:pPr>
              <w:spacing w:after="0"/>
              <w:rPr>
                <w:sz w:val="21"/>
                <w:szCs w:val="21"/>
                <w:color w:val="auto"/>
              </w:rPr>
            </w:pPr>
          </w:p>
        </w:tc>
        <w:tc>
          <w:tcPr>
            <w:tcW w:w="1500" w:type="dxa"/>
            <w:vAlign w:val="bottom"/>
          </w:tcPr>
          <w:p>
            <w:pPr>
              <w:jc w:val="right"/>
              <w:ind w:right="20"/>
              <w:spacing w:after="0"/>
              <w:rPr>
                <w:sz w:val="20"/>
                <w:szCs w:val="20"/>
                <w:color w:val="auto"/>
              </w:rPr>
            </w:pPr>
            <w:r>
              <w:rPr>
                <w:rFonts w:ascii="Arial" w:cs="Arial" w:eastAsia="Arial" w:hAnsi="Arial"/>
                <w:sz w:val="16"/>
                <w:szCs w:val="16"/>
                <w:color w:val="auto"/>
              </w:rPr>
              <w:t>903</w:t>
            </w:r>
          </w:p>
        </w:tc>
        <w:tc>
          <w:tcPr>
            <w:tcW w:w="460" w:type="dxa"/>
            <w:vAlign w:val="bottom"/>
          </w:tcPr>
          <w:p>
            <w:pPr>
              <w:spacing w:after="0"/>
              <w:rPr>
                <w:sz w:val="21"/>
                <w:szCs w:val="21"/>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61,515</w:t>
            </w:r>
          </w:p>
        </w:tc>
      </w:tr>
      <w:tr>
        <w:trPr>
          <w:trHeight w:val="243"/>
        </w:trPr>
        <w:tc>
          <w:tcPr>
            <w:tcW w:w="4560" w:type="dxa"/>
            <w:vAlign w:val="bottom"/>
          </w:tcPr>
          <w:p>
            <w:pPr>
              <w:ind w:left="280"/>
              <w:spacing w:after="0"/>
              <w:rPr>
                <w:sz w:val="20"/>
                <w:szCs w:val="20"/>
                <w:color w:val="auto"/>
              </w:rPr>
            </w:pPr>
            <w:r>
              <w:rPr>
                <w:rFonts w:ascii="Arial" w:cs="Arial" w:eastAsia="Arial" w:hAnsi="Arial"/>
                <w:sz w:val="16"/>
                <w:szCs w:val="16"/>
                <w:color w:val="auto"/>
              </w:rPr>
              <w:t>Other current assets</w:t>
            </w:r>
          </w:p>
        </w:tc>
        <w:tc>
          <w:tcPr>
            <w:tcW w:w="17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66,253</w:t>
            </w:r>
          </w:p>
        </w:tc>
        <w:tc>
          <w:tcPr>
            <w:tcW w:w="340" w:type="dxa"/>
            <w:vAlign w:val="bottom"/>
          </w:tcPr>
          <w:p>
            <w:pPr>
              <w:spacing w:after="0"/>
              <w:rPr>
                <w:sz w:val="21"/>
                <w:szCs w:val="21"/>
                <w:color w:val="auto"/>
              </w:rPr>
            </w:pPr>
          </w:p>
        </w:tc>
        <w:tc>
          <w:tcPr>
            <w:tcW w:w="1500" w:type="dxa"/>
            <w:vAlign w:val="bottom"/>
          </w:tcPr>
          <w:p>
            <w:pPr>
              <w:jc w:val="right"/>
              <w:ind w:right="20"/>
              <w:spacing w:after="0"/>
              <w:rPr>
                <w:sz w:val="20"/>
                <w:szCs w:val="20"/>
                <w:color w:val="auto"/>
              </w:rPr>
            </w:pPr>
            <w:r>
              <w:rPr>
                <w:rFonts w:ascii="Arial" w:cs="Arial" w:eastAsia="Arial" w:hAnsi="Arial"/>
                <w:sz w:val="16"/>
                <w:szCs w:val="16"/>
                <w:color w:val="auto"/>
              </w:rPr>
              <w:t>6,343</w:t>
            </w:r>
          </w:p>
        </w:tc>
        <w:tc>
          <w:tcPr>
            <w:tcW w:w="460" w:type="dxa"/>
            <w:vAlign w:val="bottom"/>
          </w:tcPr>
          <w:p>
            <w:pPr>
              <w:spacing w:after="0"/>
              <w:rPr>
                <w:sz w:val="21"/>
                <w:szCs w:val="21"/>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72,596</w:t>
            </w:r>
          </w:p>
        </w:tc>
      </w:tr>
      <w:tr>
        <w:trPr>
          <w:trHeight w:val="270"/>
        </w:trPr>
        <w:tc>
          <w:tcPr>
            <w:tcW w:w="4560" w:type="dxa"/>
            <w:vAlign w:val="bottom"/>
          </w:tcPr>
          <w:p>
            <w:pPr>
              <w:ind w:left="40"/>
              <w:spacing w:after="0"/>
              <w:rPr>
                <w:sz w:val="20"/>
                <w:szCs w:val="20"/>
                <w:color w:val="auto"/>
              </w:rPr>
            </w:pPr>
            <w:r>
              <w:rPr>
                <w:rFonts w:ascii="Arial" w:cs="Arial" w:eastAsia="Arial" w:hAnsi="Arial"/>
                <w:sz w:val="16"/>
                <w:szCs w:val="16"/>
                <w:b w:val="1"/>
                <w:bCs w:val="1"/>
                <w:color w:val="auto"/>
              </w:rPr>
              <w:t>Liabilities</w:t>
            </w:r>
          </w:p>
        </w:tc>
        <w:tc>
          <w:tcPr>
            <w:tcW w:w="17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3"/>
        </w:trPr>
        <w:tc>
          <w:tcPr>
            <w:tcW w:w="4560" w:type="dxa"/>
            <w:vAlign w:val="bottom"/>
          </w:tcPr>
          <w:p>
            <w:pPr>
              <w:ind w:left="280"/>
              <w:spacing w:after="0"/>
              <w:rPr>
                <w:sz w:val="20"/>
                <w:szCs w:val="20"/>
                <w:color w:val="auto"/>
              </w:rPr>
            </w:pPr>
            <w:r>
              <w:rPr>
                <w:rFonts w:ascii="Arial" w:cs="Arial" w:eastAsia="Arial" w:hAnsi="Arial"/>
                <w:sz w:val="16"/>
                <w:szCs w:val="16"/>
                <w:color w:val="auto"/>
              </w:rPr>
              <w:t>Accounts payable and accrued liabilities</w:t>
            </w:r>
          </w:p>
        </w:tc>
        <w:tc>
          <w:tcPr>
            <w:tcW w:w="176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526,323</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20"/>
              <w:spacing w:after="0"/>
              <w:rPr>
                <w:sz w:val="20"/>
                <w:szCs w:val="20"/>
                <w:color w:val="auto"/>
              </w:rPr>
            </w:pPr>
            <w:r>
              <w:rPr>
                <w:rFonts w:ascii="Arial" w:cs="Arial" w:eastAsia="Arial" w:hAnsi="Arial"/>
                <w:sz w:val="16"/>
                <w:szCs w:val="16"/>
                <w:color w:val="auto"/>
              </w:rPr>
              <w:t>88</w:t>
            </w:r>
          </w:p>
        </w:tc>
        <w:tc>
          <w:tcPr>
            <w:tcW w:w="460" w:type="dxa"/>
            <w:vAlign w:val="bottom"/>
          </w:tcPr>
          <w:p>
            <w:pPr>
              <w:jc w:val="right"/>
              <w:ind w:right="241"/>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526,411</w:t>
            </w:r>
          </w:p>
        </w:tc>
      </w:tr>
      <w:tr>
        <w:trPr>
          <w:trHeight w:val="243"/>
        </w:trPr>
        <w:tc>
          <w:tcPr>
            <w:tcW w:w="4560" w:type="dxa"/>
            <w:vAlign w:val="bottom"/>
          </w:tcPr>
          <w:p>
            <w:pPr>
              <w:ind w:left="280"/>
              <w:spacing w:after="0"/>
              <w:rPr>
                <w:sz w:val="20"/>
                <w:szCs w:val="20"/>
                <w:color w:val="auto"/>
              </w:rPr>
            </w:pPr>
            <w:r>
              <w:rPr>
                <w:rFonts w:ascii="Arial" w:cs="Arial" w:eastAsia="Arial" w:hAnsi="Arial"/>
                <w:sz w:val="16"/>
                <w:szCs w:val="16"/>
                <w:color w:val="auto"/>
              </w:rPr>
              <w:t>Deferred revenue</w:t>
            </w:r>
          </w:p>
        </w:tc>
        <w:tc>
          <w:tcPr>
            <w:tcW w:w="17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339,454</w:t>
            </w:r>
          </w:p>
        </w:tc>
        <w:tc>
          <w:tcPr>
            <w:tcW w:w="3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(346)</w:t>
            </w:r>
          </w:p>
        </w:tc>
        <w:tc>
          <w:tcPr>
            <w:tcW w:w="460" w:type="dxa"/>
            <w:vAlign w:val="bottom"/>
          </w:tcPr>
          <w:p>
            <w:pPr>
              <w:spacing w:after="0"/>
              <w:rPr>
                <w:sz w:val="21"/>
                <w:szCs w:val="21"/>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339,108</w:t>
            </w:r>
          </w:p>
        </w:tc>
      </w:tr>
      <w:tr>
        <w:trPr>
          <w:trHeight w:val="243"/>
        </w:trPr>
        <w:tc>
          <w:tcPr>
            <w:tcW w:w="4560" w:type="dxa"/>
            <w:vAlign w:val="bottom"/>
          </w:tcPr>
          <w:p>
            <w:pPr>
              <w:ind w:left="280"/>
              <w:spacing w:after="0"/>
              <w:rPr>
                <w:sz w:val="20"/>
                <w:szCs w:val="20"/>
                <w:color w:val="auto"/>
              </w:rPr>
            </w:pPr>
            <w:r>
              <w:rPr>
                <w:rFonts w:ascii="Arial" w:cs="Arial" w:eastAsia="Arial" w:hAnsi="Arial"/>
                <w:sz w:val="16"/>
                <w:szCs w:val="16"/>
                <w:color w:val="auto"/>
              </w:rPr>
              <w:t>Deferred income taxes</w:t>
            </w:r>
          </w:p>
        </w:tc>
        <w:tc>
          <w:tcPr>
            <w:tcW w:w="17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362,701</w:t>
            </w:r>
          </w:p>
        </w:tc>
        <w:tc>
          <w:tcPr>
            <w:tcW w:w="340" w:type="dxa"/>
            <w:vAlign w:val="bottom"/>
          </w:tcPr>
          <w:p>
            <w:pPr>
              <w:spacing w:after="0"/>
              <w:rPr>
                <w:sz w:val="21"/>
                <w:szCs w:val="21"/>
                <w:color w:val="auto"/>
              </w:rPr>
            </w:pPr>
          </w:p>
        </w:tc>
        <w:tc>
          <w:tcPr>
            <w:tcW w:w="1500" w:type="dxa"/>
            <w:vAlign w:val="bottom"/>
          </w:tcPr>
          <w:p>
            <w:pPr>
              <w:jc w:val="right"/>
              <w:ind w:right="20"/>
              <w:spacing w:after="0"/>
              <w:rPr>
                <w:sz w:val="20"/>
                <w:szCs w:val="20"/>
                <w:color w:val="auto"/>
              </w:rPr>
            </w:pPr>
            <w:r>
              <w:rPr>
                <w:rFonts w:ascii="Arial" w:cs="Arial" w:eastAsia="Arial" w:hAnsi="Arial"/>
                <w:sz w:val="16"/>
                <w:szCs w:val="16"/>
                <w:color w:val="auto"/>
              </w:rPr>
              <w:t>2,197</w:t>
            </w:r>
          </w:p>
        </w:tc>
        <w:tc>
          <w:tcPr>
            <w:tcW w:w="460" w:type="dxa"/>
            <w:vAlign w:val="bottom"/>
          </w:tcPr>
          <w:p>
            <w:pPr>
              <w:spacing w:after="0"/>
              <w:rPr>
                <w:sz w:val="21"/>
                <w:szCs w:val="21"/>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364,898</w:t>
            </w:r>
          </w:p>
        </w:tc>
      </w:tr>
      <w:tr>
        <w:trPr>
          <w:trHeight w:val="270"/>
        </w:trPr>
        <w:tc>
          <w:tcPr>
            <w:tcW w:w="4560" w:type="dxa"/>
            <w:vAlign w:val="bottom"/>
          </w:tcPr>
          <w:p>
            <w:pPr>
              <w:ind w:left="40"/>
              <w:spacing w:after="0"/>
              <w:rPr>
                <w:sz w:val="20"/>
                <w:szCs w:val="20"/>
                <w:color w:val="auto"/>
              </w:rPr>
            </w:pPr>
            <w:r>
              <w:rPr>
                <w:rFonts w:ascii="Arial" w:cs="Arial" w:eastAsia="Arial" w:hAnsi="Arial"/>
                <w:sz w:val="16"/>
                <w:szCs w:val="16"/>
                <w:b w:val="1"/>
                <w:bCs w:val="1"/>
                <w:color w:val="auto"/>
              </w:rPr>
              <w:t>Equity</w:t>
            </w:r>
          </w:p>
        </w:tc>
        <w:tc>
          <w:tcPr>
            <w:tcW w:w="17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3"/>
        </w:trPr>
        <w:tc>
          <w:tcPr>
            <w:tcW w:w="4560" w:type="dxa"/>
            <w:vAlign w:val="bottom"/>
          </w:tcPr>
          <w:p>
            <w:pPr>
              <w:ind w:left="280"/>
              <w:spacing w:after="0"/>
              <w:rPr>
                <w:sz w:val="20"/>
                <w:szCs w:val="20"/>
                <w:color w:val="auto"/>
              </w:rPr>
            </w:pPr>
            <w:r>
              <w:rPr>
                <w:rFonts w:ascii="Arial" w:cs="Arial" w:eastAsia="Arial" w:hAnsi="Arial"/>
                <w:sz w:val="16"/>
                <w:szCs w:val="16"/>
                <w:color w:val="auto"/>
              </w:rPr>
              <w:t>Retained earnings</w:t>
            </w:r>
          </w:p>
        </w:tc>
        <w:tc>
          <w:tcPr>
            <w:tcW w:w="176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5,791,724</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20"/>
              <w:spacing w:after="0"/>
              <w:rPr>
                <w:sz w:val="20"/>
                <w:szCs w:val="20"/>
                <w:color w:val="auto"/>
              </w:rPr>
            </w:pPr>
            <w:r>
              <w:rPr>
                <w:rFonts w:ascii="Arial" w:cs="Arial" w:eastAsia="Arial" w:hAnsi="Arial"/>
                <w:sz w:val="16"/>
                <w:szCs w:val="16"/>
                <w:color w:val="auto"/>
              </w:rPr>
              <w:t>7,449</w:t>
            </w:r>
          </w:p>
        </w:tc>
        <w:tc>
          <w:tcPr>
            <w:tcW w:w="460" w:type="dxa"/>
            <w:vAlign w:val="bottom"/>
          </w:tcPr>
          <w:p>
            <w:pPr>
              <w:jc w:val="right"/>
              <w:ind w:right="241"/>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5,799,173</w:t>
            </w:r>
          </w:p>
        </w:tc>
      </w:tr>
    </w:tbl>
    <w:p>
      <w:pPr>
        <w:spacing w:after="0" w:line="167"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Under the modified retrospective method of adoption, the Company is required to disclose the impact the adoption of the revenue guidance had on its Condensed Consolidated Statement of Operations. If the company continued to follow its accounting policies under the previous guidance, revenue recognized would be $1.3 million lower and expenses would be $3.0 million higher. This is primarily due to the net impact of the change in the timing of the recognition of revenue and costs to obtain a contract.</w:t>
      </w:r>
    </w:p>
    <w:p>
      <w:pPr>
        <w:spacing w:after="0" w:line="135" w:lineRule="exact"/>
        <w:rPr>
          <w:sz w:val="20"/>
          <w:szCs w:val="20"/>
          <w:color w:val="auto"/>
        </w:rPr>
      </w:pPr>
    </w:p>
    <w:p>
      <w:pPr>
        <w:ind w:right="20"/>
        <w:spacing w:after="0" w:line="222" w:lineRule="auto"/>
        <w:rPr>
          <w:sz w:val="20"/>
          <w:szCs w:val="20"/>
          <w:color w:val="auto"/>
        </w:rPr>
      </w:pPr>
      <w:r>
        <w:rPr>
          <w:rFonts w:ascii="Arial" w:cs="Arial" w:eastAsia="Arial" w:hAnsi="Arial"/>
          <w:sz w:val="18"/>
          <w:szCs w:val="18"/>
          <w:color w:val="auto"/>
        </w:rPr>
        <w:t>In January 2016, the FASB issued new guidance that substantially revises the recognition, measurement and presentation of financial assets and financial liabilities. The new guidance, among other things, requires, (i) equity investments (except those accounted for under the equity method of accounting or those that result in consolidation of the investee) to be measured at fair value with changes in fair value recognized in net income, with some exceptions, (ii) simplifies the impairment assessment of equity investments without readily determinable fair values by requiring a qualitative assessment to identify impairment, (iii) requires public business entities to use the exit price notion when measuring the fair value of financial instruments for disclosure purposes, (iv) requires separate presentation of financial assets and financial liabilities by measurement category and form of financial asset on the balance sheet or the accompanying notes to the financial statements, and (v) clarifies that an entity should evaluate the need for a valuation allowance on a deferred tax asset related to available-for-sale securities in combination with the entity’s other deferred tax assets. The guidance is effective for interim and fiscal years beginning after December 15, 2017.</w:t>
      </w:r>
    </w:p>
    <w:p>
      <w:pPr>
        <w:spacing w:after="0" w:line="141"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color w:val="auto"/>
        </w:rPr>
        <w:t>The Company adopted this guidance in the first quarter of 2018 and recorded a cumulative adjustment of $194.9 million to retained earnings on its Condensed Consolidated Balance Sheet related to unrealized gains of available-for-sale securities, net of tax, previously classified within accumulated other comprehensive income. Results for reporting periods beginning after January 1, 2018 are presented under this new guidance, with any changes in fair value recognized in net income. In addition, the Company elected the measurement alternative to measure cost method investments that do not have a readily determinable fair value at cost less impairment, adjusted by observable price changes with any fair value changes recognized in net income.</w:t>
      </w:r>
    </w:p>
    <w:p>
      <w:pPr>
        <w:spacing w:after="0" w:line="137" w:lineRule="exact"/>
        <w:rPr>
          <w:sz w:val="20"/>
          <w:szCs w:val="20"/>
          <w:color w:val="auto"/>
        </w:rPr>
      </w:pPr>
    </w:p>
    <w:p>
      <w:pPr>
        <w:ind w:right="60"/>
        <w:spacing w:after="0" w:line="222" w:lineRule="auto"/>
        <w:rPr>
          <w:sz w:val="20"/>
          <w:szCs w:val="20"/>
          <w:color w:val="auto"/>
        </w:rPr>
      </w:pPr>
      <w:r>
        <w:rPr>
          <w:rFonts w:ascii="Arial" w:cs="Arial" w:eastAsia="Arial" w:hAnsi="Arial"/>
          <w:sz w:val="18"/>
          <w:szCs w:val="18"/>
          <w:color w:val="auto"/>
        </w:rPr>
        <w:t>In February 2016, the FASB issued new guidance that requires, among other things, a lessee to recognize a right-of-use asset representing an entity’s right to use the underlying asset for the lease term and a liability for lease payments on its balance sheet, regardless of classification of a lease as operating or financing. For leases with a term of twelve months or less, a lessee is permitted to make an accounting policy election by class of underlying asset not to recognize lease assets and liabilities and account for the lease similar to existing guidance for operating leases today. This new guidance supersedes all prior guidance. The guidance is effective for interim and fiscal years beginning after December 15, 2018. Early adoption is permitted. The standard requires lessees and lessors to recognize and measure leases at the beginning of the earliest period presented using a modified retrospective approach. The Company is in the process of evaluating the impact of this new guidance on its Condensed Consolidated Financial Statements; however, the recognition of right-of-use assets and lease liabilities is expected to have a material effect on its Condensed Consolidated Balance Sheet.</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719" w:right="239" w:bottom="1440" w:gutter="0" w:footer="0" w:header="0"/>
        </w:sectPr>
      </w:pPr>
    </w:p>
    <w:bookmarkStart w:id="9" w:name="page10"/>
    <w:bookmarkEnd w:id="9"/>
    <w:p>
      <w:pPr>
        <w:ind w:right="100"/>
        <w:spacing w:after="0" w:line="223" w:lineRule="auto"/>
        <w:rPr>
          <w:sz w:val="20"/>
          <w:szCs w:val="20"/>
          <w:color w:val="auto"/>
        </w:rPr>
      </w:pPr>
      <w:r>
        <w:rPr>
          <w:rFonts w:ascii="Arial" w:cs="Arial" w:eastAsia="Arial" w:hAnsi="Arial"/>
          <w:sz w:val="18"/>
          <w:szCs w:val="18"/>
          <w:color w:val="auto"/>
        </w:rPr>
        <w:t>In March 2017, the FASB issued new guidance that changes the presentation of net periodic pension cost and net periodic postretirement benefit cost for defined benefit plans. The guidance requires an issuer to disaggregate the service cost component of net periodic pension and postretirement benefit cost from other components. Under the new guidance, service cost will be included in the same line item(s) as other compensation costs arising from services rendered by employees during the period, while the other components will be recognized after income from operations. The guidance is effective for interim and fiscal years beginning after December 15, 2017. The guidance must be applied retrospectively; however, a practical expedient is available which permits an employer to use amounts previously disclosed in its pension and postretirement plans footnote for the prior comparative periods.</w:t>
      </w:r>
    </w:p>
    <w:p>
      <w:pPr>
        <w:spacing w:after="0" w:line="139" w:lineRule="exact"/>
        <w:rPr>
          <w:sz w:val="20"/>
          <w:szCs w:val="20"/>
          <w:color w:val="auto"/>
        </w:rPr>
      </w:pPr>
    </w:p>
    <w:p>
      <w:pPr>
        <w:ind w:right="120"/>
        <w:spacing w:after="0" w:line="224" w:lineRule="auto"/>
        <w:rPr>
          <w:sz w:val="20"/>
          <w:szCs w:val="20"/>
          <w:color w:val="auto"/>
        </w:rPr>
      </w:pPr>
      <w:r>
        <w:rPr>
          <w:rFonts w:ascii="Arial" w:cs="Arial" w:eastAsia="Arial" w:hAnsi="Arial"/>
          <w:sz w:val="18"/>
          <w:szCs w:val="18"/>
          <w:color w:val="auto"/>
        </w:rPr>
        <w:t>The Company adopted the new standard in the first quarter of 2018. In combination with the presentation change to net periodic pension cost and net periodic postretirement benefit cost, the Company allocated its costs associated with fringe benefits between operating expenses and selling, general and administrative expenses. Previously, costs related to fringe benefits were generally classified as selling, general and administrative expenses. The amounts in the previously issued financial statements have been reclassified to conform with the presentation in the condensed consolidated financial statements for the first quarter of 2018. The effect of these changes to the Condensed Consolidated Statement of Operations for the first quarter of 2017 is as follows: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0" w:type="dxa"/>
            <w:vAlign w:val="bottom"/>
          </w:tcPr>
          <w:p>
            <w:pPr>
              <w:jc w:val="right"/>
              <w:ind w:right="282"/>
              <w:spacing w:after="0"/>
              <w:rPr>
                <w:sz w:val="20"/>
                <w:szCs w:val="20"/>
                <w:color w:val="auto"/>
              </w:rPr>
            </w:pPr>
            <w:r>
              <w:rPr>
                <w:rFonts w:ascii="Arial" w:cs="Arial" w:eastAsia="Arial" w:hAnsi="Arial"/>
                <w:sz w:val="14"/>
                <w:szCs w:val="14"/>
                <w:b w:val="1"/>
                <w:bCs w:val="1"/>
                <w:color w:val="auto"/>
              </w:rPr>
              <w:t>As Previously</w:t>
            </w:r>
          </w:p>
        </w:tc>
        <w:tc>
          <w:tcPr>
            <w:tcW w:w="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96"/>
        </w:trPr>
        <w:tc>
          <w:tcPr>
            <w:tcW w:w="5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Reported</w:t>
            </w:r>
          </w:p>
        </w:tc>
        <w:tc>
          <w:tcPr>
            <w:tcW w:w="3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Adjustment</w:t>
            </w: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Upon Adoption</w:t>
            </w:r>
          </w:p>
        </w:tc>
      </w:tr>
      <w:tr>
        <w:trPr>
          <w:trHeight w:val="250"/>
        </w:trPr>
        <w:tc>
          <w:tcPr>
            <w:tcW w:w="5520" w:type="dxa"/>
            <w:vAlign w:val="bottom"/>
          </w:tcPr>
          <w:p>
            <w:pPr>
              <w:ind w:left="40"/>
              <w:spacing w:after="0"/>
              <w:rPr>
                <w:sz w:val="20"/>
                <w:szCs w:val="20"/>
                <w:color w:val="auto"/>
              </w:rPr>
            </w:pPr>
            <w:r>
              <w:rPr>
                <w:rFonts w:ascii="Arial" w:cs="Arial" w:eastAsia="Arial" w:hAnsi="Arial"/>
                <w:sz w:val="16"/>
                <w:szCs w:val="16"/>
                <w:b w:val="1"/>
                <w:bCs w:val="1"/>
                <w:color w:val="auto"/>
              </w:rPr>
              <w:t>Three Months Ended March 31, 2017</w:t>
            </w:r>
          </w:p>
        </w:tc>
        <w:tc>
          <w:tcPr>
            <w:tcW w:w="1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0"/>
        </w:trPr>
        <w:tc>
          <w:tcPr>
            <w:tcW w:w="5520" w:type="dxa"/>
            <w:vAlign w:val="bottom"/>
          </w:tcPr>
          <w:p>
            <w:pPr>
              <w:ind w:left="180"/>
              <w:spacing w:after="0"/>
              <w:rPr>
                <w:sz w:val="20"/>
                <w:szCs w:val="20"/>
                <w:color w:val="auto"/>
              </w:rPr>
            </w:pPr>
            <w:r>
              <w:rPr>
                <w:rFonts w:ascii="Arial" w:cs="Arial" w:eastAsia="Arial" w:hAnsi="Arial"/>
                <w:sz w:val="16"/>
                <w:szCs w:val="16"/>
                <w:color w:val="auto"/>
              </w:rPr>
              <w:t>Operating expenses</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62"/>
              <w:spacing w:after="0"/>
              <w:rPr>
                <w:sz w:val="20"/>
                <w:szCs w:val="20"/>
                <w:color w:val="auto"/>
              </w:rPr>
            </w:pPr>
            <w:r>
              <w:rPr>
                <w:rFonts w:ascii="Arial" w:cs="Arial" w:eastAsia="Arial" w:hAnsi="Arial"/>
                <w:sz w:val="16"/>
                <w:szCs w:val="16"/>
                <w:color w:val="auto"/>
              </w:rPr>
              <w:t>300,666</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60"/>
              <w:spacing w:after="0"/>
              <w:rPr>
                <w:sz w:val="20"/>
                <w:szCs w:val="20"/>
                <w:color w:val="auto"/>
              </w:rPr>
            </w:pPr>
            <w:r>
              <w:rPr>
                <w:rFonts w:ascii="Arial" w:cs="Arial" w:eastAsia="Arial" w:hAnsi="Arial"/>
                <w:sz w:val="16"/>
                <w:szCs w:val="16"/>
                <w:color w:val="auto"/>
              </w:rPr>
              <w:t>25,021</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20"/>
              <w:spacing w:after="0"/>
              <w:rPr>
                <w:sz w:val="20"/>
                <w:szCs w:val="20"/>
                <w:color w:val="auto"/>
              </w:rPr>
            </w:pPr>
            <w:r>
              <w:rPr>
                <w:rFonts w:ascii="Arial" w:cs="Arial" w:eastAsia="Arial" w:hAnsi="Arial"/>
                <w:sz w:val="16"/>
                <w:szCs w:val="16"/>
                <w:color w:val="auto"/>
              </w:rPr>
              <w:t>325,687</w:t>
            </w:r>
          </w:p>
        </w:tc>
      </w:tr>
      <w:tr>
        <w:trPr>
          <w:trHeight w:val="270"/>
        </w:trPr>
        <w:tc>
          <w:tcPr>
            <w:tcW w:w="5520" w:type="dxa"/>
            <w:vAlign w:val="bottom"/>
          </w:tcPr>
          <w:p>
            <w:pPr>
              <w:ind w:left="180"/>
              <w:spacing w:after="0"/>
              <w:rPr>
                <w:sz w:val="20"/>
                <w:szCs w:val="20"/>
                <w:color w:val="auto"/>
              </w:rPr>
            </w:pPr>
            <w:r>
              <w:rPr>
                <w:rFonts w:ascii="Arial" w:cs="Arial" w:eastAsia="Arial" w:hAnsi="Arial"/>
                <w:sz w:val="16"/>
                <w:szCs w:val="16"/>
                <w:color w:val="auto"/>
              </w:rPr>
              <w:t>Selling, general and administrative expenses</w:t>
            </w:r>
          </w:p>
        </w:tc>
        <w:tc>
          <w:tcPr>
            <w:tcW w:w="1120" w:type="dxa"/>
            <w:vAlign w:val="bottom"/>
          </w:tcPr>
          <w:p>
            <w:pPr>
              <w:spacing w:after="0"/>
              <w:rPr>
                <w:sz w:val="23"/>
                <w:szCs w:val="23"/>
                <w:color w:val="auto"/>
              </w:rPr>
            </w:pPr>
          </w:p>
        </w:tc>
        <w:tc>
          <w:tcPr>
            <w:tcW w:w="1400" w:type="dxa"/>
            <w:vAlign w:val="bottom"/>
          </w:tcPr>
          <w:p>
            <w:pPr>
              <w:jc w:val="right"/>
              <w:ind w:right="62"/>
              <w:spacing w:after="0"/>
              <w:rPr>
                <w:sz w:val="20"/>
                <w:szCs w:val="20"/>
                <w:color w:val="auto"/>
              </w:rPr>
            </w:pPr>
            <w:r>
              <w:rPr>
                <w:rFonts w:ascii="Arial" w:cs="Arial" w:eastAsia="Arial" w:hAnsi="Arial"/>
                <w:sz w:val="16"/>
                <w:szCs w:val="16"/>
                <w:color w:val="auto"/>
              </w:rPr>
              <w:t>231,509</w:t>
            </w:r>
          </w:p>
        </w:tc>
        <w:tc>
          <w:tcPr>
            <w:tcW w:w="340" w:type="dxa"/>
            <w:vAlign w:val="bottom"/>
          </w:tcPr>
          <w:p>
            <w:pPr>
              <w:spacing w:after="0"/>
              <w:rPr>
                <w:sz w:val="23"/>
                <w:szCs w:val="23"/>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(6,220)</w:t>
            </w:r>
          </w:p>
        </w:tc>
        <w:tc>
          <w:tcPr>
            <w:tcW w:w="260" w:type="dxa"/>
            <w:vAlign w:val="bottom"/>
          </w:tcPr>
          <w:p>
            <w:pPr>
              <w:spacing w:after="0"/>
              <w:rPr>
                <w:sz w:val="23"/>
                <w:szCs w:val="23"/>
                <w:color w:val="auto"/>
              </w:rPr>
            </w:pPr>
          </w:p>
        </w:tc>
        <w:tc>
          <w:tcPr>
            <w:tcW w:w="1400" w:type="dxa"/>
            <w:vAlign w:val="bottom"/>
          </w:tcPr>
          <w:p>
            <w:pPr>
              <w:jc w:val="right"/>
              <w:ind w:right="20"/>
              <w:spacing w:after="0"/>
              <w:rPr>
                <w:sz w:val="20"/>
                <w:szCs w:val="20"/>
                <w:color w:val="auto"/>
              </w:rPr>
            </w:pPr>
            <w:r>
              <w:rPr>
                <w:rFonts w:ascii="Arial" w:cs="Arial" w:eastAsia="Arial" w:hAnsi="Arial"/>
                <w:sz w:val="16"/>
                <w:szCs w:val="16"/>
                <w:color w:val="auto"/>
              </w:rPr>
              <w:t>225,289</w:t>
            </w:r>
          </w:p>
        </w:tc>
      </w:tr>
      <w:tr>
        <w:trPr>
          <w:trHeight w:val="270"/>
        </w:trPr>
        <w:tc>
          <w:tcPr>
            <w:tcW w:w="5520" w:type="dxa"/>
            <w:vAlign w:val="bottom"/>
          </w:tcPr>
          <w:p>
            <w:pPr>
              <w:ind w:left="180"/>
              <w:spacing w:after="0"/>
              <w:rPr>
                <w:sz w:val="20"/>
                <w:szCs w:val="20"/>
                <w:color w:val="auto"/>
              </w:rPr>
            </w:pPr>
            <w:r>
              <w:rPr>
                <w:rFonts w:ascii="Arial" w:cs="Arial" w:eastAsia="Arial" w:hAnsi="Arial"/>
                <w:sz w:val="16"/>
                <w:szCs w:val="16"/>
                <w:color w:val="auto"/>
              </w:rPr>
              <w:t>Income from Operations</w:t>
            </w:r>
          </w:p>
        </w:tc>
        <w:tc>
          <w:tcPr>
            <w:tcW w:w="1120" w:type="dxa"/>
            <w:vAlign w:val="bottom"/>
          </w:tcPr>
          <w:p>
            <w:pPr>
              <w:spacing w:after="0"/>
              <w:rPr>
                <w:sz w:val="23"/>
                <w:szCs w:val="23"/>
                <w:color w:val="auto"/>
              </w:rPr>
            </w:pPr>
          </w:p>
        </w:tc>
        <w:tc>
          <w:tcPr>
            <w:tcW w:w="1400" w:type="dxa"/>
            <w:vAlign w:val="bottom"/>
          </w:tcPr>
          <w:p>
            <w:pPr>
              <w:jc w:val="right"/>
              <w:ind w:right="62"/>
              <w:spacing w:after="0"/>
              <w:rPr>
                <w:sz w:val="20"/>
                <w:szCs w:val="20"/>
                <w:color w:val="auto"/>
              </w:rPr>
            </w:pPr>
            <w:r>
              <w:rPr>
                <w:rFonts w:ascii="Arial" w:cs="Arial" w:eastAsia="Arial" w:hAnsi="Arial"/>
                <w:sz w:val="16"/>
                <w:szCs w:val="16"/>
                <w:color w:val="auto"/>
              </w:rPr>
              <w:t>29,054</w:t>
            </w:r>
          </w:p>
        </w:tc>
        <w:tc>
          <w:tcPr>
            <w:tcW w:w="340" w:type="dxa"/>
            <w:vAlign w:val="bottom"/>
          </w:tcPr>
          <w:p>
            <w:pPr>
              <w:spacing w:after="0"/>
              <w:rPr>
                <w:sz w:val="23"/>
                <w:szCs w:val="23"/>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(18,801)</w:t>
            </w:r>
          </w:p>
        </w:tc>
        <w:tc>
          <w:tcPr>
            <w:tcW w:w="260" w:type="dxa"/>
            <w:vAlign w:val="bottom"/>
          </w:tcPr>
          <w:p>
            <w:pPr>
              <w:spacing w:after="0"/>
              <w:rPr>
                <w:sz w:val="23"/>
                <w:szCs w:val="23"/>
                <w:color w:val="auto"/>
              </w:rPr>
            </w:pPr>
          </w:p>
        </w:tc>
        <w:tc>
          <w:tcPr>
            <w:tcW w:w="1400" w:type="dxa"/>
            <w:vAlign w:val="bottom"/>
          </w:tcPr>
          <w:p>
            <w:pPr>
              <w:jc w:val="right"/>
              <w:ind w:right="20"/>
              <w:spacing w:after="0"/>
              <w:rPr>
                <w:sz w:val="20"/>
                <w:szCs w:val="20"/>
                <w:color w:val="auto"/>
              </w:rPr>
            </w:pPr>
            <w:r>
              <w:rPr>
                <w:rFonts w:ascii="Arial" w:cs="Arial" w:eastAsia="Arial" w:hAnsi="Arial"/>
                <w:sz w:val="16"/>
                <w:szCs w:val="16"/>
                <w:color w:val="auto"/>
              </w:rPr>
              <w:t>10,253</w:t>
            </w:r>
          </w:p>
        </w:tc>
      </w:tr>
      <w:tr>
        <w:trPr>
          <w:trHeight w:val="270"/>
        </w:trPr>
        <w:tc>
          <w:tcPr>
            <w:tcW w:w="5520" w:type="dxa"/>
            <w:vAlign w:val="bottom"/>
          </w:tcPr>
          <w:p>
            <w:pPr>
              <w:ind w:left="180"/>
              <w:spacing w:after="0"/>
              <w:rPr>
                <w:sz w:val="20"/>
                <w:szCs w:val="20"/>
                <w:color w:val="auto"/>
              </w:rPr>
            </w:pPr>
            <w:r>
              <w:rPr>
                <w:rFonts w:ascii="Arial" w:cs="Arial" w:eastAsia="Arial" w:hAnsi="Arial"/>
                <w:sz w:val="16"/>
                <w:szCs w:val="16"/>
                <w:color w:val="auto"/>
              </w:rPr>
              <w:t>Non-operating pension and postretirement benefit income, net</w:t>
            </w:r>
          </w:p>
        </w:tc>
        <w:tc>
          <w:tcPr>
            <w:tcW w:w="1120" w:type="dxa"/>
            <w:vAlign w:val="bottom"/>
          </w:tcPr>
          <w:p>
            <w:pPr>
              <w:spacing w:after="0"/>
              <w:rPr>
                <w:sz w:val="23"/>
                <w:szCs w:val="23"/>
                <w:color w:val="auto"/>
              </w:rPr>
            </w:pPr>
          </w:p>
        </w:tc>
        <w:tc>
          <w:tcPr>
            <w:tcW w:w="140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3"/>
                <w:szCs w:val="23"/>
                <w:color w:val="auto"/>
              </w:rPr>
            </w:pPr>
          </w:p>
        </w:tc>
        <w:tc>
          <w:tcPr>
            <w:tcW w:w="1380" w:type="dxa"/>
            <w:vAlign w:val="bottom"/>
          </w:tcPr>
          <w:p>
            <w:pPr>
              <w:jc w:val="right"/>
              <w:ind w:right="60"/>
              <w:spacing w:after="0"/>
              <w:rPr>
                <w:sz w:val="20"/>
                <w:szCs w:val="20"/>
                <w:color w:val="auto"/>
              </w:rPr>
            </w:pPr>
            <w:r>
              <w:rPr>
                <w:rFonts w:ascii="Arial" w:cs="Arial" w:eastAsia="Arial" w:hAnsi="Arial"/>
                <w:sz w:val="16"/>
                <w:szCs w:val="16"/>
                <w:color w:val="auto"/>
              </w:rPr>
              <w:t>18,801</w:t>
            </w:r>
          </w:p>
        </w:tc>
        <w:tc>
          <w:tcPr>
            <w:tcW w:w="260" w:type="dxa"/>
            <w:vAlign w:val="bottom"/>
          </w:tcPr>
          <w:p>
            <w:pPr>
              <w:spacing w:after="0"/>
              <w:rPr>
                <w:sz w:val="23"/>
                <w:szCs w:val="23"/>
                <w:color w:val="auto"/>
              </w:rPr>
            </w:pPr>
          </w:p>
        </w:tc>
        <w:tc>
          <w:tcPr>
            <w:tcW w:w="1400" w:type="dxa"/>
            <w:vAlign w:val="bottom"/>
          </w:tcPr>
          <w:p>
            <w:pPr>
              <w:jc w:val="right"/>
              <w:ind w:right="20"/>
              <w:spacing w:after="0"/>
              <w:rPr>
                <w:sz w:val="20"/>
                <w:szCs w:val="20"/>
                <w:color w:val="auto"/>
              </w:rPr>
            </w:pPr>
            <w:r>
              <w:rPr>
                <w:rFonts w:ascii="Arial" w:cs="Arial" w:eastAsia="Arial" w:hAnsi="Arial"/>
                <w:sz w:val="16"/>
                <w:szCs w:val="16"/>
                <w:color w:val="auto"/>
              </w:rPr>
              <w:t>18,801</w:t>
            </w:r>
          </w:p>
        </w:tc>
      </w:tr>
      <w:tr>
        <w:trPr>
          <w:trHeight w:val="270"/>
        </w:trPr>
        <w:tc>
          <w:tcPr>
            <w:tcW w:w="5520" w:type="dxa"/>
            <w:vAlign w:val="bottom"/>
          </w:tcPr>
          <w:p>
            <w:pPr>
              <w:ind w:left="180"/>
              <w:spacing w:after="0"/>
              <w:rPr>
                <w:sz w:val="20"/>
                <w:szCs w:val="20"/>
                <w:color w:val="auto"/>
              </w:rPr>
            </w:pPr>
            <w:r>
              <w:rPr>
                <w:rFonts w:ascii="Arial" w:cs="Arial" w:eastAsia="Arial" w:hAnsi="Arial"/>
                <w:sz w:val="16"/>
                <w:szCs w:val="16"/>
                <w:color w:val="auto"/>
              </w:rPr>
              <w:t>Income Before Income Taxes</w:t>
            </w:r>
          </w:p>
        </w:tc>
        <w:tc>
          <w:tcPr>
            <w:tcW w:w="1120" w:type="dxa"/>
            <w:vAlign w:val="bottom"/>
          </w:tcPr>
          <w:p>
            <w:pPr>
              <w:spacing w:after="0"/>
              <w:rPr>
                <w:sz w:val="23"/>
                <w:szCs w:val="23"/>
                <w:color w:val="auto"/>
              </w:rPr>
            </w:pPr>
          </w:p>
        </w:tc>
        <w:tc>
          <w:tcPr>
            <w:tcW w:w="1400" w:type="dxa"/>
            <w:vAlign w:val="bottom"/>
          </w:tcPr>
          <w:p>
            <w:pPr>
              <w:jc w:val="right"/>
              <w:ind w:right="62"/>
              <w:spacing w:after="0"/>
              <w:rPr>
                <w:sz w:val="20"/>
                <w:szCs w:val="20"/>
                <w:color w:val="auto"/>
              </w:rPr>
            </w:pPr>
            <w:r>
              <w:rPr>
                <w:rFonts w:ascii="Arial" w:cs="Arial" w:eastAsia="Arial" w:hAnsi="Arial"/>
                <w:sz w:val="16"/>
                <w:szCs w:val="16"/>
                <w:color w:val="auto"/>
              </w:rPr>
              <w:t>23,786</w:t>
            </w:r>
          </w:p>
        </w:tc>
        <w:tc>
          <w:tcPr>
            <w:tcW w:w="340" w:type="dxa"/>
            <w:vAlign w:val="bottom"/>
          </w:tcPr>
          <w:p>
            <w:pPr>
              <w:spacing w:after="0"/>
              <w:rPr>
                <w:sz w:val="23"/>
                <w:szCs w:val="23"/>
                <w:color w:val="auto"/>
              </w:rPr>
            </w:pPr>
          </w:p>
        </w:tc>
        <w:tc>
          <w:tcPr>
            <w:tcW w:w="13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1400" w:type="dxa"/>
            <w:vAlign w:val="bottom"/>
          </w:tcPr>
          <w:p>
            <w:pPr>
              <w:jc w:val="right"/>
              <w:ind w:right="20"/>
              <w:spacing w:after="0"/>
              <w:rPr>
                <w:sz w:val="20"/>
                <w:szCs w:val="20"/>
                <w:color w:val="auto"/>
              </w:rPr>
            </w:pPr>
            <w:r>
              <w:rPr>
                <w:rFonts w:ascii="Arial" w:cs="Arial" w:eastAsia="Arial" w:hAnsi="Arial"/>
                <w:sz w:val="16"/>
                <w:szCs w:val="16"/>
                <w:color w:val="auto"/>
              </w:rPr>
              <w:t>23,786</w:t>
            </w:r>
          </w:p>
        </w:tc>
      </w:tr>
    </w:tbl>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ACQUISITIONS AND DISPOSITIONS OF BUSINESSES</w:t>
      </w:r>
    </w:p>
    <w:p>
      <w:pPr>
        <w:spacing w:after="0" w:line="144" w:lineRule="exact"/>
        <w:rPr>
          <w:sz w:val="20"/>
          <w:szCs w:val="20"/>
          <w:color w:val="auto"/>
        </w:rPr>
      </w:pPr>
    </w:p>
    <w:p>
      <w:pPr>
        <w:ind w:right="200"/>
        <w:spacing w:after="0" w:line="226" w:lineRule="auto"/>
        <w:rPr>
          <w:sz w:val="20"/>
          <w:szCs w:val="20"/>
          <w:color w:val="auto"/>
        </w:rPr>
      </w:pPr>
      <w:r>
        <w:rPr>
          <w:rFonts w:ascii="Arial" w:cs="Arial" w:eastAsia="Arial" w:hAnsi="Arial"/>
          <w:sz w:val="18"/>
          <w:szCs w:val="18"/>
          <w:b w:val="1"/>
          <w:bCs w:val="1"/>
          <w:color w:val="auto"/>
        </w:rPr>
        <w:t>Acquisitions</w:t>
      </w:r>
      <w:r>
        <w:rPr>
          <w:rFonts w:ascii="Arial" w:cs="Arial" w:eastAsia="Arial" w:hAnsi="Arial"/>
          <w:sz w:val="18"/>
          <w:szCs w:val="18"/>
          <w:color w:val="auto"/>
        </w:rPr>
        <w:t>. In the first three months of 2018, Kaplan acquired the assets of i-Human Patients, Inc., a leader in cloud-based, interactive</w:t>
      </w:r>
      <w:r>
        <w:rPr>
          <w:rFonts w:ascii="Arial" w:cs="Arial" w:eastAsia="Arial" w:hAnsi="Arial"/>
          <w:sz w:val="18"/>
          <w:szCs w:val="18"/>
          <w:b w:val="1"/>
          <w:bCs w:val="1"/>
          <w:color w:val="auto"/>
        </w:rPr>
        <w:t xml:space="preserve"> </w:t>
      </w:r>
      <w:r>
        <w:rPr>
          <w:rFonts w:ascii="Arial" w:cs="Arial" w:eastAsia="Arial" w:hAnsi="Arial"/>
          <w:sz w:val="18"/>
          <w:szCs w:val="18"/>
          <w:color w:val="auto"/>
        </w:rPr>
        <w:t>patient encounter simulations for medical and nursing professionals and educators, and another small business in its test preparation and international division, respectively, for $3.2 million. These acquisitions are expected to provide strategic benefits in the future. The purchase price allocation mostly comprised goodwill and other intangible assets. The fair values recorded were based upon preliminary valuations and the estimates and assumptions used in such valuations are subject to change within the measurement period (up to one year from the acquisition date). Goodwill is calculated as the excess of the consideration transferred over the net assets recognized and represents the estimated future economic benefits arising from other assets acquired that could not be individually identified and separately recognized. The goodwill recorded due to these acquisitions is attributable to the assembled workforces of the acquired companies and expected synergies.</w:t>
      </w:r>
    </w:p>
    <w:p>
      <w:pPr>
        <w:spacing w:after="0" w:line="137" w:lineRule="exact"/>
        <w:rPr>
          <w:sz w:val="20"/>
          <w:szCs w:val="20"/>
          <w:color w:val="auto"/>
        </w:rPr>
      </w:pPr>
    </w:p>
    <w:p>
      <w:pPr>
        <w:ind w:right="180"/>
        <w:spacing w:after="0" w:line="229" w:lineRule="auto"/>
        <w:rPr>
          <w:sz w:val="20"/>
          <w:szCs w:val="20"/>
          <w:color w:val="auto"/>
        </w:rPr>
      </w:pPr>
      <w:r>
        <w:rPr>
          <w:rFonts w:ascii="Arial" w:cs="Arial" w:eastAsia="Arial" w:hAnsi="Arial"/>
          <w:sz w:val="18"/>
          <w:szCs w:val="18"/>
          <w:color w:val="auto"/>
        </w:rPr>
        <w:t>During 2017, the Company acquired six businesses, two in its education division, two in its television broadcasting division and two in other businesses for $318.9 million in cash and contingent consideration, and the assumption of $59.1 million in certain pension and postretirement obligations.</w:t>
      </w:r>
    </w:p>
    <w:p>
      <w:pPr>
        <w:spacing w:after="0" w:line="137"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On January 17, 2017, the Company closed on its agreement with Nexstar Broadcasting Group, Inc. and Media General, Inc. to acquire the assets of WCWJ, a CW affiliate television station in Jacksonville, FL and WSLS, an NBC affiliate television station in Roanoke, VA for cash and the assumption of certain pension obligations. The acquisition of WCWJ and WSLS will complement the other stations that GMG operates. Both of these acquisitions are included in television broadcasting.</w:t>
      </w:r>
    </w:p>
    <w:p>
      <w:pPr>
        <w:spacing w:after="0" w:line="135"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In February 2017, Kaplan acquired a 100% interest in Genesis Training Institute, a Dubai-based provider of professional development training in the United Arab Emirates, by purchasing all of its issued and outstanding shares. Additionally, Kaplan acquired a 100% interest in Red Marker Pty Ltd, an Australia-based regulatory technology company by purchasing all of its outstanding shares. These acquisitions are expected to provide certain strategic benefits in the future. Both of these acquisitions are included in Kaplan International.</w:t>
      </w:r>
    </w:p>
    <w:p>
      <w:pPr>
        <w:spacing w:after="0" w:line="135" w:lineRule="exact"/>
        <w:rPr>
          <w:sz w:val="20"/>
          <w:szCs w:val="20"/>
          <w:color w:val="auto"/>
        </w:rPr>
      </w:pPr>
    </w:p>
    <w:p>
      <w:pPr>
        <w:ind w:right="180"/>
        <w:spacing w:after="0" w:line="223" w:lineRule="auto"/>
        <w:rPr>
          <w:sz w:val="20"/>
          <w:szCs w:val="20"/>
          <w:color w:val="auto"/>
        </w:rPr>
      </w:pPr>
      <w:r>
        <w:rPr>
          <w:rFonts w:ascii="Arial" w:cs="Arial" w:eastAsia="Arial" w:hAnsi="Arial"/>
          <w:sz w:val="18"/>
          <w:szCs w:val="18"/>
          <w:color w:val="auto"/>
        </w:rPr>
        <w:t>In April 2017, the Company acquired 97.72% of the issued and outstanding shares of Hoover Treated Wood Products, Inc., a Thomson, GA-based supplier of pressure impregnated kiln-dried lumber and plywood products for fire retardant and preservative applications for $206.8 million, net of cash acquired. The fair value of the redeemable noncontrolling interest in Hoover was $3.7 million at the acquisition date, determined using a market approach. The minority shareholders have an option to put some of their shares to the Company starting in 2019 and the remaining shares starting in 2021. The Company has an option to buy the shares of minority shareholders starting in 2027. This acquisition is consistent with the Company’s ongoing strategy of investing in companies with a history of profitability and strong management. Hoover is included in other businesses.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719" w:right="239" w:bottom="1440" w:gutter="0" w:footer="0" w:header="0"/>
        </w:sectPr>
      </w:pPr>
    </w:p>
    <w:bookmarkStart w:id="10" w:name="page11"/>
    <w:bookmarkEnd w:id="10"/>
    <w:p>
      <w:pPr>
        <w:ind w:right="240"/>
        <w:spacing w:after="0" w:line="229" w:lineRule="auto"/>
        <w:rPr>
          <w:sz w:val="20"/>
          <w:szCs w:val="20"/>
          <w:color w:val="auto"/>
        </w:rPr>
      </w:pPr>
      <w:r>
        <w:rPr>
          <w:rFonts w:ascii="Arial" w:cs="Arial" w:eastAsia="Arial" w:hAnsi="Arial"/>
          <w:sz w:val="18"/>
          <w:szCs w:val="18"/>
          <w:color w:val="auto"/>
        </w:rPr>
        <w:t>At the end of June 2017, Graham Healthcare Group (GHG) acquired a 100% interest in Hometown Home Health and Hospice, a Lapeer, MI-based healthcare services provider by purchasing all of its issued and outstanding shares. This acquisition expands GHG’s service area in Michigan. GHG is included in other businesses.</w:t>
      </w:r>
    </w:p>
    <w:p>
      <w:pPr>
        <w:spacing w:after="0" w:line="137"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color w:val="auto"/>
        </w:rPr>
        <w:t>Acquisition-related costs for acquisitions that closed during the first quarter of 2018 were $0.1 million and were expensed as incurred. Acquisition-related costs for acquisitions that closed during the first quarter of 2017 were $1.1 million and were expensed as incurred. The aggregate purchase price of these 2017 acquisitions was allocated as follows, based on acquisition date fair values to the following assets and liabilities: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jc w:val="center"/>
              <w:ind w:right="121"/>
              <w:spacing w:after="0"/>
              <w:rPr>
                <w:sz w:val="20"/>
                <w:szCs w:val="20"/>
                <w:color w:val="auto"/>
              </w:rPr>
            </w:pPr>
            <w:r>
              <w:rPr>
                <w:rFonts w:ascii="Arial" w:cs="Arial" w:eastAsia="Arial" w:hAnsi="Arial"/>
                <w:sz w:val="14"/>
                <w:szCs w:val="14"/>
                <w:b w:val="1"/>
                <w:bCs w:val="1"/>
                <w:color w:val="auto"/>
              </w:rPr>
              <w:t>Purchase Price</w:t>
            </w:r>
          </w:p>
        </w:tc>
      </w:tr>
      <w:tr>
        <w:trPr>
          <w:trHeight w:val="196"/>
        </w:trPr>
        <w:tc>
          <w:tcPr>
            <w:tcW w:w="98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rPr>
              <w:t>Allocation</w:t>
            </w:r>
          </w:p>
        </w:tc>
      </w:tr>
      <w:tr>
        <w:trPr>
          <w:trHeight w:val="250"/>
        </w:trPr>
        <w:tc>
          <w:tcPr>
            <w:tcW w:w="98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rPr>
              <w:t>As of</w:t>
            </w:r>
          </w:p>
        </w:tc>
      </w:tr>
      <w:tr>
        <w:trPr>
          <w:trHeight w:val="250"/>
        </w:trPr>
        <w:tc>
          <w:tcPr>
            <w:tcW w:w="98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December 31, 2017</w:t>
            </w:r>
          </w:p>
        </w:tc>
      </w:tr>
      <w:tr>
        <w:trPr>
          <w:trHeight w:val="250"/>
        </w:trPr>
        <w:tc>
          <w:tcPr>
            <w:tcW w:w="9820" w:type="dxa"/>
            <w:vAlign w:val="bottom"/>
          </w:tcPr>
          <w:p>
            <w:pPr>
              <w:ind w:left="40"/>
              <w:spacing w:after="0"/>
              <w:rPr>
                <w:sz w:val="20"/>
                <w:szCs w:val="20"/>
                <w:color w:val="auto"/>
              </w:rPr>
            </w:pPr>
            <w:r>
              <w:rPr>
                <w:rFonts w:ascii="Arial" w:cs="Arial" w:eastAsia="Arial" w:hAnsi="Arial"/>
                <w:sz w:val="16"/>
                <w:szCs w:val="16"/>
                <w:color w:val="auto"/>
              </w:rPr>
              <w:t>Accounts receivable</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21"/>
              <w:spacing w:after="0"/>
              <w:rPr>
                <w:sz w:val="20"/>
                <w:szCs w:val="20"/>
                <w:color w:val="auto"/>
              </w:rPr>
            </w:pPr>
            <w:r>
              <w:rPr>
                <w:rFonts w:ascii="Arial" w:cs="Arial" w:eastAsia="Arial" w:hAnsi="Arial"/>
                <w:sz w:val="16"/>
                <w:szCs w:val="16"/>
                <w:color w:val="auto"/>
              </w:rPr>
              <w:t>12,502</w:t>
            </w:r>
          </w:p>
        </w:tc>
      </w:tr>
      <w:tr>
        <w:trPr>
          <w:trHeight w:val="270"/>
        </w:trPr>
        <w:tc>
          <w:tcPr>
            <w:tcW w:w="9820" w:type="dxa"/>
            <w:vAlign w:val="bottom"/>
          </w:tcPr>
          <w:p>
            <w:pPr>
              <w:ind w:left="40"/>
              <w:spacing w:after="0"/>
              <w:rPr>
                <w:sz w:val="20"/>
                <w:szCs w:val="20"/>
                <w:color w:val="auto"/>
              </w:rPr>
            </w:pPr>
            <w:r>
              <w:rPr>
                <w:rFonts w:ascii="Arial" w:cs="Arial" w:eastAsia="Arial" w:hAnsi="Arial"/>
                <w:sz w:val="16"/>
                <w:szCs w:val="16"/>
                <w:color w:val="auto"/>
              </w:rPr>
              <w:t>Inventory</w:t>
            </w:r>
          </w:p>
        </w:tc>
        <w:tc>
          <w:tcPr>
            <w:tcW w:w="200" w:type="dxa"/>
            <w:vAlign w:val="bottom"/>
          </w:tcPr>
          <w:p>
            <w:pPr>
              <w:spacing w:after="0"/>
              <w:rPr>
                <w:sz w:val="23"/>
                <w:szCs w:val="23"/>
                <w:color w:val="auto"/>
              </w:rPr>
            </w:pPr>
          </w:p>
        </w:tc>
        <w:tc>
          <w:tcPr>
            <w:tcW w:w="1400" w:type="dxa"/>
            <w:vAlign w:val="bottom"/>
          </w:tcPr>
          <w:p>
            <w:pPr>
              <w:jc w:val="right"/>
              <w:ind w:right="21"/>
              <w:spacing w:after="0"/>
              <w:rPr>
                <w:sz w:val="20"/>
                <w:szCs w:val="20"/>
                <w:color w:val="auto"/>
              </w:rPr>
            </w:pPr>
            <w:r>
              <w:rPr>
                <w:rFonts w:ascii="Arial" w:cs="Arial" w:eastAsia="Arial" w:hAnsi="Arial"/>
                <w:sz w:val="16"/>
                <w:szCs w:val="16"/>
                <w:color w:val="auto"/>
              </w:rPr>
              <w:t>25,253</w:t>
            </w:r>
          </w:p>
        </w:tc>
      </w:tr>
      <w:tr>
        <w:trPr>
          <w:trHeight w:val="270"/>
        </w:trPr>
        <w:tc>
          <w:tcPr>
            <w:tcW w:w="9820" w:type="dxa"/>
            <w:vAlign w:val="bottom"/>
          </w:tcPr>
          <w:p>
            <w:pPr>
              <w:ind w:left="40"/>
              <w:spacing w:after="0"/>
              <w:rPr>
                <w:sz w:val="20"/>
                <w:szCs w:val="20"/>
                <w:color w:val="auto"/>
              </w:rPr>
            </w:pPr>
            <w:r>
              <w:rPr>
                <w:rFonts w:ascii="Arial" w:cs="Arial" w:eastAsia="Arial" w:hAnsi="Arial"/>
                <w:sz w:val="16"/>
                <w:szCs w:val="16"/>
                <w:color w:val="auto"/>
              </w:rPr>
              <w:t>Property, plant and equipment</w:t>
            </w:r>
          </w:p>
        </w:tc>
        <w:tc>
          <w:tcPr>
            <w:tcW w:w="200" w:type="dxa"/>
            <w:vAlign w:val="bottom"/>
          </w:tcPr>
          <w:p>
            <w:pPr>
              <w:spacing w:after="0"/>
              <w:rPr>
                <w:sz w:val="23"/>
                <w:szCs w:val="23"/>
                <w:color w:val="auto"/>
              </w:rPr>
            </w:pPr>
          </w:p>
        </w:tc>
        <w:tc>
          <w:tcPr>
            <w:tcW w:w="1400" w:type="dxa"/>
            <w:vAlign w:val="bottom"/>
          </w:tcPr>
          <w:p>
            <w:pPr>
              <w:jc w:val="right"/>
              <w:ind w:right="21"/>
              <w:spacing w:after="0"/>
              <w:rPr>
                <w:sz w:val="20"/>
                <w:szCs w:val="20"/>
                <w:color w:val="auto"/>
              </w:rPr>
            </w:pPr>
            <w:r>
              <w:rPr>
                <w:rFonts w:ascii="Arial" w:cs="Arial" w:eastAsia="Arial" w:hAnsi="Arial"/>
                <w:sz w:val="16"/>
                <w:szCs w:val="16"/>
                <w:color w:val="auto"/>
              </w:rPr>
              <w:t>29,921</w:t>
            </w:r>
          </w:p>
        </w:tc>
      </w:tr>
      <w:tr>
        <w:trPr>
          <w:trHeight w:val="270"/>
        </w:trPr>
        <w:tc>
          <w:tcPr>
            <w:tcW w:w="9820" w:type="dxa"/>
            <w:vAlign w:val="bottom"/>
          </w:tcPr>
          <w:p>
            <w:pPr>
              <w:ind w:left="40"/>
              <w:spacing w:after="0"/>
              <w:rPr>
                <w:sz w:val="20"/>
                <w:szCs w:val="20"/>
                <w:color w:val="auto"/>
              </w:rPr>
            </w:pPr>
            <w:r>
              <w:rPr>
                <w:rFonts w:ascii="Arial" w:cs="Arial" w:eastAsia="Arial" w:hAnsi="Arial"/>
                <w:sz w:val="16"/>
                <w:szCs w:val="16"/>
                <w:color w:val="auto"/>
              </w:rPr>
              <w:t>Goodwill</w:t>
            </w:r>
          </w:p>
        </w:tc>
        <w:tc>
          <w:tcPr>
            <w:tcW w:w="200" w:type="dxa"/>
            <w:vAlign w:val="bottom"/>
          </w:tcPr>
          <w:p>
            <w:pPr>
              <w:spacing w:after="0"/>
              <w:rPr>
                <w:sz w:val="23"/>
                <w:szCs w:val="23"/>
                <w:color w:val="auto"/>
              </w:rPr>
            </w:pPr>
          </w:p>
        </w:tc>
        <w:tc>
          <w:tcPr>
            <w:tcW w:w="1400" w:type="dxa"/>
            <w:vAlign w:val="bottom"/>
          </w:tcPr>
          <w:p>
            <w:pPr>
              <w:jc w:val="right"/>
              <w:ind w:right="21"/>
              <w:spacing w:after="0"/>
              <w:rPr>
                <w:sz w:val="20"/>
                <w:szCs w:val="20"/>
                <w:color w:val="auto"/>
              </w:rPr>
            </w:pPr>
            <w:r>
              <w:rPr>
                <w:rFonts w:ascii="Arial" w:cs="Arial" w:eastAsia="Arial" w:hAnsi="Arial"/>
                <w:sz w:val="16"/>
                <w:szCs w:val="16"/>
                <w:color w:val="auto"/>
              </w:rPr>
              <w:t>143,149</w:t>
            </w:r>
          </w:p>
        </w:tc>
      </w:tr>
      <w:tr>
        <w:trPr>
          <w:trHeight w:val="270"/>
        </w:trPr>
        <w:tc>
          <w:tcPr>
            <w:tcW w:w="9820" w:type="dxa"/>
            <w:vAlign w:val="bottom"/>
          </w:tcPr>
          <w:p>
            <w:pPr>
              <w:ind w:left="40"/>
              <w:spacing w:after="0"/>
              <w:rPr>
                <w:sz w:val="20"/>
                <w:szCs w:val="20"/>
                <w:color w:val="auto"/>
              </w:rPr>
            </w:pPr>
            <w:r>
              <w:rPr>
                <w:rFonts w:ascii="Arial" w:cs="Arial" w:eastAsia="Arial" w:hAnsi="Arial"/>
                <w:sz w:val="16"/>
                <w:szCs w:val="16"/>
                <w:color w:val="auto"/>
              </w:rPr>
              <w:t>Indefinite-lived intangible assets</w:t>
            </w:r>
          </w:p>
        </w:tc>
        <w:tc>
          <w:tcPr>
            <w:tcW w:w="200" w:type="dxa"/>
            <w:vAlign w:val="bottom"/>
          </w:tcPr>
          <w:p>
            <w:pPr>
              <w:spacing w:after="0"/>
              <w:rPr>
                <w:sz w:val="23"/>
                <w:szCs w:val="23"/>
                <w:color w:val="auto"/>
              </w:rPr>
            </w:pPr>
          </w:p>
        </w:tc>
        <w:tc>
          <w:tcPr>
            <w:tcW w:w="1400" w:type="dxa"/>
            <w:vAlign w:val="bottom"/>
          </w:tcPr>
          <w:p>
            <w:pPr>
              <w:jc w:val="right"/>
              <w:ind w:right="21"/>
              <w:spacing w:after="0"/>
              <w:rPr>
                <w:sz w:val="20"/>
                <w:szCs w:val="20"/>
                <w:color w:val="auto"/>
              </w:rPr>
            </w:pPr>
            <w:r>
              <w:rPr>
                <w:rFonts w:ascii="Arial" w:cs="Arial" w:eastAsia="Arial" w:hAnsi="Arial"/>
                <w:sz w:val="16"/>
                <w:szCs w:val="16"/>
                <w:color w:val="auto"/>
              </w:rPr>
              <w:t>33,800</w:t>
            </w:r>
          </w:p>
        </w:tc>
      </w:tr>
      <w:tr>
        <w:trPr>
          <w:trHeight w:val="270"/>
        </w:trPr>
        <w:tc>
          <w:tcPr>
            <w:tcW w:w="9820" w:type="dxa"/>
            <w:vAlign w:val="bottom"/>
          </w:tcPr>
          <w:p>
            <w:pPr>
              <w:ind w:left="40"/>
              <w:spacing w:after="0"/>
              <w:rPr>
                <w:sz w:val="20"/>
                <w:szCs w:val="20"/>
                <w:color w:val="auto"/>
              </w:rPr>
            </w:pPr>
            <w:r>
              <w:rPr>
                <w:rFonts w:ascii="Arial" w:cs="Arial" w:eastAsia="Arial" w:hAnsi="Arial"/>
                <w:sz w:val="16"/>
                <w:szCs w:val="16"/>
                <w:color w:val="auto"/>
              </w:rPr>
              <w:t>Amortized intangible assets</w:t>
            </w:r>
          </w:p>
        </w:tc>
        <w:tc>
          <w:tcPr>
            <w:tcW w:w="200" w:type="dxa"/>
            <w:vAlign w:val="bottom"/>
          </w:tcPr>
          <w:p>
            <w:pPr>
              <w:spacing w:after="0"/>
              <w:rPr>
                <w:sz w:val="23"/>
                <w:szCs w:val="23"/>
                <w:color w:val="auto"/>
              </w:rPr>
            </w:pPr>
          </w:p>
        </w:tc>
        <w:tc>
          <w:tcPr>
            <w:tcW w:w="1400" w:type="dxa"/>
            <w:vAlign w:val="bottom"/>
          </w:tcPr>
          <w:p>
            <w:pPr>
              <w:jc w:val="right"/>
              <w:ind w:right="21"/>
              <w:spacing w:after="0"/>
              <w:rPr>
                <w:sz w:val="20"/>
                <w:szCs w:val="20"/>
                <w:color w:val="auto"/>
              </w:rPr>
            </w:pPr>
            <w:r>
              <w:rPr>
                <w:rFonts w:ascii="Arial" w:cs="Arial" w:eastAsia="Arial" w:hAnsi="Arial"/>
                <w:sz w:val="16"/>
                <w:szCs w:val="16"/>
                <w:color w:val="auto"/>
              </w:rPr>
              <w:t>170,658</w:t>
            </w:r>
          </w:p>
        </w:tc>
      </w:tr>
      <w:tr>
        <w:trPr>
          <w:trHeight w:val="270"/>
        </w:trPr>
        <w:tc>
          <w:tcPr>
            <w:tcW w:w="982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200" w:type="dxa"/>
            <w:vAlign w:val="bottom"/>
          </w:tcPr>
          <w:p>
            <w:pPr>
              <w:spacing w:after="0"/>
              <w:rPr>
                <w:sz w:val="23"/>
                <w:szCs w:val="23"/>
                <w:color w:val="auto"/>
              </w:rPr>
            </w:pPr>
          </w:p>
        </w:tc>
        <w:tc>
          <w:tcPr>
            <w:tcW w:w="1400" w:type="dxa"/>
            <w:vAlign w:val="bottom"/>
          </w:tcPr>
          <w:p>
            <w:pPr>
              <w:jc w:val="right"/>
              <w:ind w:right="21"/>
              <w:spacing w:after="0"/>
              <w:rPr>
                <w:sz w:val="20"/>
                <w:szCs w:val="20"/>
                <w:color w:val="auto"/>
              </w:rPr>
            </w:pPr>
            <w:r>
              <w:rPr>
                <w:rFonts w:ascii="Arial" w:cs="Arial" w:eastAsia="Arial" w:hAnsi="Arial"/>
                <w:sz w:val="16"/>
                <w:szCs w:val="16"/>
                <w:color w:val="auto"/>
              </w:rPr>
              <w:t>1,880</w:t>
            </w:r>
          </w:p>
        </w:tc>
      </w:tr>
      <w:tr>
        <w:trPr>
          <w:trHeight w:val="270"/>
        </w:trPr>
        <w:tc>
          <w:tcPr>
            <w:tcW w:w="9820" w:type="dxa"/>
            <w:vAlign w:val="bottom"/>
          </w:tcPr>
          <w:p>
            <w:pPr>
              <w:ind w:left="40"/>
              <w:spacing w:after="0"/>
              <w:rPr>
                <w:sz w:val="20"/>
                <w:szCs w:val="20"/>
                <w:color w:val="auto"/>
              </w:rPr>
            </w:pPr>
            <w:r>
              <w:rPr>
                <w:rFonts w:ascii="Arial" w:cs="Arial" w:eastAsia="Arial" w:hAnsi="Arial"/>
                <w:sz w:val="16"/>
                <w:szCs w:val="16"/>
                <w:color w:val="auto"/>
              </w:rPr>
              <w:t>Pension and other postretirement benefits liabilities</w:t>
            </w:r>
          </w:p>
        </w:tc>
        <w:tc>
          <w:tcPr>
            <w:tcW w:w="2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(59,116)</w:t>
            </w:r>
          </w:p>
        </w:tc>
      </w:tr>
      <w:tr>
        <w:trPr>
          <w:trHeight w:val="270"/>
        </w:trPr>
        <w:tc>
          <w:tcPr>
            <w:tcW w:w="9820" w:type="dxa"/>
            <w:vAlign w:val="bottom"/>
          </w:tcPr>
          <w:p>
            <w:pPr>
              <w:ind w:left="40"/>
              <w:spacing w:after="0"/>
              <w:rPr>
                <w:sz w:val="20"/>
                <w:szCs w:val="20"/>
                <w:color w:val="auto"/>
              </w:rPr>
            </w:pPr>
            <w:r>
              <w:rPr>
                <w:rFonts w:ascii="Arial" w:cs="Arial" w:eastAsia="Arial" w:hAnsi="Arial"/>
                <w:sz w:val="16"/>
                <w:szCs w:val="16"/>
                <w:color w:val="auto"/>
              </w:rPr>
              <w:t>Other liabilities</w:t>
            </w:r>
          </w:p>
        </w:tc>
        <w:tc>
          <w:tcPr>
            <w:tcW w:w="2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(12,177)</w:t>
            </w:r>
          </w:p>
        </w:tc>
      </w:tr>
      <w:tr>
        <w:trPr>
          <w:trHeight w:val="270"/>
        </w:trPr>
        <w:tc>
          <w:tcPr>
            <w:tcW w:w="9820" w:type="dxa"/>
            <w:vAlign w:val="bottom"/>
          </w:tcPr>
          <w:p>
            <w:pPr>
              <w:ind w:left="40"/>
              <w:spacing w:after="0"/>
              <w:rPr>
                <w:sz w:val="20"/>
                <w:szCs w:val="20"/>
                <w:color w:val="auto"/>
              </w:rPr>
            </w:pPr>
            <w:r>
              <w:rPr>
                <w:rFonts w:ascii="Arial" w:cs="Arial" w:eastAsia="Arial" w:hAnsi="Arial"/>
                <w:sz w:val="16"/>
                <w:szCs w:val="16"/>
                <w:color w:val="auto"/>
              </w:rPr>
              <w:t>Deferred income taxes</w:t>
            </w:r>
          </w:p>
        </w:tc>
        <w:tc>
          <w:tcPr>
            <w:tcW w:w="2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(37,289)</w:t>
            </w:r>
          </w:p>
        </w:tc>
      </w:tr>
      <w:tr>
        <w:trPr>
          <w:trHeight w:val="283"/>
        </w:trPr>
        <w:tc>
          <w:tcPr>
            <w:tcW w:w="9820" w:type="dxa"/>
            <w:vAlign w:val="bottom"/>
          </w:tcPr>
          <w:p>
            <w:pPr>
              <w:ind w:left="40"/>
              <w:spacing w:after="0"/>
              <w:rPr>
                <w:sz w:val="20"/>
                <w:szCs w:val="20"/>
                <w:color w:val="auto"/>
              </w:rPr>
            </w:pPr>
            <w:r>
              <w:rPr>
                <w:rFonts w:ascii="Arial" w:cs="Arial" w:eastAsia="Arial" w:hAnsi="Arial"/>
                <w:sz w:val="16"/>
                <w:szCs w:val="16"/>
                <w:color w:val="auto"/>
              </w:rPr>
              <w:t>Redeemable noncontrolling interest</w:t>
            </w:r>
          </w:p>
        </w:tc>
        <w:tc>
          <w:tcPr>
            <w:tcW w:w="2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(3,666)</w:t>
            </w:r>
          </w:p>
        </w:tc>
      </w:tr>
      <w:tr>
        <w:trPr>
          <w:trHeight w:val="240"/>
        </w:trPr>
        <w:tc>
          <w:tcPr>
            <w:tcW w:w="9820" w:type="dxa"/>
            <w:vAlign w:val="bottom"/>
          </w:tcPr>
          <w:p>
            <w:pPr>
              <w:ind w:left="40"/>
              <w:spacing w:after="0"/>
              <w:rPr>
                <w:sz w:val="20"/>
                <w:szCs w:val="20"/>
                <w:color w:val="auto"/>
              </w:rPr>
            </w:pPr>
            <w:r>
              <w:rPr>
                <w:rFonts w:ascii="Arial" w:cs="Arial" w:eastAsia="Arial" w:hAnsi="Arial"/>
                <w:sz w:val="16"/>
                <w:szCs w:val="16"/>
                <w:color w:val="auto"/>
              </w:rPr>
              <w:t>Aggregate purchase price, net of cash acquired</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304,915</w:t>
            </w:r>
          </w:p>
        </w:tc>
      </w:tr>
      <w:tr>
        <w:trPr>
          <w:trHeight w:val="20"/>
        </w:trPr>
        <w:tc>
          <w:tcPr>
            <w:tcW w:w="9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60"/>
        <w:spacing w:after="0" w:line="235" w:lineRule="auto"/>
        <w:rPr>
          <w:sz w:val="20"/>
          <w:szCs w:val="20"/>
          <w:color w:val="auto"/>
        </w:rPr>
      </w:pPr>
      <w:r>
        <w:rPr>
          <w:rFonts w:ascii="Arial" w:cs="Arial" w:eastAsia="Arial" w:hAnsi="Arial"/>
          <w:sz w:val="18"/>
          <w:szCs w:val="18"/>
          <w:color w:val="auto"/>
        </w:rPr>
        <w:t>The Company expects to deduct $0.9 million of goodwill for income tax purposes for the acquisitions completed during the first three months of 2018. The Company expects to deduct $11.0 million of goodwill for income tax purposes for the acquisitions completed in 2017.</w:t>
      </w:r>
    </w:p>
    <w:p>
      <w:pPr>
        <w:spacing w:after="0" w:line="135" w:lineRule="exact"/>
        <w:rPr>
          <w:sz w:val="20"/>
          <w:szCs w:val="20"/>
          <w:color w:val="auto"/>
        </w:rPr>
      </w:pPr>
    </w:p>
    <w:p>
      <w:pPr>
        <w:ind w:right="40"/>
        <w:spacing w:after="0" w:line="225" w:lineRule="auto"/>
        <w:rPr>
          <w:sz w:val="20"/>
          <w:szCs w:val="20"/>
          <w:color w:val="auto"/>
        </w:rPr>
      </w:pPr>
      <w:r>
        <w:rPr>
          <w:rFonts w:ascii="Arial" w:cs="Arial" w:eastAsia="Arial" w:hAnsi="Arial"/>
          <w:sz w:val="18"/>
          <w:szCs w:val="18"/>
          <w:color w:val="auto"/>
        </w:rPr>
        <w:t>The acquired companies were consolidated into the Company’s financial statements starting on their respective acquisition dates. The Company’s Condensed Consolidated Statements of Operations include aggregate revenues and operating losses for the companies acquired in 2018 of $0.3 million and $0.1 million, respectively. The following unaudited pro forma financial information presents the Company’s results as if the 2018 acquisitions had occurred at the beginning of 2017. The unaudited pro forma information also includes the 2017 acquisitions as if they occurred at the beginning of 2016:</w:t>
      </w:r>
    </w:p>
    <w:p>
      <w:pPr>
        <w:spacing w:after="0" w:line="138" w:lineRule="exact"/>
        <w:rPr>
          <w:sz w:val="20"/>
          <w:szCs w:val="20"/>
          <w:color w:val="auto"/>
        </w:rPr>
      </w:pPr>
    </w:p>
    <w:p>
      <w:pPr>
        <w:ind w:left="928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March 31</w:t>
            </w:r>
          </w:p>
        </w:tc>
        <w:tc>
          <w:tcPr>
            <w:tcW w:w="960" w:type="dxa"/>
            <w:vAlign w:val="bottom"/>
            <w:tcBorders>
              <w:bottom w:val="single" w:sz="8" w:color="auto"/>
            </w:tcBorders>
          </w:tcPr>
          <w:p>
            <w:pPr>
              <w:spacing w:after="0"/>
              <w:rPr>
                <w:sz w:val="16"/>
                <w:szCs w:val="16"/>
                <w:color w:val="auto"/>
              </w:rPr>
            </w:pPr>
          </w:p>
        </w:tc>
      </w:tr>
      <w:tr>
        <w:trPr>
          <w:trHeight w:val="258"/>
        </w:trPr>
        <w:tc>
          <w:tcPr>
            <w:tcW w:w="8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color w:val="auto"/>
              </w:rPr>
              <w:t>2017</w:t>
            </w:r>
          </w:p>
        </w:tc>
      </w:tr>
      <w:tr>
        <w:trPr>
          <w:trHeight w:val="250"/>
        </w:trPr>
        <w:tc>
          <w:tcPr>
            <w:tcW w:w="8580" w:type="dxa"/>
            <w:vAlign w:val="bottom"/>
          </w:tcPr>
          <w:p>
            <w:pPr>
              <w:ind w:left="40"/>
              <w:spacing w:after="0"/>
              <w:rPr>
                <w:sz w:val="20"/>
                <w:szCs w:val="20"/>
                <w:color w:val="auto"/>
              </w:rPr>
            </w:pPr>
            <w:r>
              <w:rPr>
                <w:rFonts w:ascii="Arial" w:cs="Arial" w:eastAsia="Arial" w:hAnsi="Arial"/>
                <w:sz w:val="16"/>
                <w:szCs w:val="16"/>
                <w:color w:val="auto"/>
              </w:rPr>
              <w:t>Operating revenues</w:t>
            </w:r>
          </w:p>
        </w:tc>
        <w:tc>
          <w:tcPr>
            <w:tcW w:w="320" w:type="dxa"/>
            <w:vAlign w:val="bottom"/>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Pr>
          <w:p>
            <w:pPr>
              <w:jc w:val="right"/>
              <w:ind w:right="43"/>
              <w:spacing w:after="0"/>
              <w:rPr>
                <w:sz w:val="20"/>
                <w:szCs w:val="20"/>
                <w:color w:val="auto"/>
              </w:rPr>
            </w:pPr>
            <w:r>
              <w:rPr>
                <w:rFonts w:ascii="Arial" w:cs="Arial" w:eastAsia="Arial" w:hAnsi="Arial"/>
                <w:sz w:val="16"/>
                <w:szCs w:val="16"/>
                <w:b w:val="1"/>
                <w:bCs w:val="1"/>
                <w:color w:val="auto"/>
              </w:rPr>
              <w:t>659,970</w:t>
            </w:r>
          </w:p>
        </w:tc>
        <w:tc>
          <w:tcPr>
            <w:tcW w:w="5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642,425</w:t>
            </w:r>
          </w:p>
        </w:tc>
      </w:tr>
      <w:tr>
        <w:trPr>
          <w:trHeight w:val="270"/>
        </w:trPr>
        <w:tc>
          <w:tcPr>
            <w:tcW w:w="858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320" w:type="dxa"/>
            <w:vAlign w:val="bottom"/>
          </w:tcPr>
          <w:p>
            <w:pPr>
              <w:spacing w:after="0"/>
              <w:rPr>
                <w:sz w:val="23"/>
                <w:szCs w:val="23"/>
                <w:color w:val="auto"/>
              </w:rPr>
            </w:pPr>
          </w:p>
        </w:tc>
        <w:tc>
          <w:tcPr>
            <w:tcW w:w="1060" w:type="dxa"/>
            <w:vAlign w:val="bottom"/>
          </w:tcPr>
          <w:p>
            <w:pPr>
              <w:jc w:val="right"/>
              <w:ind w:right="43"/>
              <w:spacing w:after="0"/>
              <w:rPr>
                <w:sz w:val="20"/>
                <w:szCs w:val="20"/>
                <w:color w:val="auto"/>
              </w:rPr>
            </w:pPr>
            <w:r>
              <w:rPr>
                <w:rFonts w:ascii="Arial" w:cs="Arial" w:eastAsia="Arial" w:hAnsi="Arial"/>
                <w:sz w:val="16"/>
                <w:szCs w:val="16"/>
                <w:b w:val="1"/>
                <w:bCs w:val="1"/>
                <w:color w:val="auto"/>
              </w:rPr>
              <w:t>43,075</w:t>
            </w:r>
          </w:p>
        </w:tc>
        <w:tc>
          <w:tcPr>
            <w:tcW w:w="500" w:type="dxa"/>
            <w:vAlign w:val="bottom"/>
          </w:tcPr>
          <w:p>
            <w:pPr>
              <w:spacing w:after="0"/>
              <w:rPr>
                <w:sz w:val="23"/>
                <w:szCs w:val="23"/>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24,267</w:t>
            </w:r>
          </w:p>
        </w:tc>
      </w:tr>
    </w:tbl>
    <w:p>
      <w:pPr>
        <w:spacing w:after="0" w:line="167" w:lineRule="exact"/>
        <w:rPr>
          <w:sz w:val="20"/>
          <w:szCs w:val="20"/>
          <w:color w:val="auto"/>
        </w:rPr>
      </w:pPr>
    </w:p>
    <w:p>
      <w:pPr>
        <w:ind w:right="80"/>
        <w:spacing w:after="0" w:line="224" w:lineRule="auto"/>
        <w:rPr>
          <w:sz w:val="20"/>
          <w:szCs w:val="20"/>
          <w:color w:val="auto"/>
        </w:rPr>
      </w:pPr>
      <w:r>
        <w:rPr>
          <w:rFonts w:ascii="Arial" w:cs="Arial" w:eastAsia="Arial" w:hAnsi="Arial"/>
          <w:sz w:val="18"/>
          <w:szCs w:val="18"/>
          <w:color w:val="auto"/>
        </w:rPr>
        <w:t>These pro forma results were based on estimates and assumptions, which the Company believes are reasonable, and include the historical results of operations of the acquired companies and adjustments for depreciation and amortization of identified assets and the effect of pre-acquisition transaction related expenses incurred by the Company and the acquired entities. The pro forma information does not include efficiencies, cost reductions and synergies expected to result from the acquisitions. They are not the results that would have been realized had these entities been part of the Company during the periods presented and are not necessarily indicative of the Company’s consolidated results of operations in future periods.</w:t>
      </w:r>
    </w:p>
    <w:p>
      <w:pPr>
        <w:spacing w:after="0" w:line="115" w:lineRule="exact"/>
        <w:rPr>
          <w:sz w:val="20"/>
          <w:szCs w:val="20"/>
          <w:color w:val="auto"/>
        </w:rPr>
      </w:pPr>
    </w:p>
    <w:p>
      <w:pPr>
        <w:ind w:right="80"/>
        <w:spacing w:after="0" w:line="230" w:lineRule="auto"/>
        <w:rPr>
          <w:sz w:val="20"/>
          <w:szCs w:val="20"/>
          <w:color w:val="auto"/>
        </w:rPr>
      </w:pPr>
      <w:r>
        <w:rPr>
          <w:rFonts w:ascii="Arial" w:cs="Arial" w:eastAsia="Arial" w:hAnsi="Arial"/>
          <w:sz w:val="18"/>
          <w:szCs w:val="18"/>
          <w:b w:val="1"/>
          <w:bCs w:val="1"/>
          <w:color w:val="auto"/>
        </w:rPr>
        <w:t xml:space="preserve">Kaplan University Transaction. </w:t>
      </w:r>
      <w:r>
        <w:rPr>
          <w:rFonts w:ascii="Arial" w:cs="Arial" w:eastAsia="Arial" w:hAnsi="Arial"/>
          <w:sz w:val="18"/>
          <w:szCs w:val="18"/>
          <w:color w:val="auto"/>
        </w:rPr>
        <w:t>On April 27, 2017, certain subsidiaries of Kaplan entered into a Contribution and Transfer Agreement to</w:t>
      </w:r>
      <w:r>
        <w:rPr>
          <w:rFonts w:ascii="Arial" w:cs="Arial" w:eastAsia="Arial" w:hAnsi="Arial"/>
          <w:sz w:val="18"/>
          <w:szCs w:val="18"/>
          <w:b w:val="1"/>
          <w:bCs w:val="1"/>
          <w:color w:val="auto"/>
        </w:rPr>
        <w:t xml:space="preserve"> </w:t>
      </w:r>
      <w:r>
        <w:rPr>
          <w:rFonts w:ascii="Arial" w:cs="Arial" w:eastAsia="Arial" w:hAnsi="Arial"/>
          <w:sz w:val="18"/>
          <w:szCs w:val="18"/>
          <w:color w:val="auto"/>
        </w:rPr>
        <w:t>contribute the institutional assets and operations of Kaplan University to an Indiana non-profit, public-benefit corporation that is a subsidiary affiliated with Purdue University. The closing of the transactions contemplated by the Transfer Agreement occurred on March 22, 2018. At the same time, the parties entered into a Transition and Operations Support Agreement (TOSA) pursuant to which Kaplan will provide key non-academic operations support to the new university.</w:t>
      </w:r>
    </w:p>
    <w:p>
      <w:pPr>
        <w:spacing w:after="0" w:line="138"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color w:val="auto"/>
        </w:rPr>
        <w:t>The new university will operate almost exclusively online as a new Indiana public university affiliated with Purdue under the name Purdue University Global. As part of the transfer to Purdue University Global, KU transferred students, academic personnel, faculty and operations, property leases for KU’s campuses and learning centers, Kaplan-owned academic curricula and content related to KU courses. The operations support activities that Kaplan</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719" w:right="239" w:bottom="1440" w:gutter="0" w:footer="0" w:header="0"/>
        </w:sectPr>
      </w:pPr>
    </w:p>
    <w:bookmarkStart w:id="11" w:name="page12"/>
    <w:bookmarkEnd w:id="11"/>
    <w:p>
      <w:pPr>
        <w:ind w:right="240"/>
        <w:spacing w:after="0" w:line="229" w:lineRule="auto"/>
        <w:rPr>
          <w:sz w:val="20"/>
          <w:szCs w:val="20"/>
          <w:color w:val="auto"/>
        </w:rPr>
      </w:pPr>
      <w:r>
        <w:rPr>
          <w:rFonts w:ascii="Arial" w:cs="Arial" w:eastAsia="Arial" w:hAnsi="Arial"/>
          <w:sz w:val="18"/>
          <w:szCs w:val="18"/>
          <w:color w:val="auto"/>
        </w:rPr>
        <w:t>will provide to Purdue University Global will include technology support, help-desk functions, human resources support for transferred faculty and employees, admissions support, financial aid administration, marketing and advertising, back-office business functions, certain test preparation and domestic and international student recruiting services.</w:t>
      </w:r>
    </w:p>
    <w:p>
      <w:pPr>
        <w:spacing w:after="0" w:line="137"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color w:val="auto"/>
        </w:rPr>
        <w:t>The transfer of KU does not include any of the assets of the KU School of Professional and Continuing Education, which provides professional training and exam preparation for professional certifications and licensures, nor does it include the transfer of other Kaplan businesses such as Kaplan Test Preparation and Kaplan International. Those entities, programs and business lines will remain part of Kaplan. Kaplan received nominal cash consideration upon transfer of the institutional assets.</w:t>
      </w:r>
    </w:p>
    <w:p>
      <w:pPr>
        <w:spacing w:after="0" w:line="135" w:lineRule="exact"/>
        <w:rPr>
          <w:sz w:val="20"/>
          <w:szCs w:val="20"/>
          <w:color w:val="auto"/>
        </w:rPr>
      </w:pPr>
    </w:p>
    <w:p>
      <w:pPr>
        <w:ind w:right="60"/>
        <w:spacing w:after="0" w:line="223" w:lineRule="auto"/>
        <w:rPr>
          <w:sz w:val="20"/>
          <w:szCs w:val="20"/>
          <w:color w:val="auto"/>
        </w:rPr>
      </w:pPr>
      <w:r>
        <w:rPr>
          <w:rFonts w:ascii="Arial" w:cs="Arial" w:eastAsia="Arial" w:hAnsi="Arial"/>
          <w:sz w:val="18"/>
          <w:szCs w:val="18"/>
          <w:color w:val="auto"/>
        </w:rPr>
        <w:t>Pursuant to the TOSA, Kaplan is not entitled to receive any reimbursement of costs incurred in providing support functions, or any fee, unless and until Purdue University Global has first covered all of its operating costs (subject to a cap). If Purdue University Global achieves cost efficiencies in its operations, then Purdue University Global may be entitled to an additional payment equal to 20 percent of such cost efficiencies (Purdue Efficiency Payment). In addition, during each of Purdue University Global’s first five years, prior to any payment to Kaplan, Purdue University Global is entitled to a priority payment of $10 million per year beyond costs. To the extent Purdue University Global’s revenue is insufficient to pay the $10 million per year priority payment, Kaplan is required to advance an amount to Purdue University Global to cover such insufficiency. At closing, Kaplan paid to Purdue University Global an advance in the amount of $20 million, representing, and in lieu of, priority payments for Purdue University Global’s fiscal years ending June 30, 2019 and June 30, 2020.</w:t>
      </w:r>
    </w:p>
    <w:p>
      <w:pPr>
        <w:spacing w:after="0" w:line="136" w:lineRule="exact"/>
        <w:rPr>
          <w:sz w:val="20"/>
          <w:szCs w:val="20"/>
          <w:color w:val="auto"/>
        </w:rPr>
      </w:pPr>
    </w:p>
    <w:p>
      <w:pPr>
        <w:ind w:right="60"/>
        <w:spacing w:after="0" w:line="223" w:lineRule="auto"/>
        <w:rPr>
          <w:sz w:val="20"/>
          <w:szCs w:val="20"/>
          <w:color w:val="auto"/>
        </w:rPr>
      </w:pPr>
      <w:r>
        <w:rPr>
          <w:rFonts w:ascii="Arial" w:cs="Arial" w:eastAsia="Arial" w:hAnsi="Arial"/>
          <w:sz w:val="18"/>
          <w:szCs w:val="18"/>
          <w:color w:val="auto"/>
        </w:rPr>
        <w:t>To the extent that there are sufficient revenues to pay the Purdue Efficiency Payment, Purdue University Global is reimbursed for its operating costs (subject to a cap) and the priority payment to Purdue University Global is paid. To the extent there is remaining revenue, Kaplan will then receive reimbursement for its operating costs (subject to a cap) of providing the support activities. If Kaplan achieves cost efficiencies in its operations, then Kaplan may be entitled to an additional payment equal to 20 percent of such cost efficiencies (Kaplan Efficiency Payment). If there are sufficient revenues, Kaplan may also receive a fee equal to 12.5 percent of Purdue University Global’s revenue. The fee will increase to 13 percent beginning with Purdue University Global’s fiscal year ending June 30, 2023 and continuing through Purdue University Global’s fiscal year ending June 30, 2027, and then the fee will return to 12.5 percent thereafter. Subject to certain limitations, a portion of the fee that is earned by Kaplan in one year may be carried over and instead paid to Kaplan in subsequent years.</w:t>
      </w:r>
    </w:p>
    <w:p>
      <w:pPr>
        <w:spacing w:after="0" w:line="136" w:lineRule="exact"/>
        <w:rPr>
          <w:sz w:val="20"/>
          <w:szCs w:val="20"/>
          <w:color w:val="auto"/>
        </w:rPr>
      </w:pPr>
    </w:p>
    <w:p>
      <w:pPr>
        <w:ind w:right="140"/>
        <w:spacing w:after="0" w:line="221" w:lineRule="auto"/>
        <w:rPr>
          <w:sz w:val="20"/>
          <w:szCs w:val="20"/>
          <w:color w:val="auto"/>
        </w:rPr>
      </w:pPr>
      <w:r>
        <w:rPr>
          <w:rFonts w:ascii="Arial" w:cs="Arial" w:eastAsia="Arial" w:hAnsi="Arial"/>
          <w:sz w:val="18"/>
          <w:szCs w:val="18"/>
          <w:color w:val="auto"/>
        </w:rPr>
        <w:t>After the first five years of the TOSA, Kaplan and Purdue University Global will be entitled to payments in a manner consistent with the structure described above, except that (i) Purdue University Global will no longer be entitled to a priority payment and (ii) to the extent that there are sufficient revenues after payment of the Kaplan Efficiency Payment (if any), Purdue University Global will be entitled to an annual payment equal to 10 percent of the remaining revenue after the Kaplan Efficiency Payment (if any) is paid and subject to certain other adjustments. The TOSA has a 30-year initial term, which will automatically renew for five-year periods unless terminated. After the sixth year, Purdue University Global has the right to terminate the agreement upon payment of a termination fee equal to 1.25 times Purdue University Global’s revenue for the preceding 12-month period, which payment would be made pursuant to a 10-year note, and at the election of Purdue University Global, it may receive for no additional consideration certain assets used by Kaplan to provide the support activities pursuant to the TOSA. At the end of the 30-year term, if Purdue University Global does not renew the TOSA, Purdue University Global will be obligated to make a final payment of 75% of its total revenue earned during the preceding 12-month period, which payment will be made pursuant to a 10-year note, and at the election of Purdue University Global, it may receive for no additional consideration certain assets used by Kaplan to provide the support activities pursuant to the TOSA.</w:t>
      </w:r>
    </w:p>
    <w:p>
      <w:pPr>
        <w:spacing w:after="0" w:line="144"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Either party may terminate the TOSA at any time if Purdue University Global generates (i) $25 million in cash operating losses for three consecutive years or (ii) aggregate cash operating losses greater than $75 million at any point during the initial term. Operating loss is defined as the amount of revenue Purdue University Global generates minus the sum of (1) Purdue University Global’s and Kaplan’s respective costs in performing academic and support functions and (2) the $10 million priority payment to Purdue University Global in each of the first five years. Upon termination for any reason, Purdue University Global will retain the assets that Kaplan contributed pursuant to the Transfer Agreement. Each party also has certain termination rights in connection with a material default or material breach of the TOSA by the other party.</w:t>
      </w:r>
    </w:p>
    <w:p>
      <w:pPr>
        <w:spacing w:after="0" w:line="137" w:lineRule="exact"/>
        <w:rPr>
          <w:sz w:val="20"/>
          <w:szCs w:val="20"/>
          <w:color w:val="auto"/>
        </w:rPr>
      </w:pPr>
    </w:p>
    <w:p>
      <w:pPr>
        <w:ind w:right="20"/>
        <w:spacing w:after="0" w:line="223" w:lineRule="auto"/>
        <w:rPr>
          <w:sz w:val="20"/>
          <w:szCs w:val="20"/>
          <w:color w:val="auto"/>
        </w:rPr>
      </w:pPr>
      <w:r>
        <w:rPr>
          <w:rFonts w:ascii="Arial" w:cs="Arial" w:eastAsia="Arial" w:hAnsi="Arial"/>
          <w:sz w:val="18"/>
          <w:szCs w:val="18"/>
          <w:color w:val="auto"/>
        </w:rPr>
        <w:t>Pursuant to the U.S. Department of Education (ED) requirements, Purdue assumes responsibility for any liability arising from the operation of the institution. This assumption will not limit Kaplan’s obligation to indemnify Purdue for pre-closing liabilities under the Transfer Agreement. As a result of the transfer of KU, Kaplan will no longer own or operate KU or any other institution participating in student financial aid programs that have been created under Title IV of the U.S. Federal Higher Education Act of 1965, as amended. Consequently, Kaplan is no longer responsible for operating KU. However, pursuant to the TOSA, Kaplan will be performing functions that fall within the ED's definition of a third-party servicer and will, therefore, assume certain regulatory responsibilities that require approval by the ED. The third-party servicer arrangement between Kaplan and Purdue University Global is also subject to</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719" w:right="239" w:bottom="1440" w:gutter="0" w:footer="0" w:header="0"/>
        </w:sectPr>
      </w:pPr>
    </w:p>
    <w:bookmarkStart w:id="12" w:name="page13"/>
    <w:bookmarkEnd w:id="12"/>
    <w:p>
      <w:pPr>
        <w:ind w:right="320"/>
        <w:spacing w:after="0" w:line="229" w:lineRule="auto"/>
        <w:rPr>
          <w:sz w:val="20"/>
          <w:szCs w:val="20"/>
          <w:color w:val="auto"/>
        </w:rPr>
      </w:pPr>
      <w:r>
        <w:rPr>
          <w:rFonts w:ascii="Arial" w:cs="Arial" w:eastAsia="Arial" w:hAnsi="Arial"/>
          <w:sz w:val="18"/>
          <w:szCs w:val="18"/>
          <w:color w:val="auto"/>
        </w:rPr>
        <w:t>information security requirements established by the Federal Trade Commission as well as all aspects of the Family Educational Rights and Privacy Act. As a third-party servicer, Kaplan may be required to undergo an annual compliance audit of its administration of the Title IV functions or services that it performs.</w:t>
      </w:r>
    </w:p>
    <w:p>
      <w:pPr>
        <w:spacing w:after="0" w:line="137" w:lineRule="exact"/>
        <w:rPr>
          <w:sz w:val="20"/>
          <w:szCs w:val="20"/>
          <w:color w:val="auto"/>
        </w:rPr>
      </w:pPr>
    </w:p>
    <w:p>
      <w:pPr>
        <w:ind w:right="100"/>
        <w:spacing w:after="0" w:line="227" w:lineRule="auto"/>
        <w:rPr>
          <w:sz w:val="20"/>
          <w:szCs w:val="20"/>
          <w:color w:val="auto"/>
        </w:rPr>
      </w:pPr>
      <w:r>
        <w:rPr>
          <w:rFonts w:ascii="Arial" w:cs="Arial" w:eastAsia="Arial" w:hAnsi="Arial"/>
          <w:sz w:val="18"/>
          <w:szCs w:val="18"/>
          <w:color w:val="auto"/>
        </w:rPr>
        <w:t>As a result of the KU Transaction, the Company recorded a pre-tax gain of $4.3 million in the first quarter of 2018. For financial reporting purposes, Kaplan may receive payment of additional consideration for the sale of the institutional assets as part of the fee to the extent there are sufficient revenues available after paying all amounts required by the TOSA. The Company did not recognize any contingent consideration as part of the initial disposition.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revenue and operating income related to the KU business disposed of are as follows:</w:t>
      </w:r>
    </w:p>
    <w:p>
      <w:pPr>
        <w:spacing w:after="0" w:line="145" w:lineRule="exact"/>
        <w:rPr>
          <w:sz w:val="20"/>
          <w:szCs w:val="20"/>
          <w:color w:val="auto"/>
        </w:rPr>
      </w:pPr>
    </w:p>
    <w:p>
      <w:pPr>
        <w:ind w:left="928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March 31</w:t>
            </w:r>
          </w:p>
        </w:tc>
        <w:tc>
          <w:tcPr>
            <w:tcW w:w="960" w:type="dxa"/>
            <w:vAlign w:val="bottom"/>
            <w:tcBorders>
              <w:bottom w:val="single" w:sz="8" w:color="auto"/>
            </w:tcBorders>
          </w:tcPr>
          <w:p>
            <w:pPr>
              <w:spacing w:after="0"/>
              <w:rPr>
                <w:sz w:val="16"/>
                <w:szCs w:val="16"/>
                <w:color w:val="auto"/>
              </w:rPr>
            </w:pPr>
          </w:p>
        </w:tc>
      </w:tr>
      <w:tr>
        <w:trPr>
          <w:trHeight w:val="258"/>
        </w:trPr>
        <w:tc>
          <w:tcPr>
            <w:tcW w:w="8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color w:val="auto"/>
              </w:rPr>
              <w:t>2017</w:t>
            </w:r>
          </w:p>
        </w:tc>
      </w:tr>
      <w:tr>
        <w:trPr>
          <w:trHeight w:val="250"/>
        </w:trPr>
        <w:tc>
          <w:tcPr>
            <w:tcW w:w="8580" w:type="dxa"/>
            <w:vAlign w:val="bottom"/>
          </w:tcPr>
          <w:p>
            <w:pPr>
              <w:ind w:left="40"/>
              <w:spacing w:after="0"/>
              <w:rPr>
                <w:sz w:val="20"/>
                <w:szCs w:val="20"/>
                <w:color w:val="auto"/>
              </w:rPr>
            </w:pPr>
            <w:r>
              <w:rPr>
                <w:rFonts w:ascii="Arial" w:cs="Arial" w:eastAsia="Arial" w:hAnsi="Arial"/>
                <w:sz w:val="16"/>
                <w:szCs w:val="16"/>
                <w:color w:val="auto"/>
              </w:rPr>
              <w:t>Revenue</w:t>
            </w:r>
          </w:p>
        </w:tc>
        <w:tc>
          <w:tcPr>
            <w:tcW w:w="320" w:type="dxa"/>
            <w:vAlign w:val="bottom"/>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Pr>
          <w:p>
            <w:pPr>
              <w:jc w:val="right"/>
              <w:ind w:right="43"/>
              <w:spacing w:after="0"/>
              <w:rPr>
                <w:sz w:val="20"/>
                <w:szCs w:val="20"/>
                <w:color w:val="auto"/>
              </w:rPr>
            </w:pPr>
            <w:r>
              <w:rPr>
                <w:rFonts w:ascii="Arial" w:cs="Arial" w:eastAsia="Arial" w:hAnsi="Arial"/>
                <w:sz w:val="16"/>
                <w:szCs w:val="16"/>
                <w:b w:val="1"/>
                <w:bCs w:val="1"/>
                <w:color w:val="auto"/>
              </w:rPr>
              <w:t>91,526</w:t>
            </w:r>
          </w:p>
        </w:tc>
        <w:tc>
          <w:tcPr>
            <w:tcW w:w="5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110,874</w:t>
            </w:r>
          </w:p>
        </w:tc>
      </w:tr>
      <w:tr>
        <w:trPr>
          <w:trHeight w:val="270"/>
        </w:trPr>
        <w:tc>
          <w:tcPr>
            <w:tcW w:w="8580" w:type="dxa"/>
            <w:vAlign w:val="bottom"/>
          </w:tcPr>
          <w:p>
            <w:pPr>
              <w:ind w:left="40"/>
              <w:spacing w:after="0"/>
              <w:rPr>
                <w:sz w:val="20"/>
                <w:szCs w:val="20"/>
                <w:color w:val="auto"/>
              </w:rPr>
            </w:pPr>
            <w:r>
              <w:rPr>
                <w:rFonts w:ascii="Arial" w:cs="Arial" w:eastAsia="Arial" w:hAnsi="Arial"/>
                <w:sz w:val="16"/>
                <w:szCs w:val="16"/>
                <w:color w:val="auto"/>
              </w:rPr>
              <w:t>Operating income</w:t>
            </w:r>
          </w:p>
        </w:tc>
        <w:tc>
          <w:tcPr>
            <w:tcW w:w="320" w:type="dxa"/>
            <w:vAlign w:val="bottom"/>
          </w:tcPr>
          <w:p>
            <w:pPr>
              <w:spacing w:after="0"/>
              <w:rPr>
                <w:sz w:val="23"/>
                <w:szCs w:val="23"/>
                <w:color w:val="auto"/>
              </w:rPr>
            </w:pPr>
          </w:p>
        </w:tc>
        <w:tc>
          <w:tcPr>
            <w:tcW w:w="1060" w:type="dxa"/>
            <w:vAlign w:val="bottom"/>
          </w:tcPr>
          <w:p>
            <w:pPr>
              <w:jc w:val="right"/>
              <w:ind w:right="43"/>
              <w:spacing w:after="0"/>
              <w:rPr>
                <w:sz w:val="20"/>
                <w:szCs w:val="20"/>
                <w:color w:val="auto"/>
              </w:rPr>
            </w:pPr>
            <w:r>
              <w:rPr>
                <w:rFonts w:ascii="Arial" w:cs="Arial" w:eastAsia="Arial" w:hAnsi="Arial"/>
                <w:sz w:val="16"/>
                <w:szCs w:val="16"/>
                <w:b w:val="1"/>
                <w:bCs w:val="1"/>
                <w:color w:val="auto"/>
              </w:rPr>
              <w:t>213</w:t>
            </w:r>
          </w:p>
        </w:tc>
        <w:tc>
          <w:tcPr>
            <w:tcW w:w="500" w:type="dxa"/>
            <w:vAlign w:val="bottom"/>
          </w:tcPr>
          <w:p>
            <w:pPr>
              <w:spacing w:after="0"/>
              <w:rPr>
                <w:sz w:val="23"/>
                <w:szCs w:val="23"/>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4,009</w:t>
            </w:r>
          </w:p>
        </w:tc>
      </w:tr>
    </w:tbl>
    <w:p>
      <w:pPr>
        <w:spacing w:after="0" w:line="145" w:lineRule="exact"/>
        <w:rPr>
          <w:sz w:val="20"/>
          <w:szCs w:val="20"/>
          <w:color w:val="auto"/>
        </w:rPr>
      </w:pPr>
    </w:p>
    <w:p>
      <w:pPr>
        <w:ind w:right="200"/>
        <w:spacing w:after="0" w:line="233" w:lineRule="auto"/>
        <w:rPr>
          <w:sz w:val="20"/>
          <w:szCs w:val="20"/>
          <w:color w:val="auto"/>
        </w:rPr>
      </w:pPr>
      <w:r>
        <w:rPr>
          <w:rFonts w:ascii="Arial" w:cs="Arial" w:eastAsia="Arial" w:hAnsi="Arial"/>
          <w:sz w:val="18"/>
          <w:szCs w:val="18"/>
          <w:b w:val="1"/>
          <w:bCs w:val="1"/>
          <w:color w:val="auto"/>
        </w:rPr>
        <w:t xml:space="preserve">Sale of Businesses. </w:t>
      </w:r>
      <w:r>
        <w:rPr>
          <w:rFonts w:ascii="Arial" w:cs="Arial" w:eastAsia="Arial" w:hAnsi="Arial"/>
          <w:sz w:val="18"/>
          <w:szCs w:val="18"/>
          <w:color w:val="auto"/>
        </w:rPr>
        <w:t>In February 2018, Kaplan completed the sale of a small business which was included in Test Preparation. In February</w:t>
      </w:r>
      <w:r>
        <w:rPr>
          <w:rFonts w:ascii="Arial" w:cs="Arial" w:eastAsia="Arial" w:hAnsi="Arial"/>
          <w:sz w:val="18"/>
          <w:szCs w:val="18"/>
          <w:b w:val="1"/>
          <w:bCs w:val="1"/>
          <w:color w:val="auto"/>
        </w:rPr>
        <w:t xml:space="preserve"> </w:t>
      </w:r>
      <w:r>
        <w:rPr>
          <w:rFonts w:ascii="Arial" w:cs="Arial" w:eastAsia="Arial" w:hAnsi="Arial"/>
          <w:sz w:val="18"/>
          <w:szCs w:val="18"/>
          <w:color w:val="auto"/>
        </w:rPr>
        <w:t>2017, GHG completed the sale of Celtic Healthcare of Maryland. In the fourth quarter of 2017, Kaplan Australia completed the sale of a small business, which was included in Kaplan International. As a result of these sales, the Company reported gains (losses) in other non-operating income (see Note 13).</w:t>
      </w:r>
    </w:p>
    <w:p>
      <w:pPr>
        <w:spacing w:after="0" w:line="115" w:lineRule="exact"/>
        <w:rPr>
          <w:sz w:val="20"/>
          <w:szCs w:val="20"/>
          <w:color w:val="auto"/>
        </w:rPr>
      </w:pPr>
    </w:p>
    <w:p>
      <w:pPr>
        <w:ind w:right="460"/>
        <w:spacing w:after="0" w:line="256" w:lineRule="auto"/>
        <w:rPr>
          <w:sz w:val="20"/>
          <w:szCs w:val="20"/>
          <w:color w:val="auto"/>
        </w:rPr>
      </w:pPr>
      <w:r>
        <w:rPr>
          <w:rFonts w:ascii="Arial" w:cs="Arial" w:eastAsia="Arial" w:hAnsi="Arial"/>
          <w:sz w:val="18"/>
          <w:szCs w:val="18"/>
          <w:b w:val="1"/>
          <w:bCs w:val="1"/>
          <w:color w:val="auto"/>
        </w:rPr>
        <w:t xml:space="preserve">Other Transactions. </w:t>
      </w:r>
      <w:r>
        <w:rPr>
          <w:rFonts w:ascii="Arial" w:cs="Arial" w:eastAsia="Arial" w:hAnsi="Arial"/>
          <w:sz w:val="18"/>
          <w:szCs w:val="18"/>
          <w:color w:val="auto"/>
        </w:rPr>
        <w:t>In the fourth quarter of 2017, Kaplan entered into an arrangement to acquire the College for Financial Planning. The</w:t>
      </w:r>
      <w:r>
        <w:rPr>
          <w:rFonts w:ascii="Arial" w:cs="Arial" w:eastAsia="Arial" w:hAnsi="Arial"/>
          <w:sz w:val="18"/>
          <w:szCs w:val="18"/>
          <w:b w:val="1"/>
          <w:bCs w:val="1"/>
          <w:color w:val="auto"/>
        </w:rPr>
        <w:t xml:space="preserve"> </w:t>
      </w:r>
      <w:r>
        <w:rPr>
          <w:rFonts w:ascii="Arial" w:cs="Arial" w:eastAsia="Arial" w:hAnsi="Arial"/>
          <w:sz w:val="18"/>
          <w:szCs w:val="18"/>
          <w:color w:val="auto"/>
        </w:rPr>
        <w:t>acquisition is subject to regulatory approval from the Higher Learning Commission (HLC), which is not expected before June 2018.</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INVESTMENTS</w:t>
      </w:r>
    </w:p>
    <w:p>
      <w:pPr>
        <w:spacing w:after="0" w:line="166"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As of March 31, 2018 and December 31, 2017, the Company had money market investments of $111.8 million and $217.6 million, respectively, that are classified as cash, cash equivalents and restricted cash in the Company’s Condensed Consolidated Balance Sheets.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Investments in marketable equity securities comprised the following:</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5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200" w:type="dxa"/>
            <w:vAlign w:val="bottom"/>
            <w:tcBorders>
              <w:bottom w:val="single" w:sz="8" w:color="auto"/>
            </w:tcBorders>
          </w:tcPr>
          <w:p>
            <w:pPr>
              <w:spacing w:after="0"/>
              <w:rPr>
                <w:sz w:val="17"/>
                <w:szCs w:val="17"/>
                <w:color w:val="auto"/>
              </w:rPr>
            </w:pPr>
          </w:p>
        </w:tc>
      </w:tr>
      <w:tr>
        <w:trPr>
          <w:trHeight w:val="337"/>
        </w:trPr>
        <w:tc>
          <w:tcPr>
            <w:tcW w:w="8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ind w:right="303"/>
              <w:spacing w:after="0"/>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24"/>
                <w:szCs w:val="24"/>
                <w:color w:val="auto"/>
              </w:rPr>
            </w:pPr>
          </w:p>
        </w:tc>
        <w:tc>
          <w:tcPr>
            <w:tcW w:w="1200" w:type="dxa"/>
            <w:vAlign w:val="bottom"/>
          </w:tcPr>
          <w:p>
            <w:pPr>
              <w:jc w:val="right"/>
              <w:ind w:right="163"/>
              <w:spacing w:after="0"/>
              <w:rPr>
                <w:sz w:val="20"/>
                <w:szCs w:val="20"/>
                <w:color w:val="auto"/>
              </w:rPr>
            </w:pPr>
            <w:r>
              <w:rPr>
                <w:rFonts w:ascii="Arial" w:cs="Arial" w:eastAsia="Arial" w:hAnsi="Arial"/>
                <w:sz w:val="14"/>
                <w:szCs w:val="14"/>
                <w:color w:val="auto"/>
              </w:rPr>
              <w:t>December 31,</w:t>
            </w:r>
          </w:p>
        </w:tc>
      </w:tr>
      <w:tr>
        <w:trPr>
          <w:trHeight w:val="196"/>
        </w:trPr>
        <w:tc>
          <w:tcPr>
            <w:tcW w:w="8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color w:val="auto"/>
              </w:rPr>
              <w:t>2017</w:t>
            </w:r>
          </w:p>
        </w:tc>
      </w:tr>
      <w:tr>
        <w:trPr>
          <w:trHeight w:val="250"/>
        </w:trPr>
        <w:tc>
          <w:tcPr>
            <w:tcW w:w="8580" w:type="dxa"/>
            <w:vAlign w:val="bottom"/>
          </w:tcPr>
          <w:p>
            <w:pPr>
              <w:ind w:left="40"/>
              <w:spacing w:after="0"/>
              <w:rPr>
                <w:sz w:val="20"/>
                <w:szCs w:val="20"/>
                <w:color w:val="auto"/>
              </w:rPr>
            </w:pPr>
            <w:r>
              <w:rPr>
                <w:rFonts w:ascii="Arial" w:cs="Arial" w:eastAsia="Arial" w:hAnsi="Arial"/>
                <w:sz w:val="16"/>
                <w:szCs w:val="16"/>
                <w:color w:val="auto"/>
              </w:rPr>
              <w:t>Total cost</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Pr>
          <w:p>
            <w:pPr>
              <w:jc w:val="right"/>
              <w:ind w:right="43"/>
              <w:spacing w:after="0"/>
              <w:rPr>
                <w:sz w:val="20"/>
                <w:szCs w:val="20"/>
                <w:color w:val="auto"/>
              </w:rPr>
            </w:pPr>
            <w:r>
              <w:rPr>
                <w:rFonts w:ascii="Arial" w:cs="Arial" w:eastAsia="Arial" w:hAnsi="Arial"/>
                <w:sz w:val="16"/>
                <w:szCs w:val="16"/>
                <w:b w:val="1"/>
                <w:bCs w:val="1"/>
                <w:color w:val="auto"/>
              </w:rPr>
              <w:t>247,321</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3"/>
              <w:spacing w:after="0"/>
              <w:rPr>
                <w:sz w:val="20"/>
                <w:szCs w:val="20"/>
                <w:color w:val="auto"/>
              </w:rPr>
            </w:pPr>
            <w:r>
              <w:rPr>
                <w:rFonts w:ascii="Arial" w:cs="Arial" w:eastAsia="Arial" w:hAnsi="Arial"/>
                <w:sz w:val="16"/>
                <w:szCs w:val="16"/>
                <w:color w:val="auto"/>
              </w:rPr>
              <w:t>269,343</w:t>
            </w:r>
          </w:p>
        </w:tc>
      </w:tr>
      <w:tr>
        <w:trPr>
          <w:trHeight w:val="283"/>
        </w:trPr>
        <w:tc>
          <w:tcPr>
            <w:tcW w:w="8580" w:type="dxa"/>
            <w:vAlign w:val="bottom"/>
          </w:tcPr>
          <w:p>
            <w:pPr>
              <w:ind w:left="40"/>
              <w:spacing w:after="0"/>
              <w:rPr>
                <w:sz w:val="20"/>
                <w:szCs w:val="20"/>
                <w:color w:val="auto"/>
              </w:rPr>
            </w:pPr>
            <w:r>
              <w:rPr>
                <w:rFonts w:ascii="Arial" w:cs="Arial" w:eastAsia="Arial" w:hAnsi="Arial"/>
                <w:sz w:val="16"/>
                <w:szCs w:val="16"/>
                <w:color w:val="auto"/>
              </w:rPr>
              <w:t>Gross unrealized gains</w:t>
            </w: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224,382</w:t>
            </w: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266,972</w:t>
            </w:r>
          </w:p>
        </w:tc>
      </w:tr>
      <w:tr>
        <w:trPr>
          <w:trHeight w:val="267"/>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Total Fair Value</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471,703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536,315</w:t>
            </w:r>
          </w:p>
        </w:tc>
      </w:tr>
      <w:tr>
        <w:trPr>
          <w:trHeight w:val="20"/>
        </w:trPr>
        <w:tc>
          <w:tcPr>
            <w:tcW w:w="8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There were no purchases of marketable equity securities during the first three months of 2018 and 2017.</w:t>
      </w:r>
    </w:p>
    <w:p>
      <w:pPr>
        <w:spacing w:after="0" w:line="144"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During the first three months of 2018, the gross cumulative realized gains from the sales of marketable equity securities were $ 28.5 million. The losses recognized in earnings from these marketable equity securities sold were $2.6 million for the first three months of 2018. The total proceeds from such sales were $50.5 million, of which $0.9 million settled in April 2018. There were no sales of marketable equity securities for the first three months of 2017.</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For the first three months of 2018, the net unrealized losses on equity securities still held at the end of the period were $11.5 million.</w:t>
      </w:r>
    </w:p>
    <w:p>
      <w:pPr>
        <w:spacing w:after="0" w:line="144"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As of March 31, 2018, the Company held an approximate 11% interest in Intersection Holdings, LLC, and in several other affiliates; GHG held a 40% interest in Residential Home Health Illinois, a 42.5% interest in Residential Hospice Illinois, a 40% interest in the joint venture formed between GHG and a Michigan hospital, and a 40% interest in the joint venture formed between GHG and Allegheny Health Network (AHN). For the three months ended March 31, 2018 and 2017, the Company recorded $3.7 million and $4.6 million, respectively, in revenue for services provided to the affiliates of GHG.</w:t>
      </w:r>
    </w:p>
    <w:p>
      <w:pPr>
        <w:spacing w:after="0" w:line="137"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Additionally, Kaplan International Holdings Limited (KIHL) held a 45% interest in a joint venture formed with York University. KIHL agreed to loan the joint venture £25 million, of which £16.0 million was advanced as of December 31, 2017. There was no additional funding advanced in the first three months of 2018. The loan will be repayable over 25 years at an interest rate of 7% and the loan is guaranteed by the University of York.</w:t>
      </w:r>
    </w:p>
    <w:p>
      <w:pPr>
        <w:spacing w:after="0" w:line="135"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The Company held investments without readily determinable fair values in a number of equity securities that are accounted for as cost method investments. The carrying amount of these investments was $19.9 million as of March 31, 2018 and December 31, 2017.</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19"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4. ACCOUNTS RECEIVABLE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consist of the following:</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5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200" w:type="dxa"/>
            <w:vAlign w:val="bottom"/>
            <w:tcBorders>
              <w:bottom w:val="single" w:sz="8" w:color="auto"/>
            </w:tcBorders>
          </w:tcPr>
          <w:p>
            <w:pPr>
              <w:spacing w:after="0"/>
              <w:rPr>
                <w:sz w:val="17"/>
                <w:szCs w:val="17"/>
                <w:color w:val="auto"/>
              </w:rPr>
            </w:pPr>
          </w:p>
        </w:tc>
      </w:tr>
      <w:tr>
        <w:trPr>
          <w:trHeight w:val="337"/>
        </w:trPr>
        <w:tc>
          <w:tcPr>
            <w:tcW w:w="8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ind w:right="303"/>
              <w:spacing w:after="0"/>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24"/>
                <w:szCs w:val="24"/>
                <w:color w:val="auto"/>
              </w:rPr>
            </w:pPr>
          </w:p>
        </w:tc>
        <w:tc>
          <w:tcPr>
            <w:tcW w:w="1200" w:type="dxa"/>
            <w:vAlign w:val="bottom"/>
          </w:tcPr>
          <w:p>
            <w:pPr>
              <w:jc w:val="right"/>
              <w:ind w:right="163"/>
              <w:spacing w:after="0"/>
              <w:rPr>
                <w:sz w:val="20"/>
                <w:szCs w:val="20"/>
                <w:color w:val="auto"/>
              </w:rPr>
            </w:pPr>
            <w:r>
              <w:rPr>
                <w:rFonts w:ascii="Arial" w:cs="Arial" w:eastAsia="Arial" w:hAnsi="Arial"/>
                <w:sz w:val="14"/>
                <w:szCs w:val="14"/>
                <w:color w:val="auto"/>
              </w:rPr>
              <w:t>December 31,</w:t>
            </w:r>
          </w:p>
        </w:tc>
      </w:tr>
      <w:tr>
        <w:trPr>
          <w:trHeight w:val="196"/>
        </w:trPr>
        <w:tc>
          <w:tcPr>
            <w:tcW w:w="8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color w:val="auto"/>
              </w:rPr>
              <w:t>2017</w:t>
            </w:r>
          </w:p>
        </w:tc>
      </w:tr>
      <w:tr>
        <w:trPr>
          <w:trHeight w:val="250"/>
        </w:trPr>
        <w:tc>
          <w:tcPr>
            <w:tcW w:w="8580" w:type="dxa"/>
            <w:vAlign w:val="bottom"/>
          </w:tcPr>
          <w:p>
            <w:pPr>
              <w:ind w:left="40"/>
              <w:spacing w:after="0"/>
              <w:rPr>
                <w:sz w:val="20"/>
                <w:szCs w:val="20"/>
                <w:color w:val="auto"/>
              </w:rPr>
            </w:pPr>
            <w:r>
              <w:rPr>
                <w:rFonts w:ascii="Arial" w:cs="Arial" w:eastAsia="Arial" w:hAnsi="Arial"/>
                <w:sz w:val="16"/>
                <w:szCs w:val="16"/>
                <w:color w:val="auto"/>
              </w:rPr>
              <w:t>Receivables from contracts with customers, less doubtful accounts of $22,477 and $22,975</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Pr>
          <w:p>
            <w:pPr>
              <w:jc w:val="right"/>
              <w:ind w:right="43"/>
              <w:spacing w:after="0"/>
              <w:rPr>
                <w:sz w:val="20"/>
                <w:szCs w:val="20"/>
                <w:color w:val="auto"/>
              </w:rPr>
            </w:pPr>
            <w:r>
              <w:rPr>
                <w:rFonts w:ascii="Arial" w:cs="Arial" w:eastAsia="Arial" w:hAnsi="Arial"/>
                <w:sz w:val="16"/>
                <w:szCs w:val="16"/>
                <w:b w:val="1"/>
                <w:bCs w:val="1"/>
                <w:color w:val="auto"/>
              </w:rPr>
              <w:t>499,202</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3"/>
              <w:spacing w:after="0"/>
              <w:rPr>
                <w:sz w:val="20"/>
                <w:szCs w:val="20"/>
                <w:color w:val="auto"/>
              </w:rPr>
            </w:pPr>
            <w:r>
              <w:rPr>
                <w:rFonts w:ascii="Arial" w:cs="Arial" w:eastAsia="Arial" w:hAnsi="Arial"/>
                <w:sz w:val="16"/>
                <w:szCs w:val="16"/>
                <w:color w:val="auto"/>
              </w:rPr>
              <w:t>600,215</w:t>
            </w:r>
          </w:p>
        </w:tc>
      </w:tr>
      <w:tr>
        <w:trPr>
          <w:trHeight w:val="283"/>
        </w:trPr>
        <w:tc>
          <w:tcPr>
            <w:tcW w:w="8580" w:type="dxa"/>
            <w:vAlign w:val="bottom"/>
          </w:tcPr>
          <w:p>
            <w:pPr>
              <w:ind w:left="40"/>
              <w:spacing w:after="0"/>
              <w:rPr>
                <w:sz w:val="20"/>
                <w:szCs w:val="20"/>
                <w:color w:val="auto"/>
              </w:rPr>
            </w:pPr>
            <w:r>
              <w:rPr>
                <w:rFonts w:ascii="Arial" w:cs="Arial" w:eastAsia="Arial" w:hAnsi="Arial"/>
                <w:sz w:val="16"/>
                <w:szCs w:val="16"/>
                <w:color w:val="auto"/>
              </w:rPr>
              <w:t>Other receivables</w:t>
            </w: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41,391</w:t>
            </w: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20,104</w:t>
            </w:r>
          </w:p>
        </w:tc>
      </w:tr>
      <w:tr>
        <w:trPr>
          <w:trHeight w:val="264"/>
        </w:trPr>
        <w:tc>
          <w:tcPr>
            <w:tcW w:w="8580" w:type="dxa"/>
            <w:vAlign w:val="bottom"/>
          </w:tcPr>
          <w:p>
            <w:pPr>
              <w:spacing w:after="0"/>
              <w:rPr>
                <w:sz w:val="22"/>
                <w:szCs w:val="22"/>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540,593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620,319</w:t>
            </w:r>
          </w:p>
        </w:tc>
      </w:tr>
      <w:tr>
        <w:trPr>
          <w:trHeight w:val="20"/>
        </w:trPr>
        <w:tc>
          <w:tcPr>
            <w:tcW w:w="8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Bad debt expense was $5.8 million for each of the three months ended March 31, 2018 and 2017.</w:t>
      </w:r>
    </w:p>
    <w:p>
      <w:pPr>
        <w:spacing w:after="0" w:line="122" w:lineRule="exact"/>
        <w:rPr>
          <w:sz w:val="20"/>
          <w:szCs w:val="20"/>
          <w:color w:val="auto"/>
        </w:rPr>
      </w:pPr>
    </w:p>
    <w:p>
      <w:pPr>
        <w:ind w:left="500" w:hanging="492"/>
        <w:spacing w:after="0"/>
        <w:tabs>
          <w:tab w:leader="none" w:pos="5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 AND CONTRACTS IN PROGRESS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Inventories and contracts in progress consist of the following:</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5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200" w:type="dxa"/>
            <w:vAlign w:val="bottom"/>
            <w:tcBorders>
              <w:bottom w:val="single" w:sz="8" w:color="auto"/>
            </w:tcBorders>
          </w:tcPr>
          <w:p>
            <w:pPr>
              <w:spacing w:after="0"/>
              <w:rPr>
                <w:sz w:val="17"/>
                <w:szCs w:val="17"/>
                <w:color w:val="auto"/>
              </w:rPr>
            </w:pPr>
          </w:p>
        </w:tc>
      </w:tr>
      <w:tr>
        <w:trPr>
          <w:trHeight w:val="337"/>
        </w:trPr>
        <w:tc>
          <w:tcPr>
            <w:tcW w:w="8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ind w:right="302"/>
              <w:spacing w:after="0"/>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24"/>
                <w:szCs w:val="24"/>
                <w:color w:val="auto"/>
              </w:rPr>
            </w:pPr>
          </w:p>
        </w:tc>
        <w:tc>
          <w:tcPr>
            <w:tcW w:w="1200" w:type="dxa"/>
            <w:vAlign w:val="bottom"/>
          </w:tcPr>
          <w:p>
            <w:pPr>
              <w:jc w:val="right"/>
              <w:ind w:right="162"/>
              <w:spacing w:after="0"/>
              <w:rPr>
                <w:sz w:val="20"/>
                <w:szCs w:val="20"/>
                <w:color w:val="auto"/>
              </w:rPr>
            </w:pPr>
            <w:r>
              <w:rPr>
                <w:rFonts w:ascii="Arial" w:cs="Arial" w:eastAsia="Arial" w:hAnsi="Arial"/>
                <w:sz w:val="14"/>
                <w:szCs w:val="14"/>
                <w:color w:val="auto"/>
              </w:rPr>
              <w:t>December 31,</w:t>
            </w:r>
          </w:p>
        </w:tc>
      </w:tr>
      <w:tr>
        <w:trPr>
          <w:trHeight w:val="196"/>
        </w:trPr>
        <w:tc>
          <w:tcPr>
            <w:tcW w:w="8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color w:val="auto"/>
              </w:rPr>
              <w:t>2017</w:t>
            </w:r>
          </w:p>
        </w:tc>
      </w:tr>
      <w:tr>
        <w:trPr>
          <w:trHeight w:val="250"/>
        </w:trPr>
        <w:tc>
          <w:tcPr>
            <w:tcW w:w="8580" w:type="dxa"/>
            <w:vAlign w:val="bottom"/>
          </w:tcPr>
          <w:p>
            <w:pPr>
              <w:ind w:left="40"/>
              <w:spacing w:after="0"/>
              <w:rPr>
                <w:sz w:val="20"/>
                <w:szCs w:val="20"/>
                <w:color w:val="auto"/>
              </w:rPr>
            </w:pPr>
            <w:r>
              <w:rPr>
                <w:rFonts w:ascii="Arial" w:cs="Arial" w:eastAsia="Arial" w:hAnsi="Arial"/>
                <w:sz w:val="16"/>
                <w:szCs w:val="16"/>
                <w:color w:val="auto"/>
              </w:rPr>
              <w:t>Raw materials</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Pr>
          <w:p>
            <w:pPr>
              <w:jc w:val="right"/>
              <w:ind w:right="42"/>
              <w:spacing w:after="0"/>
              <w:rPr>
                <w:sz w:val="20"/>
                <w:szCs w:val="20"/>
                <w:color w:val="auto"/>
              </w:rPr>
            </w:pPr>
            <w:r>
              <w:rPr>
                <w:rFonts w:ascii="Arial" w:cs="Arial" w:eastAsia="Arial" w:hAnsi="Arial"/>
                <w:sz w:val="16"/>
                <w:szCs w:val="16"/>
                <w:b w:val="1"/>
                <w:bCs w:val="1"/>
                <w:color w:val="auto"/>
              </w:rPr>
              <w:t>33,007</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30,429</w:t>
            </w:r>
          </w:p>
        </w:tc>
      </w:tr>
      <w:tr>
        <w:trPr>
          <w:trHeight w:val="270"/>
        </w:trPr>
        <w:tc>
          <w:tcPr>
            <w:tcW w:w="8580" w:type="dxa"/>
            <w:vAlign w:val="bottom"/>
          </w:tcPr>
          <w:p>
            <w:pPr>
              <w:ind w:left="40"/>
              <w:spacing w:after="0"/>
              <w:rPr>
                <w:sz w:val="20"/>
                <w:szCs w:val="20"/>
                <w:color w:val="auto"/>
              </w:rPr>
            </w:pPr>
            <w:r>
              <w:rPr>
                <w:rFonts w:ascii="Arial" w:cs="Arial" w:eastAsia="Arial" w:hAnsi="Arial"/>
                <w:sz w:val="16"/>
                <w:szCs w:val="16"/>
                <w:color w:val="auto"/>
              </w:rPr>
              <w:t>Work-in-process</w:t>
            </w:r>
          </w:p>
        </w:tc>
        <w:tc>
          <w:tcPr>
            <w:tcW w:w="220" w:type="dxa"/>
            <w:vAlign w:val="bottom"/>
          </w:tcPr>
          <w:p>
            <w:pPr>
              <w:spacing w:after="0"/>
              <w:rPr>
                <w:sz w:val="23"/>
                <w:szCs w:val="23"/>
                <w:color w:val="auto"/>
              </w:rPr>
            </w:pPr>
          </w:p>
        </w:tc>
        <w:tc>
          <w:tcPr>
            <w:tcW w:w="1160" w:type="dxa"/>
            <w:vAlign w:val="bottom"/>
          </w:tcPr>
          <w:p>
            <w:pPr>
              <w:jc w:val="right"/>
              <w:ind w:right="42"/>
              <w:spacing w:after="0"/>
              <w:rPr>
                <w:sz w:val="20"/>
                <w:szCs w:val="20"/>
                <w:color w:val="auto"/>
              </w:rPr>
            </w:pPr>
            <w:r>
              <w:rPr>
                <w:rFonts w:ascii="Arial" w:cs="Arial" w:eastAsia="Arial" w:hAnsi="Arial"/>
                <w:sz w:val="16"/>
                <w:szCs w:val="16"/>
                <w:b w:val="1"/>
                <w:bCs w:val="1"/>
                <w:color w:val="auto"/>
              </w:rPr>
              <w:t>11,338</w:t>
            </w:r>
          </w:p>
        </w:tc>
        <w:tc>
          <w:tcPr>
            <w:tcW w:w="260" w:type="dxa"/>
            <w:vAlign w:val="bottom"/>
          </w:tcPr>
          <w:p>
            <w:pPr>
              <w:spacing w:after="0"/>
              <w:rPr>
                <w:sz w:val="23"/>
                <w:szCs w:val="23"/>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10,258</w:t>
            </w:r>
          </w:p>
        </w:tc>
      </w:tr>
      <w:tr>
        <w:trPr>
          <w:trHeight w:val="270"/>
        </w:trPr>
        <w:tc>
          <w:tcPr>
            <w:tcW w:w="8580" w:type="dxa"/>
            <w:vAlign w:val="bottom"/>
          </w:tcPr>
          <w:p>
            <w:pPr>
              <w:ind w:left="40"/>
              <w:spacing w:after="0"/>
              <w:rPr>
                <w:sz w:val="20"/>
                <w:szCs w:val="20"/>
                <w:color w:val="auto"/>
              </w:rPr>
            </w:pPr>
            <w:r>
              <w:rPr>
                <w:rFonts w:ascii="Arial" w:cs="Arial" w:eastAsia="Arial" w:hAnsi="Arial"/>
                <w:sz w:val="16"/>
                <w:szCs w:val="16"/>
                <w:color w:val="auto"/>
              </w:rPr>
              <w:t>Finished goods</w:t>
            </w:r>
          </w:p>
        </w:tc>
        <w:tc>
          <w:tcPr>
            <w:tcW w:w="220" w:type="dxa"/>
            <w:vAlign w:val="bottom"/>
          </w:tcPr>
          <w:p>
            <w:pPr>
              <w:spacing w:after="0"/>
              <w:rPr>
                <w:sz w:val="23"/>
                <w:szCs w:val="23"/>
                <w:color w:val="auto"/>
              </w:rPr>
            </w:pPr>
          </w:p>
        </w:tc>
        <w:tc>
          <w:tcPr>
            <w:tcW w:w="1160" w:type="dxa"/>
            <w:vAlign w:val="bottom"/>
          </w:tcPr>
          <w:p>
            <w:pPr>
              <w:jc w:val="right"/>
              <w:ind w:right="42"/>
              <w:spacing w:after="0"/>
              <w:rPr>
                <w:sz w:val="20"/>
                <w:szCs w:val="20"/>
                <w:color w:val="auto"/>
              </w:rPr>
            </w:pPr>
            <w:r>
              <w:rPr>
                <w:rFonts w:ascii="Arial" w:cs="Arial" w:eastAsia="Arial" w:hAnsi="Arial"/>
                <w:sz w:val="16"/>
                <w:szCs w:val="16"/>
                <w:b w:val="1"/>
                <w:bCs w:val="1"/>
                <w:color w:val="auto"/>
              </w:rPr>
              <w:t>18,290</w:t>
            </w:r>
          </w:p>
        </w:tc>
        <w:tc>
          <w:tcPr>
            <w:tcW w:w="260" w:type="dxa"/>
            <w:vAlign w:val="bottom"/>
          </w:tcPr>
          <w:p>
            <w:pPr>
              <w:spacing w:after="0"/>
              <w:rPr>
                <w:sz w:val="23"/>
                <w:szCs w:val="23"/>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18,851</w:t>
            </w:r>
          </w:p>
        </w:tc>
      </w:tr>
      <w:tr>
        <w:trPr>
          <w:trHeight w:val="283"/>
        </w:trPr>
        <w:tc>
          <w:tcPr>
            <w:tcW w:w="8580" w:type="dxa"/>
            <w:vAlign w:val="bottom"/>
          </w:tcPr>
          <w:p>
            <w:pPr>
              <w:ind w:left="40"/>
              <w:spacing w:after="0"/>
              <w:rPr>
                <w:sz w:val="20"/>
                <w:szCs w:val="20"/>
                <w:color w:val="auto"/>
              </w:rPr>
            </w:pPr>
            <w:r>
              <w:rPr>
                <w:rFonts w:ascii="Arial" w:cs="Arial" w:eastAsia="Arial" w:hAnsi="Arial"/>
                <w:sz w:val="16"/>
                <w:szCs w:val="16"/>
                <w:color w:val="auto"/>
              </w:rPr>
              <w:t>Contracts in progress</w:t>
            </w: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4,314</w:t>
            </w: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1,074</w:t>
            </w:r>
          </w:p>
        </w:tc>
      </w:tr>
      <w:tr>
        <w:trPr>
          <w:trHeight w:val="264"/>
        </w:trPr>
        <w:tc>
          <w:tcPr>
            <w:tcW w:w="8580" w:type="dxa"/>
            <w:vAlign w:val="bottom"/>
          </w:tcPr>
          <w:p>
            <w:pPr>
              <w:spacing w:after="0"/>
              <w:rPr>
                <w:sz w:val="22"/>
                <w:szCs w:val="22"/>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66,949</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60,612</w:t>
            </w:r>
          </w:p>
        </w:tc>
      </w:tr>
      <w:tr>
        <w:trPr>
          <w:trHeight w:val="20"/>
        </w:trPr>
        <w:tc>
          <w:tcPr>
            <w:tcW w:w="8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 AND OTHER INTANGIBLE ASSETS</w:t>
      </w:r>
    </w:p>
    <w:p>
      <w:pPr>
        <w:spacing w:after="0" w:line="166" w:lineRule="exact"/>
        <w:rPr>
          <w:sz w:val="20"/>
          <w:szCs w:val="20"/>
          <w:color w:val="auto"/>
        </w:rPr>
      </w:pPr>
    </w:p>
    <w:p>
      <w:pPr>
        <w:ind w:right="80"/>
        <w:spacing w:after="0" w:line="223" w:lineRule="auto"/>
        <w:rPr>
          <w:sz w:val="20"/>
          <w:szCs w:val="20"/>
          <w:color w:val="auto"/>
        </w:rPr>
      </w:pPr>
      <w:r>
        <w:rPr>
          <w:rFonts w:ascii="Arial" w:cs="Arial" w:eastAsia="Arial" w:hAnsi="Arial"/>
          <w:sz w:val="18"/>
          <w:szCs w:val="18"/>
          <w:color w:val="auto"/>
        </w:rPr>
        <w:t>The Company reorganized its operations in the first quarter of 2018 into the following six operating segments for the purpose of making operating decisions and assessing performance: Higher Education, Professional (U.S.), Test Preparation, Kaplan International, Television Broadcasting and Healthcare (see Note 16). The reorganization changed the composition of the reporting units within the education division, and resulted in the reassignment of the assets and liabilities to the reporting units affected. The goodwill was allocated to the affected reporting units using the relative fair value approach. As a result of the reassignment and allocation, the Company performed an interim review of the carrying value of goodwill at the education division for possible impairment on both a pre and post-reorganization basis. No impairment of goodwill was indicated at the pre- and post-reorganization reporting units.</w:t>
      </w:r>
    </w:p>
    <w:p>
      <w:pPr>
        <w:spacing w:after="0" w:line="139" w:lineRule="exact"/>
        <w:rPr>
          <w:sz w:val="20"/>
          <w:szCs w:val="20"/>
          <w:color w:val="auto"/>
        </w:rPr>
      </w:pPr>
    </w:p>
    <w:p>
      <w:pPr>
        <w:ind w:right="460"/>
        <w:spacing w:after="0" w:line="229" w:lineRule="auto"/>
        <w:rPr>
          <w:sz w:val="20"/>
          <w:szCs w:val="20"/>
          <w:color w:val="auto"/>
        </w:rPr>
      </w:pPr>
      <w:r>
        <w:rPr>
          <w:rFonts w:ascii="Arial" w:cs="Arial" w:eastAsia="Arial" w:hAnsi="Arial"/>
          <w:sz w:val="18"/>
          <w:szCs w:val="18"/>
          <w:color w:val="auto"/>
        </w:rPr>
        <w:t>Amortization of intangible assets for the three months ended March 31, 2018 and 2017 was $10.4 million and $6.8 million, respectively. Amortization of intangible assets is estimated to be approximately $31 million for the remainder of 2018, $40 million in 2019, $37 million in 2020, $31 million in 2021, $25 million in 2022 and $67 million thereafter.</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by segment,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jc w:val="right"/>
              <w:ind w:right="281"/>
              <w:spacing w:after="0"/>
              <w:rPr>
                <w:sz w:val="20"/>
                <w:szCs w:val="20"/>
                <w:color w:val="auto"/>
              </w:rPr>
            </w:pPr>
            <w:r>
              <w:rPr>
                <w:rFonts w:ascii="Arial" w:cs="Arial" w:eastAsia="Arial" w:hAnsi="Arial"/>
                <w:sz w:val="14"/>
                <w:szCs w:val="14"/>
                <w:b w:val="1"/>
                <w:bCs w:val="1"/>
                <w:color w:val="auto"/>
              </w:rPr>
              <w:t>Television</w:t>
            </w: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jc w:val="right"/>
              <w:ind w:right="441"/>
              <w:spacing w:after="0"/>
              <w:rPr>
                <w:sz w:val="20"/>
                <w:szCs w:val="20"/>
                <w:color w:val="auto"/>
              </w:rPr>
            </w:pPr>
            <w:r>
              <w:rPr>
                <w:rFonts w:ascii="Arial" w:cs="Arial" w:eastAsia="Arial" w:hAnsi="Arial"/>
                <w:sz w:val="14"/>
                <w:szCs w:val="14"/>
                <w:b w:val="1"/>
                <w:bCs w:val="1"/>
                <w:color w:val="auto"/>
              </w:rPr>
              <w:t>Other</w:t>
            </w: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96"/>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Education</w:t>
            </w: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Broadcasting</w:t>
            </w: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Healthcare</w:t>
            </w: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Businesses</w:t>
            </w: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Total</w:t>
            </w:r>
          </w:p>
        </w:tc>
      </w:tr>
      <w:tr>
        <w:trPr>
          <w:trHeight w:val="250"/>
        </w:trPr>
        <w:tc>
          <w:tcPr>
            <w:tcW w:w="4120" w:type="dxa"/>
            <w:vAlign w:val="bottom"/>
          </w:tcPr>
          <w:p>
            <w:pPr>
              <w:ind w:left="40"/>
              <w:spacing w:after="0"/>
              <w:rPr>
                <w:sz w:val="20"/>
                <w:szCs w:val="20"/>
                <w:color w:val="auto"/>
              </w:rPr>
            </w:pPr>
            <w:r>
              <w:rPr>
                <w:rFonts w:ascii="Arial" w:cs="Arial" w:eastAsia="Arial" w:hAnsi="Arial"/>
                <w:sz w:val="16"/>
                <w:szCs w:val="16"/>
                <w:color w:val="auto"/>
              </w:rPr>
              <w:t>Balance as of December 31, 2017</w:t>
            </w: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4120" w:type="dxa"/>
            <w:vAlign w:val="bottom"/>
          </w:tcPr>
          <w:p>
            <w:pPr>
              <w:ind w:left="280"/>
              <w:spacing w:after="0"/>
              <w:rPr>
                <w:sz w:val="20"/>
                <w:szCs w:val="20"/>
                <w:color w:val="auto"/>
              </w:rPr>
            </w:pPr>
            <w:r>
              <w:rPr>
                <w:rFonts w:ascii="Arial" w:cs="Arial" w:eastAsia="Arial" w:hAnsi="Arial"/>
                <w:sz w:val="16"/>
                <w:szCs w:val="16"/>
                <w:color w:val="auto"/>
              </w:rPr>
              <w:t>Goodwill</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1,171,812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190,815</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69,409</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61"/>
              <w:spacing w:after="0"/>
              <w:rPr>
                <w:sz w:val="20"/>
                <w:szCs w:val="20"/>
                <w:color w:val="auto"/>
              </w:rPr>
            </w:pPr>
            <w:r>
              <w:rPr>
                <w:rFonts w:ascii="Arial" w:cs="Arial" w:eastAsia="Arial" w:hAnsi="Arial"/>
                <w:sz w:val="16"/>
                <w:szCs w:val="16"/>
                <w:color w:val="auto"/>
              </w:rPr>
              <w:t>233,825</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1,665,861</w:t>
            </w:r>
          </w:p>
        </w:tc>
      </w:tr>
      <w:tr>
        <w:trPr>
          <w:trHeight w:val="283"/>
        </w:trPr>
        <w:tc>
          <w:tcPr>
            <w:tcW w:w="4120" w:type="dxa"/>
            <w:vAlign w:val="bottom"/>
          </w:tcPr>
          <w:p>
            <w:pPr>
              <w:ind w:left="280"/>
              <w:spacing w:after="0"/>
              <w:rPr>
                <w:sz w:val="20"/>
                <w:szCs w:val="20"/>
                <w:color w:val="auto"/>
              </w:rPr>
            </w:pPr>
            <w:r>
              <w:rPr>
                <w:rFonts w:ascii="Arial" w:cs="Arial" w:eastAsia="Arial" w:hAnsi="Arial"/>
                <w:sz w:val="16"/>
                <w:szCs w:val="16"/>
                <w:color w:val="auto"/>
              </w:rPr>
              <w:t>Accumulated impairment losses</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(350,850)</w:t>
            </w: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(15,301)</w:t>
            </w: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(366,151)</w:t>
            </w:r>
          </w:p>
        </w:tc>
      </w:tr>
      <w:tr>
        <w:trPr>
          <w:trHeight w:val="251"/>
        </w:trPr>
        <w:tc>
          <w:tcPr>
            <w:tcW w:w="4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820,962</w:t>
            </w:r>
          </w:p>
        </w:tc>
        <w:tc>
          <w:tcPr>
            <w:tcW w:w="240" w:type="dxa"/>
            <w:vAlign w:val="bottom"/>
          </w:tcPr>
          <w:p>
            <w:pPr>
              <w:spacing w:after="0"/>
              <w:rPr>
                <w:sz w:val="21"/>
                <w:szCs w:val="21"/>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190,815</w:t>
            </w:r>
          </w:p>
        </w:tc>
        <w:tc>
          <w:tcPr>
            <w:tcW w:w="300" w:type="dxa"/>
            <w:vAlign w:val="bottom"/>
          </w:tcPr>
          <w:p>
            <w:pPr>
              <w:spacing w:after="0"/>
              <w:rPr>
                <w:sz w:val="21"/>
                <w:szCs w:val="21"/>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69,409</w:t>
            </w:r>
          </w:p>
        </w:tc>
        <w:tc>
          <w:tcPr>
            <w:tcW w:w="300" w:type="dxa"/>
            <w:vAlign w:val="bottom"/>
          </w:tcPr>
          <w:p>
            <w:pPr>
              <w:spacing w:after="0"/>
              <w:rPr>
                <w:sz w:val="21"/>
                <w:szCs w:val="21"/>
                <w:color w:val="auto"/>
              </w:rPr>
            </w:pPr>
          </w:p>
        </w:tc>
        <w:tc>
          <w:tcPr>
            <w:tcW w:w="1200" w:type="dxa"/>
            <w:vAlign w:val="bottom"/>
          </w:tcPr>
          <w:p>
            <w:pPr>
              <w:jc w:val="right"/>
              <w:ind w:right="61"/>
              <w:spacing w:after="0"/>
              <w:rPr>
                <w:sz w:val="20"/>
                <w:szCs w:val="20"/>
                <w:color w:val="auto"/>
              </w:rPr>
            </w:pPr>
            <w:r>
              <w:rPr>
                <w:rFonts w:ascii="Arial" w:cs="Arial" w:eastAsia="Arial" w:hAnsi="Arial"/>
                <w:sz w:val="16"/>
                <w:szCs w:val="16"/>
                <w:color w:val="auto"/>
              </w:rPr>
              <w:t>218,524</w:t>
            </w:r>
          </w:p>
        </w:tc>
        <w:tc>
          <w:tcPr>
            <w:tcW w:w="400" w:type="dxa"/>
            <w:vAlign w:val="bottom"/>
          </w:tcPr>
          <w:p>
            <w:pPr>
              <w:spacing w:after="0"/>
              <w:rPr>
                <w:sz w:val="21"/>
                <w:szCs w:val="21"/>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1,299,710</w:t>
            </w:r>
          </w:p>
        </w:tc>
      </w:tr>
      <w:tr>
        <w:trPr>
          <w:trHeight w:val="270"/>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Acquisitions</w:t>
            </w:r>
          </w:p>
        </w:tc>
        <w:tc>
          <w:tcPr>
            <w:tcW w:w="240" w:type="dxa"/>
            <w:vAlign w:val="bottom"/>
          </w:tcPr>
          <w:p>
            <w:pPr>
              <w:spacing w:after="0"/>
              <w:rPr>
                <w:sz w:val="23"/>
                <w:szCs w:val="23"/>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b w:val="1"/>
                <w:bCs w:val="1"/>
                <w:color w:val="auto"/>
              </w:rPr>
              <w:t>963</w:t>
            </w:r>
          </w:p>
        </w:tc>
        <w:tc>
          <w:tcPr>
            <w:tcW w:w="240" w:type="dxa"/>
            <w:vAlign w:val="bottom"/>
          </w:tcPr>
          <w:p>
            <w:pPr>
              <w:spacing w:after="0"/>
              <w:rPr>
                <w:sz w:val="23"/>
                <w:szCs w:val="23"/>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3"/>
                <w:szCs w:val="23"/>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3"/>
                <w:szCs w:val="23"/>
                <w:color w:val="auto"/>
              </w:rPr>
            </w:pPr>
          </w:p>
        </w:tc>
        <w:tc>
          <w:tcPr>
            <w:tcW w:w="120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b w:val="1"/>
                <w:bCs w:val="1"/>
                <w:color w:val="auto"/>
              </w:rPr>
              <w:t>963</w:t>
            </w:r>
          </w:p>
        </w:tc>
      </w:tr>
      <w:tr>
        <w:trPr>
          <w:trHeight w:val="270"/>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Dispositions</w:t>
            </w:r>
          </w:p>
        </w:tc>
        <w:tc>
          <w:tcPr>
            <w:tcW w:w="240" w:type="dxa"/>
            <w:vAlign w:val="bottom"/>
          </w:tcPr>
          <w:p>
            <w:pPr>
              <w:spacing w:after="0"/>
              <w:rPr>
                <w:sz w:val="23"/>
                <w:szCs w:val="23"/>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b w:val="1"/>
                <w:bCs w:val="1"/>
                <w:color w:val="auto"/>
              </w:rPr>
              <w:t>(11,191)</w:t>
            </w:r>
          </w:p>
        </w:tc>
        <w:tc>
          <w:tcPr>
            <w:tcW w:w="240" w:type="dxa"/>
            <w:vAlign w:val="bottom"/>
          </w:tcPr>
          <w:p>
            <w:pPr>
              <w:spacing w:after="0"/>
              <w:rPr>
                <w:sz w:val="23"/>
                <w:szCs w:val="23"/>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3"/>
                <w:szCs w:val="23"/>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3"/>
                <w:szCs w:val="23"/>
                <w:color w:val="auto"/>
              </w:rPr>
            </w:pPr>
          </w:p>
        </w:tc>
        <w:tc>
          <w:tcPr>
            <w:tcW w:w="120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(11,191)</w:t>
            </w:r>
          </w:p>
        </w:tc>
      </w:tr>
      <w:tr>
        <w:trPr>
          <w:trHeight w:val="283"/>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Foreign currency exchange rate changes</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12,002</w:t>
            </w: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w:t>
            </w: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12,002</w:t>
            </w:r>
          </w:p>
        </w:tc>
      </w:tr>
      <w:tr>
        <w:trPr>
          <w:trHeight w:val="251"/>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Balance as of March 31, 2018</w:t>
            </w: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4120" w:type="dxa"/>
            <w:vAlign w:val="bottom"/>
          </w:tcPr>
          <w:p>
            <w:pPr>
              <w:ind w:left="280"/>
              <w:spacing w:after="0"/>
              <w:rPr>
                <w:sz w:val="20"/>
                <w:szCs w:val="20"/>
                <w:color w:val="auto"/>
              </w:rPr>
            </w:pPr>
            <w:r>
              <w:rPr>
                <w:rFonts w:ascii="Arial" w:cs="Arial" w:eastAsia="Arial" w:hAnsi="Arial"/>
                <w:sz w:val="16"/>
                <w:szCs w:val="16"/>
                <w:b w:val="1"/>
                <w:bCs w:val="1"/>
                <w:color w:val="auto"/>
              </w:rPr>
              <w:t>Goodwill</w:t>
            </w:r>
          </w:p>
        </w:tc>
        <w:tc>
          <w:tcPr>
            <w:tcW w:w="240" w:type="dxa"/>
            <w:vAlign w:val="bottom"/>
          </w:tcPr>
          <w:p>
            <w:pPr>
              <w:spacing w:after="0"/>
              <w:rPr>
                <w:sz w:val="23"/>
                <w:szCs w:val="23"/>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b w:val="1"/>
                <w:bCs w:val="1"/>
                <w:color w:val="auto"/>
              </w:rPr>
              <w:t>1,153,887</w:t>
            </w:r>
          </w:p>
        </w:tc>
        <w:tc>
          <w:tcPr>
            <w:tcW w:w="240" w:type="dxa"/>
            <w:vAlign w:val="bottom"/>
          </w:tcPr>
          <w:p>
            <w:pPr>
              <w:spacing w:after="0"/>
              <w:rPr>
                <w:sz w:val="23"/>
                <w:szCs w:val="23"/>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b w:val="1"/>
                <w:bCs w:val="1"/>
                <w:color w:val="auto"/>
              </w:rPr>
              <w:t>190,815</w:t>
            </w:r>
          </w:p>
        </w:tc>
        <w:tc>
          <w:tcPr>
            <w:tcW w:w="300" w:type="dxa"/>
            <w:vAlign w:val="bottom"/>
          </w:tcPr>
          <w:p>
            <w:pPr>
              <w:spacing w:after="0"/>
              <w:rPr>
                <w:sz w:val="23"/>
                <w:szCs w:val="23"/>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b w:val="1"/>
                <w:bCs w:val="1"/>
                <w:color w:val="auto"/>
              </w:rPr>
              <w:t>69,409</w:t>
            </w:r>
          </w:p>
        </w:tc>
        <w:tc>
          <w:tcPr>
            <w:tcW w:w="300" w:type="dxa"/>
            <w:vAlign w:val="bottom"/>
          </w:tcPr>
          <w:p>
            <w:pPr>
              <w:spacing w:after="0"/>
              <w:rPr>
                <w:sz w:val="23"/>
                <w:szCs w:val="23"/>
                <w:color w:val="auto"/>
              </w:rPr>
            </w:pPr>
          </w:p>
        </w:tc>
        <w:tc>
          <w:tcPr>
            <w:tcW w:w="1200" w:type="dxa"/>
            <w:vAlign w:val="bottom"/>
          </w:tcPr>
          <w:p>
            <w:pPr>
              <w:jc w:val="right"/>
              <w:ind w:right="61"/>
              <w:spacing w:after="0"/>
              <w:rPr>
                <w:sz w:val="20"/>
                <w:szCs w:val="20"/>
                <w:color w:val="auto"/>
              </w:rPr>
            </w:pPr>
            <w:r>
              <w:rPr>
                <w:rFonts w:ascii="Arial" w:cs="Arial" w:eastAsia="Arial" w:hAnsi="Arial"/>
                <w:sz w:val="16"/>
                <w:szCs w:val="16"/>
                <w:b w:val="1"/>
                <w:bCs w:val="1"/>
                <w:color w:val="auto"/>
              </w:rPr>
              <w:t>233,825</w:t>
            </w:r>
          </w:p>
        </w:tc>
        <w:tc>
          <w:tcPr>
            <w:tcW w:w="40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b w:val="1"/>
                <w:bCs w:val="1"/>
                <w:color w:val="auto"/>
              </w:rPr>
              <w:t>1,647,936</w:t>
            </w:r>
          </w:p>
        </w:tc>
      </w:tr>
      <w:tr>
        <w:trPr>
          <w:trHeight w:val="283"/>
        </w:trPr>
        <w:tc>
          <w:tcPr>
            <w:tcW w:w="4120" w:type="dxa"/>
            <w:vAlign w:val="bottom"/>
          </w:tcPr>
          <w:p>
            <w:pPr>
              <w:ind w:left="280"/>
              <w:spacing w:after="0"/>
              <w:rPr>
                <w:sz w:val="20"/>
                <w:szCs w:val="20"/>
                <w:color w:val="auto"/>
              </w:rPr>
            </w:pPr>
            <w:r>
              <w:rPr>
                <w:rFonts w:ascii="Arial" w:cs="Arial" w:eastAsia="Arial" w:hAnsi="Arial"/>
                <w:sz w:val="16"/>
                <w:szCs w:val="16"/>
                <w:b w:val="1"/>
                <w:bCs w:val="1"/>
                <w:color w:val="auto"/>
              </w:rPr>
              <w:t>Accumulated impairment losses</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(331,151)</w:t>
            </w: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(15,301)</w:t>
            </w: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(346,452)</w:t>
            </w:r>
          </w:p>
        </w:tc>
      </w:tr>
      <w:tr>
        <w:trPr>
          <w:trHeight w:val="264"/>
        </w:trPr>
        <w:tc>
          <w:tcPr>
            <w:tcW w:w="41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822,736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190,815</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69,409</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218,524</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1,301,484</w:t>
            </w:r>
          </w:p>
        </w:tc>
      </w:tr>
      <w:tr>
        <w:trPr>
          <w:trHeight w:val="20"/>
        </w:trPr>
        <w:tc>
          <w:tcPr>
            <w:tcW w:w="4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697" w:right="239" w:bottom="1440" w:gutter="0" w:footer="0" w:header="0"/>
        </w:sectPr>
      </w:pP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420"/>
          </w:cols>
          <w:pgMar w:left="240" w:top="697" w:right="2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color w:val="auto"/>
        </w:rPr>
        <w:t>The changes in carrying amount of goodwill at the Company’s education division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right"/>
              <w:ind w:right="400"/>
              <w:spacing w:after="0"/>
              <w:rPr>
                <w:sz w:val="20"/>
                <w:szCs w:val="20"/>
                <w:color w:val="auto"/>
              </w:rPr>
            </w:pPr>
            <w:r>
              <w:rPr>
                <w:rFonts w:ascii="Arial" w:cs="Arial" w:eastAsia="Arial" w:hAnsi="Arial"/>
                <w:sz w:val="14"/>
                <w:szCs w:val="14"/>
                <w:b w:val="1"/>
                <w:bCs w:val="1"/>
                <w:color w:val="auto"/>
              </w:rPr>
              <w:t>Kaplan</w:t>
            </w:r>
          </w:p>
        </w:tc>
        <w:tc>
          <w:tcPr>
            <w:tcW w:w="320" w:type="dxa"/>
            <w:vAlign w:val="bottom"/>
          </w:tcPr>
          <w:p>
            <w:pPr>
              <w:spacing w:after="0"/>
              <w:rPr>
                <w:sz w:val="14"/>
                <w:szCs w:val="14"/>
                <w:color w:val="auto"/>
              </w:rPr>
            </w:pPr>
          </w:p>
        </w:tc>
        <w:tc>
          <w:tcPr>
            <w:tcW w:w="1180" w:type="dxa"/>
            <w:vAlign w:val="bottom"/>
          </w:tcPr>
          <w:p>
            <w:pPr>
              <w:jc w:val="right"/>
              <w:ind w:right="420"/>
              <w:spacing w:after="0"/>
              <w:rPr>
                <w:sz w:val="20"/>
                <w:szCs w:val="20"/>
                <w:color w:val="auto"/>
              </w:rPr>
            </w:pPr>
            <w:r>
              <w:rPr>
                <w:rFonts w:ascii="Arial" w:cs="Arial" w:eastAsia="Arial" w:hAnsi="Arial"/>
                <w:sz w:val="14"/>
                <w:szCs w:val="14"/>
                <w:b w:val="1"/>
                <w:bCs w:val="1"/>
                <w:color w:val="auto"/>
              </w:rPr>
              <w:t>Higher</w:t>
            </w:r>
          </w:p>
        </w:tc>
        <w:tc>
          <w:tcPr>
            <w:tcW w:w="260" w:type="dxa"/>
            <w:vAlign w:val="bottom"/>
          </w:tcPr>
          <w:p>
            <w:pPr>
              <w:spacing w:after="0"/>
              <w:rPr>
                <w:sz w:val="14"/>
                <w:szCs w:val="14"/>
                <w:color w:val="auto"/>
              </w:rPr>
            </w:pPr>
          </w:p>
        </w:tc>
        <w:tc>
          <w:tcPr>
            <w:tcW w:w="1200" w:type="dxa"/>
            <w:vAlign w:val="bottom"/>
          </w:tcPr>
          <w:p>
            <w:pPr>
              <w:jc w:val="right"/>
              <w:ind w:right="500"/>
              <w:spacing w:after="0"/>
              <w:rPr>
                <w:sz w:val="20"/>
                <w:szCs w:val="20"/>
                <w:color w:val="auto"/>
              </w:rPr>
            </w:pPr>
            <w:r>
              <w:rPr>
                <w:rFonts w:ascii="Arial" w:cs="Arial" w:eastAsia="Arial" w:hAnsi="Arial"/>
                <w:sz w:val="14"/>
                <w:szCs w:val="14"/>
                <w:b w:val="1"/>
                <w:bCs w:val="1"/>
                <w:color w:val="auto"/>
              </w:rPr>
              <w:t>Test</w:t>
            </w: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96"/>
        </w:trPr>
        <w:tc>
          <w:tcPr>
            <w:tcW w:w="41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International</w:t>
            </w: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Education</w:t>
            </w: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Preparation</w:t>
            </w:r>
          </w:p>
        </w:tc>
        <w:tc>
          <w:tcPr>
            <w:tcW w:w="148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Professional (U.S.)</w:t>
            </w: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Total</w:t>
            </w:r>
          </w:p>
        </w:tc>
      </w:tr>
      <w:tr>
        <w:trPr>
          <w:trHeight w:val="250"/>
        </w:trPr>
        <w:tc>
          <w:tcPr>
            <w:tcW w:w="4100" w:type="dxa"/>
            <w:vAlign w:val="bottom"/>
          </w:tcPr>
          <w:p>
            <w:pPr>
              <w:ind w:left="40"/>
              <w:spacing w:after="0"/>
              <w:rPr>
                <w:sz w:val="20"/>
                <w:szCs w:val="20"/>
                <w:color w:val="auto"/>
              </w:rPr>
            </w:pPr>
            <w:r>
              <w:rPr>
                <w:rFonts w:ascii="Arial" w:cs="Arial" w:eastAsia="Arial" w:hAnsi="Arial"/>
                <w:sz w:val="16"/>
                <w:szCs w:val="16"/>
                <w:color w:val="auto"/>
              </w:rPr>
              <w:t>Balance as of December 31, 2017</w:t>
            </w: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4100" w:type="dxa"/>
            <w:vAlign w:val="bottom"/>
          </w:tcPr>
          <w:p>
            <w:pPr>
              <w:ind w:left="280"/>
              <w:spacing w:after="0"/>
              <w:rPr>
                <w:sz w:val="20"/>
                <w:szCs w:val="20"/>
                <w:color w:val="auto"/>
              </w:rPr>
            </w:pPr>
            <w:r>
              <w:rPr>
                <w:rFonts w:ascii="Arial" w:cs="Arial" w:eastAsia="Arial" w:hAnsi="Arial"/>
                <w:sz w:val="16"/>
                <w:szCs w:val="16"/>
                <w:color w:val="auto"/>
              </w:rPr>
              <w:t>Goodwill</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60"/>
              <w:spacing w:after="0"/>
              <w:rPr>
                <w:sz w:val="20"/>
                <w:szCs w:val="20"/>
                <w:color w:val="auto"/>
              </w:rPr>
            </w:pPr>
            <w:r>
              <w:rPr>
                <w:rFonts w:ascii="Arial" w:cs="Arial" w:eastAsia="Arial" w:hAnsi="Arial"/>
                <w:sz w:val="16"/>
                <w:szCs w:val="16"/>
                <w:color w:val="auto"/>
              </w:rPr>
              <w:t>615,861</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389,853</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166,098</w:t>
            </w:r>
          </w:p>
        </w:tc>
        <w:tc>
          <w:tcPr>
            <w:tcW w:w="440" w:type="dxa"/>
            <w:vAlign w:val="bottom"/>
          </w:tcPr>
          <w:p>
            <w:pPr>
              <w:ind w:left="10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1,171,812</w:t>
            </w:r>
          </w:p>
        </w:tc>
      </w:tr>
      <w:tr>
        <w:trPr>
          <w:trHeight w:val="283"/>
        </w:trPr>
        <w:tc>
          <w:tcPr>
            <w:tcW w:w="4100" w:type="dxa"/>
            <w:vAlign w:val="bottom"/>
          </w:tcPr>
          <w:p>
            <w:pPr>
              <w:ind w:left="280"/>
              <w:spacing w:after="0"/>
              <w:rPr>
                <w:sz w:val="20"/>
                <w:szCs w:val="20"/>
                <w:color w:val="auto"/>
              </w:rPr>
            </w:pPr>
            <w:r>
              <w:rPr>
                <w:rFonts w:ascii="Arial" w:cs="Arial" w:eastAsia="Arial" w:hAnsi="Arial"/>
                <w:sz w:val="16"/>
                <w:szCs w:val="16"/>
                <w:color w:val="auto"/>
              </w:rPr>
              <w:t>Accumulated impairment losses</w:t>
            </w: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(248,591)</w:t>
            </w: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(102,259)</w:t>
            </w:r>
          </w:p>
        </w:tc>
        <w:tc>
          <w:tcPr>
            <w:tcW w:w="4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(350,850)</w:t>
            </w:r>
          </w:p>
        </w:tc>
      </w:tr>
      <w:tr>
        <w:trPr>
          <w:trHeight w:val="251"/>
        </w:trPr>
        <w:tc>
          <w:tcPr>
            <w:tcW w:w="4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ind w:right="60"/>
              <w:spacing w:after="0"/>
              <w:rPr>
                <w:sz w:val="20"/>
                <w:szCs w:val="20"/>
                <w:color w:val="auto"/>
              </w:rPr>
            </w:pPr>
            <w:r>
              <w:rPr>
                <w:rFonts w:ascii="Arial" w:cs="Arial" w:eastAsia="Arial" w:hAnsi="Arial"/>
                <w:sz w:val="16"/>
                <w:szCs w:val="16"/>
                <w:color w:val="auto"/>
              </w:rPr>
              <w:t>615,861</w:t>
            </w:r>
          </w:p>
        </w:tc>
        <w:tc>
          <w:tcPr>
            <w:tcW w:w="320" w:type="dxa"/>
            <w:vAlign w:val="bottom"/>
          </w:tcPr>
          <w:p>
            <w:pPr>
              <w:spacing w:after="0"/>
              <w:rPr>
                <w:sz w:val="21"/>
                <w:szCs w:val="21"/>
                <w:color w:val="auto"/>
              </w:rPr>
            </w:pP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141,262</w:t>
            </w:r>
          </w:p>
        </w:tc>
        <w:tc>
          <w:tcPr>
            <w:tcW w:w="260" w:type="dxa"/>
            <w:vAlign w:val="bottom"/>
          </w:tcPr>
          <w:p>
            <w:pPr>
              <w:spacing w:after="0"/>
              <w:rPr>
                <w:sz w:val="21"/>
                <w:szCs w:val="21"/>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63,839</w:t>
            </w:r>
          </w:p>
        </w:tc>
        <w:tc>
          <w:tcPr>
            <w:tcW w:w="440" w:type="dxa"/>
            <w:vAlign w:val="bottom"/>
          </w:tcPr>
          <w:p>
            <w:pPr>
              <w:spacing w:after="0"/>
              <w:rPr>
                <w:sz w:val="21"/>
                <w:szCs w:val="21"/>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1"/>
                <w:szCs w:val="21"/>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820,962</w:t>
            </w:r>
          </w:p>
        </w:tc>
      </w:tr>
      <w:tr>
        <w:trPr>
          <w:trHeight w:val="270"/>
        </w:trPr>
        <w:tc>
          <w:tcPr>
            <w:tcW w:w="4100" w:type="dxa"/>
            <w:vAlign w:val="bottom"/>
          </w:tcPr>
          <w:p>
            <w:pPr>
              <w:ind w:left="40"/>
              <w:spacing w:after="0"/>
              <w:rPr>
                <w:sz w:val="20"/>
                <w:szCs w:val="20"/>
                <w:color w:val="auto"/>
              </w:rPr>
            </w:pPr>
            <w:r>
              <w:rPr>
                <w:rFonts w:ascii="Arial" w:cs="Arial" w:eastAsia="Arial" w:hAnsi="Arial"/>
                <w:sz w:val="16"/>
                <w:szCs w:val="16"/>
                <w:b w:val="1"/>
                <w:bCs w:val="1"/>
                <w:color w:val="auto"/>
              </w:rPr>
              <w:t>Reallocation, net (Note 16)</w:t>
            </w:r>
          </w:p>
        </w:tc>
        <w:tc>
          <w:tcPr>
            <w:tcW w:w="180" w:type="dxa"/>
            <w:vAlign w:val="bottom"/>
          </w:tcPr>
          <w:p>
            <w:pPr>
              <w:spacing w:after="0"/>
              <w:rPr>
                <w:sz w:val="23"/>
                <w:szCs w:val="23"/>
                <w:color w:val="auto"/>
              </w:rPr>
            </w:pPr>
          </w:p>
        </w:tc>
        <w:tc>
          <w:tcPr>
            <w:tcW w:w="122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3"/>
                <w:szCs w:val="23"/>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b w:val="1"/>
                <w:bCs w:val="1"/>
                <w:color w:val="auto"/>
              </w:rPr>
              <w:t>(66,791)</w:t>
            </w:r>
          </w:p>
        </w:tc>
        <w:tc>
          <w:tcPr>
            <w:tcW w:w="260" w:type="dxa"/>
            <w:vAlign w:val="bottom"/>
          </w:tcPr>
          <w:p>
            <w:pPr>
              <w:spacing w:after="0"/>
              <w:rPr>
                <w:sz w:val="23"/>
                <w:szCs w:val="23"/>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440" w:type="dxa"/>
            <w:vAlign w:val="bottom"/>
          </w:tcPr>
          <w:p>
            <w:pPr>
              <w:spacing w:after="0"/>
              <w:rPr>
                <w:sz w:val="23"/>
                <w:szCs w:val="23"/>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auto"/>
              </w:rPr>
              <w:t>66,791</w:t>
            </w:r>
          </w:p>
        </w:tc>
        <w:tc>
          <w:tcPr>
            <w:tcW w:w="38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r>
      <w:tr>
        <w:trPr>
          <w:trHeight w:val="270"/>
        </w:trPr>
        <w:tc>
          <w:tcPr>
            <w:tcW w:w="4100" w:type="dxa"/>
            <w:vAlign w:val="bottom"/>
          </w:tcPr>
          <w:p>
            <w:pPr>
              <w:ind w:left="40"/>
              <w:spacing w:after="0"/>
              <w:rPr>
                <w:sz w:val="20"/>
                <w:szCs w:val="20"/>
                <w:color w:val="auto"/>
              </w:rPr>
            </w:pPr>
            <w:r>
              <w:rPr>
                <w:rFonts w:ascii="Arial" w:cs="Arial" w:eastAsia="Arial" w:hAnsi="Arial"/>
                <w:sz w:val="16"/>
                <w:szCs w:val="16"/>
                <w:b w:val="1"/>
                <w:bCs w:val="1"/>
                <w:color w:val="auto"/>
              </w:rPr>
              <w:t>Acquisitions</w:t>
            </w:r>
          </w:p>
        </w:tc>
        <w:tc>
          <w:tcPr>
            <w:tcW w:w="180" w:type="dxa"/>
            <w:vAlign w:val="bottom"/>
          </w:tcPr>
          <w:p>
            <w:pPr>
              <w:spacing w:after="0"/>
              <w:rPr>
                <w:sz w:val="23"/>
                <w:szCs w:val="23"/>
                <w:color w:val="auto"/>
              </w:rPr>
            </w:pPr>
          </w:p>
        </w:tc>
        <w:tc>
          <w:tcPr>
            <w:tcW w:w="1220" w:type="dxa"/>
            <w:vAlign w:val="bottom"/>
          </w:tcPr>
          <w:p>
            <w:pPr>
              <w:jc w:val="right"/>
              <w:ind w:right="60"/>
              <w:spacing w:after="0"/>
              <w:rPr>
                <w:sz w:val="20"/>
                <w:szCs w:val="20"/>
                <w:color w:val="auto"/>
              </w:rPr>
            </w:pPr>
            <w:r>
              <w:rPr>
                <w:rFonts w:ascii="Arial" w:cs="Arial" w:eastAsia="Arial" w:hAnsi="Arial"/>
                <w:sz w:val="16"/>
                <w:szCs w:val="16"/>
                <w:b w:val="1"/>
                <w:bCs w:val="1"/>
                <w:color w:val="auto"/>
              </w:rPr>
              <w:t>26</w:t>
            </w:r>
          </w:p>
        </w:tc>
        <w:tc>
          <w:tcPr>
            <w:tcW w:w="320" w:type="dxa"/>
            <w:vAlign w:val="bottom"/>
          </w:tcPr>
          <w:p>
            <w:pPr>
              <w:spacing w:after="0"/>
              <w:rPr>
                <w:sz w:val="23"/>
                <w:szCs w:val="23"/>
                <w:color w:val="auto"/>
              </w:rPr>
            </w:pPr>
          </w:p>
        </w:tc>
        <w:tc>
          <w:tcPr>
            <w:tcW w:w="118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3"/>
                <w:szCs w:val="23"/>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b w:val="1"/>
                <w:bCs w:val="1"/>
                <w:color w:val="auto"/>
              </w:rPr>
              <w:t>937</w:t>
            </w:r>
          </w:p>
        </w:tc>
        <w:tc>
          <w:tcPr>
            <w:tcW w:w="440" w:type="dxa"/>
            <w:vAlign w:val="bottom"/>
          </w:tcPr>
          <w:p>
            <w:pPr>
              <w:spacing w:after="0"/>
              <w:rPr>
                <w:sz w:val="23"/>
                <w:szCs w:val="23"/>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b w:val="1"/>
                <w:bCs w:val="1"/>
                <w:color w:val="auto"/>
              </w:rPr>
              <w:t>963</w:t>
            </w:r>
          </w:p>
        </w:tc>
      </w:tr>
      <w:tr>
        <w:trPr>
          <w:trHeight w:val="270"/>
        </w:trPr>
        <w:tc>
          <w:tcPr>
            <w:tcW w:w="4100" w:type="dxa"/>
            <w:vAlign w:val="bottom"/>
          </w:tcPr>
          <w:p>
            <w:pPr>
              <w:ind w:left="40"/>
              <w:spacing w:after="0"/>
              <w:rPr>
                <w:sz w:val="20"/>
                <w:szCs w:val="20"/>
                <w:color w:val="auto"/>
              </w:rPr>
            </w:pPr>
            <w:r>
              <w:rPr>
                <w:rFonts w:ascii="Arial" w:cs="Arial" w:eastAsia="Arial" w:hAnsi="Arial"/>
                <w:sz w:val="16"/>
                <w:szCs w:val="16"/>
                <w:b w:val="1"/>
                <w:bCs w:val="1"/>
                <w:color w:val="auto"/>
              </w:rPr>
              <w:t>Dispositions</w:t>
            </w:r>
          </w:p>
        </w:tc>
        <w:tc>
          <w:tcPr>
            <w:tcW w:w="180" w:type="dxa"/>
            <w:vAlign w:val="bottom"/>
          </w:tcPr>
          <w:p>
            <w:pPr>
              <w:spacing w:after="0"/>
              <w:rPr>
                <w:sz w:val="23"/>
                <w:szCs w:val="23"/>
                <w:color w:val="auto"/>
              </w:rPr>
            </w:pPr>
          </w:p>
        </w:tc>
        <w:tc>
          <w:tcPr>
            <w:tcW w:w="122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3"/>
                <w:szCs w:val="23"/>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b w:val="1"/>
                <w:bCs w:val="1"/>
                <w:color w:val="auto"/>
              </w:rPr>
              <w:t>(11,191)</w:t>
            </w:r>
          </w:p>
        </w:tc>
        <w:tc>
          <w:tcPr>
            <w:tcW w:w="260" w:type="dxa"/>
            <w:vAlign w:val="bottom"/>
          </w:tcPr>
          <w:p>
            <w:pPr>
              <w:spacing w:after="0"/>
              <w:rPr>
                <w:sz w:val="23"/>
                <w:szCs w:val="23"/>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440" w:type="dxa"/>
            <w:vAlign w:val="bottom"/>
          </w:tcPr>
          <w:p>
            <w:pPr>
              <w:spacing w:after="0"/>
              <w:rPr>
                <w:sz w:val="23"/>
                <w:szCs w:val="23"/>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(11,191)</w:t>
            </w:r>
          </w:p>
        </w:tc>
      </w:tr>
      <w:tr>
        <w:trPr>
          <w:trHeight w:val="283"/>
        </w:trPr>
        <w:tc>
          <w:tcPr>
            <w:tcW w:w="4100" w:type="dxa"/>
            <w:vAlign w:val="bottom"/>
          </w:tcPr>
          <w:p>
            <w:pPr>
              <w:ind w:left="40"/>
              <w:spacing w:after="0"/>
              <w:rPr>
                <w:sz w:val="20"/>
                <w:szCs w:val="20"/>
                <w:color w:val="auto"/>
              </w:rPr>
            </w:pPr>
            <w:r>
              <w:rPr>
                <w:rFonts w:ascii="Arial" w:cs="Arial" w:eastAsia="Arial" w:hAnsi="Arial"/>
                <w:sz w:val="16"/>
                <w:szCs w:val="16"/>
                <w:b w:val="1"/>
                <w:bCs w:val="1"/>
                <w:color w:val="auto"/>
              </w:rPr>
              <w:t>Foreign currency exchange rate changes</w:t>
            </w: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12,047</w:t>
            </w: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(40)</w:t>
            </w: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4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(5)</w:t>
            </w:r>
          </w:p>
        </w:tc>
        <w:tc>
          <w:tcPr>
            <w:tcW w:w="3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12,002</w:t>
            </w:r>
          </w:p>
        </w:tc>
      </w:tr>
      <w:tr>
        <w:trPr>
          <w:trHeight w:val="251"/>
        </w:trPr>
        <w:tc>
          <w:tcPr>
            <w:tcW w:w="4100" w:type="dxa"/>
            <w:vAlign w:val="bottom"/>
          </w:tcPr>
          <w:p>
            <w:pPr>
              <w:ind w:left="40"/>
              <w:spacing w:after="0"/>
              <w:rPr>
                <w:sz w:val="20"/>
                <w:szCs w:val="20"/>
                <w:color w:val="auto"/>
              </w:rPr>
            </w:pPr>
            <w:r>
              <w:rPr>
                <w:rFonts w:ascii="Arial" w:cs="Arial" w:eastAsia="Arial" w:hAnsi="Arial"/>
                <w:sz w:val="16"/>
                <w:szCs w:val="16"/>
                <w:b w:val="1"/>
                <w:bCs w:val="1"/>
                <w:color w:val="auto"/>
              </w:rPr>
              <w:t>Balance as of March 31, 2018</w:t>
            </w: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4100" w:type="dxa"/>
            <w:vAlign w:val="bottom"/>
          </w:tcPr>
          <w:p>
            <w:pPr>
              <w:ind w:left="280"/>
              <w:spacing w:after="0"/>
              <w:rPr>
                <w:sz w:val="20"/>
                <w:szCs w:val="20"/>
                <w:color w:val="auto"/>
              </w:rPr>
            </w:pPr>
            <w:r>
              <w:rPr>
                <w:rFonts w:ascii="Arial" w:cs="Arial" w:eastAsia="Arial" w:hAnsi="Arial"/>
                <w:sz w:val="16"/>
                <w:szCs w:val="16"/>
                <w:b w:val="1"/>
                <w:bCs w:val="1"/>
                <w:color w:val="auto"/>
              </w:rPr>
              <w:t>Goodwill</w:t>
            </w:r>
          </w:p>
        </w:tc>
        <w:tc>
          <w:tcPr>
            <w:tcW w:w="180" w:type="dxa"/>
            <w:vAlign w:val="bottom"/>
          </w:tcPr>
          <w:p>
            <w:pPr>
              <w:spacing w:after="0"/>
              <w:rPr>
                <w:sz w:val="23"/>
                <w:szCs w:val="23"/>
                <w:color w:val="auto"/>
              </w:rPr>
            </w:pPr>
          </w:p>
        </w:tc>
        <w:tc>
          <w:tcPr>
            <w:tcW w:w="1220" w:type="dxa"/>
            <w:vAlign w:val="bottom"/>
          </w:tcPr>
          <w:p>
            <w:pPr>
              <w:jc w:val="right"/>
              <w:ind w:right="60"/>
              <w:spacing w:after="0"/>
              <w:rPr>
                <w:sz w:val="20"/>
                <w:szCs w:val="20"/>
                <w:color w:val="auto"/>
              </w:rPr>
            </w:pPr>
            <w:r>
              <w:rPr>
                <w:rFonts w:ascii="Arial" w:cs="Arial" w:eastAsia="Arial" w:hAnsi="Arial"/>
                <w:sz w:val="16"/>
                <w:szCs w:val="16"/>
                <w:b w:val="1"/>
                <w:bCs w:val="1"/>
                <w:color w:val="auto"/>
              </w:rPr>
              <w:t>627,934</w:t>
            </w:r>
          </w:p>
        </w:tc>
        <w:tc>
          <w:tcPr>
            <w:tcW w:w="320" w:type="dxa"/>
            <w:vAlign w:val="bottom"/>
          </w:tcPr>
          <w:p>
            <w:pPr>
              <w:spacing w:after="0"/>
              <w:rPr>
                <w:sz w:val="23"/>
                <w:szCs w:val="23"/>
                <w:color w:val="auto"/>
              </w:rPr>
            </w:pPr>
          </w:p>
        </w:tc>
        <w:tc>
          <w:tcPr>
            <w:tcW w:w="1180" w:type="dxa"/>
            <w:vAlign w:val="bottom"/>
          </w:tcPr>
          <w:p>
            <w:pPr>
              <w:jc w:val="right"/>
              <w:ind w:right="80"/>
              <w:spacing w:after="0"/>
              <w:rPr>
                <w:sz w:val="20"/>
                <w:szCs w:val="20"/>
                <w:color w:val="auto"/>
              </w:rPr>
            </w:pPr>
            <w:r>
              <w:rPr>
                <w:rFonts w:ascii="Arial" w:cs="Arial" w:eastAsia="Arial" w:hAnsi="Arial"/>
                <w:sz w:val="16"/>
                <w:szCs w:val="16"/>
                <w:b w:val="1"/>
                <w:bCs w:val="1"/>
                <w:color w:val="auto"/>
              </w:rPr>
              <w:t>174,564</w:t>
            </w:r>
          </w:p>
        </w:tc>
        <w:tc>
          <w:tcPr>
            <w:tcW w:w="260" w:type="dxa"/>
            <w:vAlign w:val="bottom"/>
          </w:tcPr>
          <w:p>
            <w:pPr>
              <w:spacing w:after="0"/>
              <w:rPr>
                <w:sz w:val="23"/>
                <w:szCs w:val="23"/>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b w:val="1"/>
                <w:bCs w:val="1"/>
                <w:color w:val="auto"/>
              </w:rPr>
              <w:t>167,035</w:t>
            </w:r>
          </w:p>
        </w:tc>
        <w:tc>
          <w:tcPr>
            <w:tcW w:w="440" w:type="dxa"/>
            <w:vAlign w:val="bottom"/>
          </w:tcPr>
          <w:p>
            <w:pPr>
              <w:spacing w:after="0"/>
              <w:rPr>
                <w:sz w:val="23"/>
                <w:szCs w:val="23"/>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auto"/>
              </w:rPr>
              <w:t>184,354</w:t>
            </w:r>
          </w:p>
        </w:tc>
        <w:tc>
          <w:tcPr>
            <w:tcW w:w="38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b w:val="1"/>
                <w:bCs w:val="1"/>
                <w:color w:val="auto"/>
              </w:rPr>
              <w:t>1,153,887</w:t>
            </w:r>
          </w:p>
        </w:tc>
      </w:tr>
      <w:tr>
        <w:trPr>
          <w:trHeight w:val="283"/>
        </w:trPr>
        <w:tc>
          <w:tcPr>
            <w:tcW w:w="4100" w:type="dxa"/>
            <w:vAlign w:val="bottom"/>
          </w:tcPr>
          <w:p>
            <w:pPr>
              <w:ind w:left="280"/>
              <w:spacing w:after="0"/>
              <w:rPr>
                <w:sz w:val="20"/>
                <w:szCs w:val="20"/>
                <w:color w:val="auto"/>
              </w:rPr>
            </w:pPr>
            <w:r>
              <w:rPr>
                <w:rFonts w:ascii="Arial" w:cs="Arial" w:eastAsia="Arial" w:hAnsi="Arial"/>
                <w:sz w:val="16"/>
                <w:szCs w:val="16"/>
                <w:b w:val="1"/>
                <w:bCs w:val="1"/>
                <w:color w:val="auto"/>
              </w:rPr>
              <w:t>Accumulated impairment losses</w:t>
            </w: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(111,324)</w:t>
            </w: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(102,259)</w:t>
            </w:r>
          </w:p>
        </w:tc>
        <w:tc>
          <w:tcPr>
            <w:tcW w:w="4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(117,568)</w:t>
            </w:r>
          </w:p>
        </w:tc>
        <w:tc>
          <w:tcPr>
            <w:tcW w:w="3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(331,151)</w:t>
            </w:r>
          </w:p>
        </w:tc>
      </w:tr>
      <w:tr>
        <w:trPr>
          <w:trHeight w:val="264"/>
        </w:trPr>
        <w:tc>
          <w:tcPr>
            <w:tcW w:w="4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627,934</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63,240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64,776</w:t>
            </w:r>
          </w:p>
        </w:tc>
        <w:tc>
          <w:tcPr>
            <w:tcW w:w="44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66,786</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822,736</w:t>
            </w:r>
          </w:p>
        </w:tc>
      </w:tr>
      <w:tr>
        <w:trPr>
          <w:trHeight w:val="20"/>
        </w:trPr>
        <w:tc>
          <w:tcPr>
            <w:tcW w:w="4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Other intangible assets consist of the following:</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8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As of March 31, 2018</w:t>
            </w: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As of December 31, 2017</w:t>
            </w: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8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center"/>
              <w:ind w:right="101"/>
              <w:spacing w:after="0"/>
              <w:rPr>
                <w:sz w:val="20"/>
                <w:szCs w:val="20"/>
                <w:color w:val="auto"/>
              </w:rPr>
            </w:pPr>
            <w:r>
              <w:rPr>
                <w:rFonts w:ascii="Arial" w:cs="Arial" w:eastAsia="Arial" w:hAnsi="Arial"/>
                <w:sz w:val="14"/>
                <w:szCs w:val="14"/>
                <w:b w:val="1"/>
                <w:bCs w:val="1"/>
                <w:color w:val="auto"/>
              </w:rPr>
              <w:t>Gross</w:t>
            </w: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center"/>
              <w:ind w:right="121"/>
              <w:spacing w:after="0"/>
              <w:rPr>
                <w:sz w:val="20"/>
                <w:szCs w:val="20"/>
                <w:color w:val="auto"/>
              </w:rPr>
            </w:pPr>
            <w:r>
              <w:rPr>
                <w:rFonts w:ascii="Arial" w:cs="Arial" w:eastAsia="Arial" w:hAnsi="Arial"/>
                <w:sz w:val="14"/>
                <w:szCs w:val="14"/>
                <w:color w:val="auto"/>
              </w:rPr>
              <w:t>Gross</w:t>
            </w: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center"/>
              <w:ind w:right="142"/>
              <w:spacing w:after="0"/>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62"/>
        </w:trPr>
        <w:tc>
          <w:tcPr>
            <w:tcW w:w="2840" w:type="dxa"/>
            <w:vAlign w:val="bottom"/>
          </w:tcPr>
          <w:p>
            <w:pPr>
              <w:spacing w:after="0"/>
              <w:rPr>
                <w:sz w:val="14"/>
                <w:szCs w:val="14"/>
                <w:color w:val="auto"/>
              </w:rPr>
            </w:pPr>
          </w:p>
        </w:tc>
        <w:tc>
          <w:tcPr>
            <w:tcW w:w="1520" w:type="dxa"/>
            <w:vAlign w:val="bottom"/>
          </w:tcPr>
          <w:p>
            <w:pPr>
              <w:jc w:val="center"/>
              <w:ind w:right="141"/>
              <w:spacing w:after="0"/>
              <w:rPr>
                <w:sz w:val="20"/>
                <w:szCs w:val="20"/>
                <w:color w:val="auto"/>
              </w:rPr>
            </w:pPr>
            <w:r>
              <w:rPr>
                <w:rFonts w:ascii="Arial" w:cs="Arial" w:eastAsia="Arial" w:hAnsi="Arial"/>
                <w:sz w:val="14"/>
                <w:szCs w:val="14"/>
                <w:b w:val="1"/>
                <w:bCs w:val="1"/>
                <w:color w:val="auto"/>
              </w:rPr>
              <w:t>Useful Life</w:t>
            </w:r>
          </w:p>
        </w:tc>
        <w:tc>
          <w:tcPr>
            <w:tcW w:w="180" w:type="dxa"/>
            <w:vAlign w:val="bottom"/>
          </w:tcPr>
          <w:p>
            <w:pPr>
              <w:spacing w:after="0"/>
              <w:rPr>
                <w:sz w:val="14"/>
                <w:szCs w:val="14"/>
                <w:color w:val="auto"/>
              </w:rPr>
            </w:pPr>
          </w:p>
        </w:tc>
        <w:tc>
          <w:tcPr>
            <w:tcW w:w="880" w:type="dxa"/>
            <w:vAlign w:val="bottom"/>
          </w:tcPr>
          <w:p>
            <w:pPr>
              <w:jc w:val="center"/>
              <w:ind w:right="121"/>
              <w:spacing w:after="0"/>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4"/>
                <w:szCs w:val="14"/>
                <w:color w:val="auto"/>
              </w:rPr>
            </w:pPr>
          </w:p>
        </w:tc>
        <w:tc>
          <w:tcPr>
            <w:tcW w:w="1220" w:type="dxa"/>
            <w:vAlign w:val="bottom"/>
          </w:tcPr>
          <w:p>
            <w:pPr>
              <w:jc w:val="center"/>
              <w:ind w:right="161"/>
              <w:spacing w:after="0"/>
              <w:rPr>
                <w:sz w:val="20"/>
                <w:szCs w:val="20"/>
                <w:color w:val="auto"/>
              </w:rPr>
            </w:pPr>
            <w:r>
              <w:rPr>
                <w:rFonts w:ascii="Arial" w:cs="Arial" w:eastAsia="Arial" w:hAnsi="Arial"/>
                <w:sz w:val="14"/>
                <w:szCs w:val="14"/>
                <w:b w:val="1"/>
                <w:bCs w:val="1"/>
                <w:color w:val="auto"/>
              </w:rPr>
              <w:t>Accumulated</w:t>
            </w:r>
          </w:p>
        </w:tc>
        <w:tc>
          <w:tcPr>
            <w:tcW w:w="11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Net Carrying</w:t>
            </w:r>
          </w:p>
        </w:tc>
        <w:tc>
          <w:tcPr>
            <w:tcW w:w="160" w:type="dxa"/>
            <w:vAlign w:val="bottom"/>
          </w:tcPr>
          <w:p>
            <w:pPr>
              <w:spacing w:after="0"/>
              <w:rPr>
                <w:sz w:val="14"/>
                <w:szCs w:val="14"/>
                <w:color w:val="auto"/>
              </w:rPr>
            </w:pPr>
          </w:p>
        </w:tc>
        <w:tc>
          <w:tcPr>
            <w:tcW w:w="860" w:type="dxa"/>
            <w:vAlign w:val="bottom"/>
          </w:tcPr>
          <w:p>
            <w:pPr>
              <w:jc w:val="center"/>
              <w:ind w:right="121"/>
              <w:spacing w:after="0"/>
              <w:rPr>
                <w:sz w:val="20"/>
                <w:szCs w:val="20"/>
                <w:color w:val="auto"/>
              </w:rPr>
            </w:pPr>
            <w:r>
              <w:rPr>
                <w:rFonts w:ascii="Arial" w:cs="Arial" w:eastAsia="Arial" w:hAnsi="Arial"/>
                <w:sz w:val="14"/>
                <w:szCs w:val="14"/>
                <w:color w:val="auto"/>
              </w:rPr>
              <w:t>Carrying</w:t>
            </w:r>
          </w:p>
        </w:tc>
        <w:tc>
          <w:tcPr>
            <w:tcW w:w="240" w:type="dxa"/>
            <w:vAlign w:val="bottom"/>
          </w:tcPr>
          <w:p>
            <w:pPr>
              <w:spacing w:after="0"/>
              <w:rPr>
                <w:sz w:val="14"/>
                <w:szCs w:val="14"/>
                <w:color w:val="auto"/>
              </w:rPr>
            </w:pPr>
          </w:p>
        </w:tc>
        <w:tc>
          <w:tcPr>
            <w:tcW w:w="1020" w:type="dxa"/>
            <w:vAlign w:val="bottom"/>
          </w:tcPr>
          <w:p>
            <w:pPr>
              <w:jc w:val="right"/>
              <w:ind w:right="101"/>
              <w:spacing w:after="0"/>
              <w:rPr>
                <w:sz w:val="20"/>
                <w:szCs w:val="20"/>
                <w:color w:val="auto"/>
              </w:rPr>
            </w:pPr>
            <w:r>
              <w:rPr>
                <w:rFonts w:ascii="Arial" w:cs="Arial" w:eastAsia="Arial" w:hAnsi="Arial"/>
                <w:sz w:val="14"/>
                <w:szCs w:val="14"/>
                <w:color w:val="auto"/>
              </w:rPr>
              <w:t>Accumulated</w:t>
            </w:r>
          </w:p>
        </w:tc>
        <w:tc>
          <w:tcPr>
            <w:tcW w:w="280" w:type="dxa"/>
            <w:vAlign w:val="bottom"/>
          </w:tcPr>
          <w:p>
            <w:pPr>
              <w:spacing w:after="0"/>
              <w:rPr>
                <w:sz w:val="14"/>
                <w:szCs w:val="14"/>
                <w:color w:val="auto"/>
              </w:rPr>
            </w:pPr>
          </w:p>
        </w:tc>
        <w:tc>
          <w:tcPr>
            <w:tcW w:w="840" w:type="dxa"/>
            <w:vAlign w:val="bottom"/>
          </w:tcPr>
          <w:p>
            <w:pPr>
              <w:jc w:val="center"/>
              <w:ind w:right="142"/>
              <w:spacing w:after="0"/>
              <w:rPr>
                <w:sz w:val="20"/>
                <w:szCs w:val="20"/>
                <w:color w:val="auto"/>
              </w:rPr>
            </w:pPr>
            <w:r>
              <w:rPr>
                <w:rFonts w:ascii="Arial" w:cs="Arial" w:eastAsia="Arial" w:hAnsi="Arial"/>
                <w:sz w:val="14"/>
                <w:szCs w:val="14"/>
                <w:color w:val="auto"/>
              </w:rPr>
              <w:t>Carrying</w:t>
            </w:r>
          </w:p>
        </w:tc>
        <w:tc>
          <w:tcPr>
            <w:tcW w:w="0" w:type="dxa"/>
            <w:vAlign w:val="bottom"/>
          </w:tcPr>
          <w:p>
            <w:pPr>
              <w:spacing w:after="0"/>
              <w:rPr>
                <w:sz w:val="1"/>
                <w:szCs w:val="1"/>
                <w:color w:val="auto"/>
              </w:rPr>
            </w:pPr>
          </w:p>
        </w:tc>
      </w:tr>
      <w:tr>
        <w:trPr>
          <w:trHeight w:val="196"/>
        </w:trPr>
        <w:tc>
          <w:tcPr>
            <w:tcW w:w="28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52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rPr>
              <w:t>Range</w:t>
            </w: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rPr>
              <w:t>Amount</w:t>
            </w: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81"/>
              <w:spacing w:after="0"/>
              <w:rPr>
                <w:sz w:val="20"/>
                <w:szCs w:val="20"/>
                <w:color w:val="auto"/>
              </w:rPr>
            </w:pPr>
            <w:r>
              <w:rPr>
                <w:rFonts w:ascii="Arial" w:cs="Arial" w:eastAsia="Arial" w:hAnsi="Arial"/>
                <w:sz w:val="14"/>
                <w:szCs w:val="14"/>
                <w:b w:val="1"/>
                <w:bCs w:val="1"/>
                <w:color w:val="auto"/>
              </w:rPr>
              <w:t>Amortization</w:t>
            </w: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color w:val="auto"/>
              </w:rPr>
              <w:t>Amount</w:t>
            </w: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color w:val="auto"/>
              </w:rPr>
              <w:t>Amortization</w:t>
            </w: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color w:val="auto"/>
              </w:rPr>
              <w:t>Amount</w:t>
            </w:r>
          </w:p>
        </w:tc>
        <w:tc>
          <w:tcPr>
            <w:tcW w:w="0" w:type="dxa"/>
            <w:vAlign w:val="bottom"/>
          </w:tcPr>
          <w:p>
            <w:pPr>
              <w:spacing w:after="0"/>
              <w:rPr>
                <w:sz w:val="1"/>
                <w:szCs w:val="1"/>
                <w:color w:val="auto"/>
              </w:rPr>
            </w:pPr>
          </w:p>
        </w:tc>
      </w:tr>
      <w:tr>
        <w:trPr>
          <w:trHeight w:val="250"/>
        </w:trPr>
        <w:tc>
          <w:tcPr>
            <w:tcW w:w="2840" w:type="dxa"/>
            <w:vAlign w:val="bottom"/>
          </w:tcPr>
          <w:p>
            <w:pPr>
              <w:ind w:left="40"/>
              <w:spacing w:after="0"/>
              <w:rPr>
                <w:sz w:val="20"/>
                <w:szCs w:val="20"/>
                <w:color w:val="auto"/>
              </w:rPr>
            </w:pPr>
            <w:r>
              <w:rPr>
                <w:rFonts w:ascii="Arial" w:cs="Arial" w:eastAsia="Arial" w:hAnsi="Arial"/>
                <w:sz w:val="16"/>
                <w:szCs w:val="16"/>
                <w:b w:val="1"/>
                <w:bCs w:val="1"/>
                <w:color w:val="auto"/>
              </w:rPr>
              <w:t>Amortized Intangible Assets</w:t>
            </w:r>
          </w:p>
        </w:tc>
        <w:tc>
          <w:tcPr>
            <w:tcW w:w="1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840" w:type="dxa"/>
            <w:vAlign w:val="bottom"/>
          </w:tcPr>
          <w:p>
            <w:pPr>
              <w:ind w:left="180"/>
              <w:spacing w:after="0"/>
              <w:rPr>
                <w:sz w:val="20"/>
                <w:szCs w:val="20"/>
                <w:color w:val="auto"/>
              </w:rPr>
            </w:pPr>
            <w:r>
              <w:rPr>
                <w:rFonts w:ascii="Arial" w:cs="Arial" w:eastAsia="Arial" w:hAnsi="Arial"/>
                <w:sz w:val="16"/>
                <w:szCs w:val="16"/>
                <w:color w:val="auto"/>
              </w:rPr>
              <w:t>Student and customer relationships</w:t>
            </w:r>
          </w:p>
        </w:tc>
        <w:tc>
          <w:tcPr>
            <w:tcW w:w="1520" w:type="dxa"/>
            <w:vAlign w:val="bottom"/>
          </w:tcPr>
          <w:p>
            <w:pPr>
              <w:jc w:val="center"/>
              <w:ind w:right="141"/>
              <w:spacing w:after="0"/>
              <w:rPr>
                <w:sz w:val="20"/>
                <w:szCs w:val="20"/>
                <w:color w:val="auto"/>
              </w:rPr>
            </w:pPr>
            <w:r>
              <w:rPr>
                <w:rFonts w:ascii="Arial" w:cs="Arial" w:eastAsia="Arial" w:hAnsi="Arial"/>
                <w:sz w:val="16"/>
                <w:szCs w:val="16"/>
                <w:b w:val="1"/>
                <w:bCs w:val="1"/>
                <w:color w:val="auto"/>
              </w:rPr>
              <w:t>2–10 years (1)</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41"/>
              <w:spacing w:after="0"/>
              <w:rPr>
                <w:sz w:val="20"/>
                <w:szCs w:val="20"/>
                <w:color w:val="auto"/>
              </w:rPr>
            </w:pPr>
            <w:r>
              <w:rPr>
                <w:rFonts w:ascii="Arial" w:cs="Arial" w:eastAsia="Arial" w:hAnsi="Arial"/>
                <w:sz w:val="16"/>
                <w:szCs w:val="16"/>
                <w:b w:val="1"/>
                <w:bCs w:val="1"/>
                <w:color w:val="auto"/>
              </w:rPr>
              <w:t>261,022</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tcPr>
          <w:p>
            <w:pPr>
              <w:jc w:val="right"/>
              <w:ind w:right="141"/>
              <w:spacing w:after="0"/>
              <w:rPr>
                <w:sz w:val="20"/>
                <w:szCs w:val="20"/>
                <w:color w:val="auto"/>
              </w:rPr>
            </w:pPr>
            <w:r>
              <w:rPr>
                <w:rFonts w:ascii="Arial" w:cs="Arial" w:eastAsia="Arial" w:hAnsi="Arial"/>
                <w:sz w:val="16"/>
                <w:szCs w:val="16"/>
                <w:b w:val="1"/>
                <w:bCs w:val="1"/>
                <w:color w:val="auto"/>
              </w:rPr>
              <w:t>91,658</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140"/>
              <w:spacing w:after="0"/>
              <w:rPr>
                <w:sz w:val="20"/>
                <w:szCs w:val="20"/>
                <w:color w:val="auto"/>
              </w:rPr>
            </w:pPr>
            <w:r>
              <w:rPr>
                <w:rFonts w:ascii="Arial" w:cs="Arial" w:eastAsia="Arial" w:hAnsi="Arial"/>
                <w:sz w:val="16"/>
                <w:szCs w:val="16"/>
                <w:b w:val="1"/>
                <w:bCs w:val="1"/>
                <w:color w:val="auto"/>
              </w:rPr>
              <w:t>169,364</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260,464</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83,690</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2"/>
              <w:spacing w:after="0"/>
              <w:rPr>
                <w:sz w:val="20"/>
                <w:szCs w:val="20"/>
                <w:color w:val="auto"/>
              </w:rPr>
            </w:pPr>
            <w:r>
              <w:rPr>
                <w:rFonts w:ascii="Arial" w:cs="Arial" w:eastAsia="Arial" w:hAnsi="Arial"/>
                <w:sz w:val="16"/>
                <w:szCs w:val="16"/>
                <w:color w:val="auto"/>
              </w:rPr>
              <w:t>176,774</w:t>
            </w:r>
          </w:p>
        </w:tc>
        <w:tc>
          <w:tcPr>
            <w:tcW w:w="0" w:type="dxa"/>
            <w:vAlign w:val="bottom"/>
          </w:tcPr>
          <w:p>
            <w:pPr>
              <w:spacing w:after="0"/>
              <w:rPr>
                <w:sz w:val="1"/>
                <w:szCs w:val="1"/>
                <w:color w:val="auto"/>
              </w:rPr>
            </w:pPr>
          </w:p>
        </w:tc>
      </w:tr>
      <w:tr>
        <w:trPr>
          <w:trHeight w:val="270"/>
        </w:trPr>
        <w:tc>
          <w:tcPr>
            <w:tcW w:w="2840" w:type="dxa"/>
            <w:vAlign w:val="bottom"/>
          </w:tcPr>
          <w:p>
            <w:pPr>
              <w:ind w:left="180"/>
              <w:spacing w:after="0"/>
              <w:rPr>
                <w:sz w:val="20"/>
                <w:szCs w:val="20"/>
                <w:color w:val="auto"/>
              </w:rPr>
            </w:pPr>
            <w:r>
              <w:rPr>
                <w:rFonts w:ascii="Arial" w:cs="Arial" w:eastAsia="Arial" w:hAnsi="Arial"/>
                <w:sz w:val="16"/>
                <w:szCs w:val="16"/>
                <w:color w:val="auto"/>
              </w:rPr>
              <w:t>Trade names and trademarks</w:t>
            </w:r>
          </w:p>
        </w:tc>
        <w:tc>
          <w:tcPr>
            <w:tcW w:w="1520" w:type="dxa"/>
            <w:vAlign w:val="bottom"/>
          </w:tcPr>
          <w:p>
            <w:pPr>
              <w:jc w:val="center"/>
              <w:ind w:right="141"/>
              <w:spacing w:after="0"/>
              <w:rPr>
                <w:sz w:val="20"/>
                <w:szCs w:val="20"/>
                <w:color w:val="auto"/>
              </w:rPr>
            </w:pPr>
            <w:r>
              <w:rPr>
                <w:rFonts w:ascii="Arial" w:cs="Arial" w:eastAsia="Arial" w:hAnsi="Arial"/>
                <w:sz w:val="16"/>
                <w:szCs w:val="16"/>
                <w:b w:val="1"/>
                <w:bCs w:val="1"/>
                <w:color w:val="auto"/>
              </w:rPr>
              <w:t>2–10 years</w:t>
            </w:r>
          </w:p>
        </w:tc>
        <w:tc>
          <w:tcPr>
            <w:tcW w:w="180" w:type="dxa"/>
            <w:vAlign w:val="bottom"/>
          </w:tcPr>
          <w:p>
            <w:pPr>
              <w:spacing w:after="0"/>
              <w:rPr>
                <w:sz w:val="23"/>
                <w:szCs w:val="23"/>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b w:val="1"/>
                <w:bCs w:val="1"/>
                <w:color w:val="auto"/>
              </w:rPr>
              <w:t>50,858</w:t>
            </w:r>
          </w:p>
        </w:tc>
        <w:tc>
          <w:tcPr>
            <w:tcW w:w="240" w:type="dxa"/>
            <w:vAlign w:val="bottom"/>
          </w:tcPr>
          <w:p>
            <w:pPr>
              <w:spacing w:after="0"/>
              <w:rPr>
                <w:sz w:val="23"/>
                <w:szCs w:val="23"/>
                <w:color w:val="auto"/>
              </w:rPr>
            </w:pPr>
          </w:p>
        </w:tc>
        <w:tc>
          <w:tcPr>
            <w:tcW w:w="1220" w:type="dxa"/>
            <w:vAlign w:val="bottom"/>
          </w:tcPr>
          <w:p>
            <w:pPr>
              <w:jc w:val="right"/>
              <w:ind w:right="141"/>
              <w:spacing w:after="0"/>
              <w:rPr>
                <w:sz w:val="20"/>
                <w:szCs w:val="20"/>
                <w:color w:val="auto"/>
              </w:rPr>
            </w:pPr>
            <w:r>
              <w:rPr>
                <w:rFonts w:ascii="Arial" w:cs="Arial" w:eastAsia="Arial" w:hAnsi="Arial"/>
                <w:sz w:val="16"/>
                <w:szCs w:val="16"/>
                <w:b w:val="1"/>
                <w:bCs w:val="1"/>
                <w:color w:val="auto"/>
              </w:rPr>
              <w:t>26,917</w:t>
            </w:r>
          </w:p>
        </w:tc>
        <w:tc>
          <w:tcPr>
            <w:tcW w:w="180" w:type="dxa"/>
            <w:vAlign w:val="bottom"/>
          </w:tcPr>
          <w:p>
            <w:pPr>
              <w:spacing w:after="0"/>
              <w:rPr>
                <w:sz w:val="23"/>
                <w:szCs w:val="23"/>
                <w:color w:val="auto"/>
              </w:rPr>
            </w:pPr>
          </w:p>
        </w:tc>
        <w:tc>
          <w:tcPr>
            <w:tcW w:w="960" w:type="dxa"/>
            <w:vAlign w:val="bottom"/>
          </w:tcPr>
          <w:p>
            <w:pPr>
              <w:jc w:val="right"/>
              <w:ind w:right="140"/>
              <w:spacing w:after="0"/>
              <w:rPr>
                <w:sz w:val="20"/>
                <w:szCs w:val="20"/>
                <w:color w:val="auto"/>
              </w:rPr>
            </w:pPr>
            <w:r>
              <w:rPr>
                <w:rFonts w:ascii="Arial" w:cs="Arial" w:eastAsia="Arial" w:hAnsi="Arial"/>
                <w:sz w:val="16"/>
                <w:szCs w:val="16"/>
                <w:b w:val="1"/>
                <w:bCs w:val="1"/>
                <w:color w:val="auto"/>
              </w:rPr>
              <w:t>23,941</w:t>
            </w:r>
          </w:p>
        </w:tc>
        <w:tc>
          <w:tcPr>
            <w:tcW w:w="160" w:type="dxa"/>
            <w:vAlign w:val="bottom"/>
          </w:tcPr>
          <w:p>
            <w:pPr>
              <w:spacing w:after="0"/>
              <w:rPr>
                <w:sz w:val="23"/>
                <w:szCs w:val="23"/>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50,286</w:t>
            </w:r>
          </w:p>
        </w:tc>
        <w:tc>
          <w:tcPr>
            <w:tcW w:w="240" w:type="dxa"/>
            <w:vAlign w:val="bottom"/>
          </w:tcPr>
          <w:p>
            <w:pPr>
              <w:spacing w:after="0"/>
              <w:rPr>
                <w:sz w:val="23"/>
                <w:szCs w:val="23"/>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25,596</w:t>
            </w:r>
          </w:p>
        </w:tc>
        <w:tc>
          <w:tcPr>
            <w:tcW w:w="280" w:type="dxa"/>
            <w:vAlign w:val="bottom"/>
          </w:tcPr>
          <w:p>
            <w:pPr>
              <w:spacing w:after="0"/>
              <w:rPr>
                <w:sz w:val="23"/>
                <w:szCs w:val="23"/>
                <w:color w:val="auto"/>
              </w:rPr>
            </w:pPr>
          </w:p>
        </w:tc>
        <w:tc>
          <w:tcPr>
            <w:tcW w:w="840" w:type="dxa"/>
            <w:vAlign w:val="bottom"/>
          </w:tcPr>
          <w:p>
            <w:pPr>
              <w:jc w:val="right"/>
              <w:ind w:right="22"/>
              <w:spacing w:after="0"/>
              <w:rPr>
                <w:sz w:val="20"/>
                <w:szCs w:val="20"/>
                <w:color w:val="auto"/>
              </w:rPr>
            </w:pPr>
            <w:r>
              <w:rPr>
                <w:rFonts w:ascii="Arial" w:cs="Arial" w:eastAsia="Arial" w:hAnsi="Arial"/>
                <w:sz w:val="16"/>
                <w:szCs w:val="16"/>
                <w:color w:val="auto"/>
              </w:rPr>
              <w:t>24,690</w:t>
            </w:r>
          </w:p>
        </w:tc>
        <w:tc>
          <w:tcPr>
            <w:tcW w:w="0" w:type="dxa"/>
            <w:vAlign w:val="bottom"/>
          </w:tcPr>
          <w:p>
            <w:pPr>
              <w:spacing w:after="0"/>
              <w:rPr>
                <w:sz w:val="1"/>
                <w:szCs w:val="1"/>
                <w:color w:val="auto"/>
              </w:rPr>
            </w:pPr>
          </w:p>
        </w:tc>
      </w:tr>
      <w:tr>
        <w:trPr>
          <w:trHeight w:val="270"/>
        </w:trPr>
        <w:tc>
          <w:tcPr>
            <w:tcW w:w="2840" w:type="dxa"/>
            <w:vAlign w:val="bottom"/>
          </w:tcPr>
          <w:p>
            <w:pPr>
              <w:ind w:left="180"/>
              <w:spacing w:after="0"/>
              <w:rPr>
                <w:sz w:val="20"/>
                <w:szCs w:val="20"/>
                <w:color w:val="auto"/>
              </w:rPr>
            </w:pPr>
            <w:r>
              <w:rPr>
                <w:rFonts w:ascii="Arial" w:cs="Arial" w:eastAsia="Arial" w:hAnsi="Arial"/>
                <w:sz w:val="16"/>
                <w:szCs w:val="16"/>
                <w:color w:val="auto"/>
              </w:rPr>
              <w:t>Network affiliation agreements</w:t>
            </w:r>
          </w:p>
        </w:tc>
        <w:tc>
          <w:tcPr>
            <w:tcW w:w="1520" w:type="dxa"/>
            <w:vAlign w:val="bottom"/>
          </w:tcPr>
          <w:p>
            <w:pPr>
              <w:jc w:val="center"/>
              <w:ind w:right="141"/>
              <w:spacing w:after="0"/>
              <w:rPr>
                <w:sz w:val="20"/>
                <w:szCs w:val="20"/>
                <w:color w:val="auto"/>
              </w:rPr>
            </w:pPr>
            <w:r>
              <w:rPr>
                <w:rFonts w:ascii="Arial" w:cs="Arial" w:eastAsia="Arial" w:hAnsi="Arial"/>
                <w:sz w:val="16"/>
                <w:szCs w:val="16"/>
                <w:b w:val="1"/>
                <w:bCs w:val="1"/>
                <w:color w:val="auto"/>
              </w:rPr>
              <w:t>10 years</w:t>
            </w:r>
          </w:p>
        </w:tc>
        <w:tc>
          <w:tcPr>
            <w:tcW w:w="180" w:type="dxa"/>
            <w:vAlign w:val="bottom"/>
          </w:tcPr>
          <w:p>
            <w:pPr>
              <w:spacing w:after="0"/>
              <w:rPr>
                <w:sz w:val="23"/>
                <w:szCs w:val="23"/>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b w:val="1"/>
                <w:bCs w:val="1"/>
                <w:color w:val="auto"/>
              </w:rPr>
              <w:t>17,400</w:t>
            </w:r>
          </w:p>
        </w:tc>
        <w:tc>
          <w:tcPr>
            <w:tcW w:w="240" w:type="dxa"/>
            <w:vAlign w:val="bottom"/>
          </w:tcPr>
          <w:p>
            <w:pPr>
              <w:spacing w:after="0"/>
              <w:rPr>
                <w:sz w:val="23"/>
                <w:szCs w:val="23"/>
                <w:color w:val="auto"/>
              </w:rPr>
            </w:pPr>
          </w:p>
        </w:tc>
        <w:tc>
          <w:tcPr>
            <w:tcW w:w="1220" w:type="dxa"/>
            <w:vAlign w:val="bottom"/>
          </w:tcPr>
          <w:p>
            <w:pPr>
              <w:jc w:val="right"/>
              <w:ind w:right="141"/>
              <w:spacing w:after="0"/>
              <w:rPr>
                <w:sz w:val="20"/>
                <w:szCs w:val="20"/>
                <w:color w:val="auto"/>
              </w:rPr>
            </w:pPr>
            <w:r>
              <w:rPr>
                <w:rFonts w:ascii="Arial" w:cs="Arial" w:eastAsia="Arial" w:hAnsi="Arial"/>
                <w:sz w:val="16"/>
                <w:szCs w:val="16"/>
                <w:b w:val="1"/>
                <w:bCs w:val="1"/>
                <w:color w:val="auto"/>
              </w:rPr>
              <w:t>2,103</w:t>
            </w:r>
          </w:p>
        </w:tc>
        <w:tc>
          <w:tcPr>
            <w:tcW w:w="180" w:type="dxa"/>
            <w:vAlign w:val="bottom"/>
          </w:tcPr>
          <w:p>
            <w:pPr>
              <w:spacing w:after="0"/>
              <w:rPr>
                <w:sz w:val="23"/>
                <w:szCs w:val="23"/>
                <w:color w:val="auto"/>
              </w:rPr>
            </w:pPr>
          </w:p>
        </w:tc>
        <w:tc>
          <w:tcPr>
            <w:tcW w:w="960" w:type="dxa"/>
            <w:vAlign w:val="bottom"/>
          </w:tcPr>
          <w:p>
            <w:pPr>
              <w:jc w:val="right"/>
              <w:ind w:right="140"/>
              <w:spacing w:after="0"/>
              <w:rPr>
                <w:sz w:val="20"/>
                <w:szCs w:val="20"/>
                <w:color w:val="auto"/>
              </w:rPr>
            </w:pPr>
            <w:r>
              <w:rPr>
                <w:rFonts w:ascii="Arial" w:cs="Arial" w:eastAsia="Arial" w:hAnsi="Arial"/>
                <w:sz w:val="16"/>
                <w:szCs w:val="16"/>
                <w:b w:val="1"/>
                <w:bCs w:val="1"/>
                <w:color w:val="auto"/>
              </w:rPr>
              <w:t>15,297</w:t>
            </w:r>
          </w:p>
        </w:tc>
        <w:tc>
          <w:tcPr>
            <w:tcW w:w="160" w:type="dxa"/>
            <w:vAlign w:val="bottom"/>
          </w:tcPr>
          <w:p>
            <w:pPr>
              <w:spacing w:after="0"/>
              <w:rPr>
                <w:sz w:val="23"/>
                <w:szCs w:val="23"/>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17,400</w:t>
            </w:r>
          </w:p>
        </w:tc>
        <w:tc>
          <w:tcPr>
            <w:tcW w:w="240" w:type="dxa"/>
            <w:vAlign w:val="bottom"/>
          </w:tcPr>
          <w:p>
            <w:pPr>
              <w:spacing w:after="0"/>
              <w:rPr>
                <w:sz w:val="23"/>
                <w:szCs w:val="23"/>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1,668</w:t>
            </w:r>
          </w:p>
        </w:tc>
        <w:tc>
          <w:tcPr>
            <w:tcW w:w="280" w:type="dxa"/>
            <w:vAlign w:val="bottom"/>
          </w:tcPr>
          <w:p>
            <w:pPr>
              <w:spacing w:after="0"/>
              <w:rPr>
                <w:sz w:val="23"/>
                <w:szCs w:val="23"/>
                <w:color w:val="auto"/>
              </w:rPr>
            </w:pPr>
          </w:p>
        </w:tc>
        <w:tc>
          <w:tcPr>
            <w:tcW w:w="840" w:type="dxa"/>
            <w:vAlign w:val="bottom"/>
          </w:tcPr>
          <w:p>
            <w:pPr>
              <w:jc w:val="right"/>
              <w:ind w:right="22"/>
              <w:spacing w:after="0"/>
              <w:rPr>
                <w:sz w:val="20"/>
                <w:szCs w:val="20"/>
                <w:color w:val="auto"/>
              </w:rPr>
            </w:pPr>
            <w:r>
              <w:rPr>
                <w:rFonts w:ascii="Arial" w:cs="Arial" w:eastAsia="Arial" w:hAnsi="Arial"/>
                <w:sz w:val="16"/>
                <w:szCs w:val="16"/>
                <w:color w:val="auto"/>
              </w:rPr>
              <w:t>15,732</w:t>
            </w:r>
          </w:p>
        </w:tc>
        <w:tc>
          <w:tcPr>
            <w:tcW w:w="0" w:type="dxa"/>
            <w:vAlign w:val="bottom"/>
          </w:tcPr>
          <w:p>
            <w:pPr>
              <w:spacing w:after="0"/>
              <w:rPr>
                <w:sz w:val="1"/>
                <w:szCs w:val="1"/>
                <w:color w:val="auto"/>
              </w:rPr>
            </w:pPr>
          </w:p>
        </w:tc>
      </w:tr>
      <w:tr>
        <w:trPr>
          <w:trHeight w:val="270"/>
        </w:trPr>
        <w:tc>
          <w:tcPr>
            <w:tcW w:w="2840" w:type="dxa"/>
            <w:vAlign w:val="bottom"/>
          </w:tcPr>
          <w:p>
            <w:pPr>
              <w:ind w:left="180"/>
              <w:spacing w:after="0"/>
              <w:rPr>
                <w:sz w:val="20"/>
                <w:szCs w:val="20"/>
                <w:color w:val="auto"/>
              </w:rPr>
            </w:pPr>
            <w:r>
              <w:rPr>
                <w:rFonts w:ascii="Arial" w:cs="Arial" w:eastAsia="Arial" w:hAnsi="Arial"/>
                <w:sz w:val="16"/>
                <w:szCs w:val="16"/>
                <w:color w:val="auto"/>
              </w:rPr>
              <w:t>Databases and technology</w:t>
            </w:r>
          </w:p>
        </w:tc>
        <w:tc>
          <w:tcPr>
            <w:tcW w:w="1520" w:type="dxa"/>
            <w:vAlign w:val="bottom"/>
          </w:tcPr>
          <w:p>
            <w:pPr>
              <w:jc w:val="center"/>
              <w:ind w:right="141"/>
              <w:spacing w:after="0"/>
              <w:rPr>
                <w:sz w:val="20"/>
                <w:szCs w:val="20"/>
                <w:color w:val="auto"/>
              </w:rPr>
            </w:pPr>
            <w:r>
              <w:rPr>
                <w:rFonts w:ascii="Arial" w:cs="Arial" w:eastAsia="Arial" w:hAnsi="Arial"/>
                <w:sz w:val="16"/>
                <w:szCs w:val="16"/>
                <w:b w:val="1"/>
                <w:bCs w:val="1"/>
                <w:color w:val="auto"/>
              </w:rPr>
              <w:t>3–6 years</w:t>
            </w:r>
          </w:p>
        </w:tc>
        <w:tc>
          <w:tcPr>
            <w:tcW w:w="180" w:type="dxa"/>
            <w:vAlign w:val="bottom"/>
          </w:tcPr>
          <w:p>
            <w:pPr>
              <w:spacing w:after="0"/>
              <w:rPr>
                <w:sz w:val="23"/>
                <w:szCs w:val="23"/>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b w:val="1"/>
                <w:bCs w:val="1"/>
                <w:color w:val="auto"/>
              </w:rPr>
              <w:t>21,988</w:t>
            </w:r>
          </w:p>
        </w:tc>
        <w:tc>
          <w:tcPr>
            <w:tcW w:w="240" w:type="dxa"/>
            <w:vAlign w:val="bottom"/>
          </w:tcPr>
          <w:p>
            <w:pPr>
              <w:spacing w:after="0"/>
              <w:rPr>
                <w:sz w:val="23"/>
                <w:szCs w:val="23"/>
                <w:color w:val="auto"/>
              </w:rPr>
            </w:pPr>
          </w:p>
        </w:tc>
        <w:tc>
          <w:tcPr>
            <w:tcW w:w="1220" w:type="dxa"/>
            <w:vAlign w:val="bottom"/>
          </w:tcPr>
          <w:p>
            <w:pPr>
              <w:jc w:val="right"/>
              <w:ind w:right="141"/>
              <w:spacing w:after="0"/>
              <w:rPr>
                <w:sz w:val="20"/>
                <w:szCs w:val="20"/>
                <w:color w:val="auto"/>
              </w:rPr>
            </w:pPr>
            <w:r>
              <w:rPr>
                <w:rFonts w:ascii="Arial" w:cs="Arial" w:eastAsia="Arial" w:hAnsi="Arial"/>
                <w:sz w:val="16"/>
                <w:szCs w:val="16"/>
                <w:b w:val="1"/>
                <w:bCs w:val="1"/>
                <w:color w:val="auto"/>
              </w:rPr>
              <w:t>5,929</w:t>
            </w:r>
          </w:p>
        </w:tc>
        <w:tc>
          <w:tcPr>
            <w:tcW w:w="180" w:type="dxa"/>
            <w:vAlign w:val="bottom"/>
          </w:tcPr>
          <w:p>
            <w:pPr>
              <w:spacing w:after="0"/>
              <w:rPr>
                <w:sz w:val="23"/>
                <w:szCs w:val="23"/>
                <w:color w:val="auto"/>
              </w:rPr>
            </w:pPr>
          </w:p>
        </w:tc>
        <w:tc>
          <w:tcPr>
            <w:tcW w:w="960" w:type="dxa"/>
            <w:vAlign w:val="bottom"/>
          </w:tcPr>
          <w:p>
            <w:pPr>
              <w:jc w:val="right"/>
              <w:ind w:right="140"/>
              <w:spacing w:after="0"/>
              <w:rPr>
                <w:sz w:val="20"/>
                <w:szCs w:val="20"/>
                <w:color w:val="auto"/>
              </w:rPr>
            </w:pPr>
            <w:r>
              <w:rPr>
                <w:rFonts w:ascii="Arial" w:cs="Arial" w:eastAsia="Arial" w:hAnsi="Arial"/>
                <w:sz w:val="16"/>
                <w:szCs w:val="16"/>
                <w:b w:val="1"/>
                <w:bCs w:val="1"/>
                <w:color w:val="auto"/>
              </w:rPr>
              <w:t>16,059</w:t>
            </w:r>
          </w:p>
        </w:tc>
        <w:tc>
          <w:tcPr>
            <w:tcW w:w="160" w:type="dxa"/>
            <w:vAlign w:val="bottom"/>
          </w:tcPr>
          <w:p>
            <w:pPr>
              <w:spacing w:after="0"/>
              <w:rPr>
                <w:sz w:val="23"/>
                <w:szCs w:val="23"/>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19,563</w:t>
            </w:r>
          </w:p>
        </w:tc>
        <w:tc>
          <w:tcPr>
            <w:tcW w:w="240" w:type="dxa"/>
            <w:vAlign w:val="bottom"/>
          </w:tcPr>
          <w:p>
            <w:pPr>
              <w:spacing w:after="0"/>
              <w:rPr>
                <w:sz w:val="23"/>
                <w:szCs w:val="23"/>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5,008</w:t>
            </w:r>
          </w:p>
        </w:tc>
        <w:tc>
          <w:tcPr>
            <w:tcW w:w="280" w:type="dxa"/>
            <w:vAlign w:val="bottom"/>
          </w:tcPr>
          <w:p>
            <w:pPr>
              <w:spacing w:after="0"/>
              <w:rPr>
                <w:sz w:val="23"/>
                <w:szCs w:val="23"/>
                <w:color w:val="auto"/>
              </w:rPr>
            </w:pPr>
          </w:p>
        </w:tc>
        <w:tc>
          <w:tcPr>
            <w:tcW w:w="840" w:type="dxa"/>
            <w:vAlign w:val="bottom"/>
          </w:tcPr>
          <w:p>
            <w:pPr>
              <w:jc w:val="right"/>
              <w:ind w:right="22"/>
              <w:spacing w:after="0"/>
              <w:rPr>
                <w:sz w:val="20"/>
                <w:szCs w:val="20"/>
                <w:color w:val="auto"/>
              </w:rPr>
            </w:pPr>
            <w:r>
              <w:rPr>
                <w:rFonts w:ascii="Arial" w:cs="Arial" w:eastAsia="Arial" w:hAnsi="Arial"/>
                <w:sz w:val="16"/>
                <w:szCs w:val="16"/>
                <w:color w:val="auto"/>
              </w:rPr>
              <w:t>14,555</w:t>
            </w:r>
          </w:p>
        </w:tc>
        <w:tc>
          <w:tcPr>
            <w:tcW w:w="0" w:type="dxa"/>
            <w:vAlign w:val="bottom"/>
          </w:tcPr>
          <w:p>
            <w:pPr>
              <w:spacing w:after="0"/>
              <w:rPr>
                <w:sz w:val="1"/>
                <w:szCs w:val="1"/>
                <w:color w:val="auto"/>
              </w:rPr>
            </w:pPr>
          </w:p>
        </w:tc>
      </w:tr>
      <w:tr>
        <w:trPr>
          <w:trHeight w:val="270"/>
        </w:trPr>
        <w:tc>
          <w:tcPr>
            <w:tcW w:w="2840" w:type="dxa"/>
            <w:vAlign w:val="bottom"/>
          </w:tcPr>
          <w:p>
            <w:pPr>
              <w:ind w:left="180"/>
              <w:spacing w:after="0"/>
              <w:rPr>
                <w:sz w:val="20"/>
                <w:szCs w:val="20"/>
                <w:color w:val="auto"/>
              </w:rPr>
            </w:pPr>
            <w:r>
              <w:rPr>
                <w:rFonts w:ascii="Arial" w:cs="Arial" w:eastAsia="Arial" w:hAnsi="Arial"/>
                <w:sz w:val="16"/>
                <w:szCs w:val="16"/>
                <w:color w:val="auto"/>
              </w:rPr>
              <w:t>Noncompete agreements</w:t>
            </w:r>
          </w:p>
        </w:tc>
        <w:tc>
          <w:tcPr>
            <w:tcW w:w="1520" w:type="dxa"/>
            <w:vAlign w:val="bottom"/>
          </w:tcPr>
          <w:p>
            <w:pPr>
              <w:jc w:val="center"/>
              <w:ind w:right="141"/>
              <w:spacing w:after="0"/>
              <w:rPr>
                <w:sz w:val="20"/>
                <w:szCs w:val="20"/>
                <w:color w:val="auto"/>
              </w:rPr>
            </w:pPr>
            <w:r>
              <w:rPr>
                <w:rFonts w:ascii="Arial" w:cs="Arial" w:eastAsia="Arial" w:hAnsi="Arial"/>
                <w:sz w:val="16"/>
                <w:szCs w:val="16"/>
                <w:b w:val="1"/>
                <w:bCs w:val="1"/>
                <w:color w:val="auto"/>
              </w:rPr>
              <w:t>2–5 years</w:t>
            </w:r>
          </w:p>
        </w:tc>
        <w:tc>
          <w:tcPr>
            <w:tcW w:w="180" w:type="dxa"/>
            <w:vAlign w:val="bottom"/>
          </w:tcPr>
          <w:p>
            <w:pPr>
              <w:spacing w:after="0"/>
              <w:rPr>
                <w:sz w:val="23"/>
                <w:szCs w:val="23"/>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b w:val="1"/>
                <w:bCs w:val="1"/>
                <w:color w:val="auto"/>
              </w:rPr>
              <w:t>1,105</w:t>
            </w:r>
          </w:p>
        </w:tc>
        <w:tc>
          <w:tcPr>
            <w:tcW w:w="240" w:type="dxa"/>
            <w:vAlign w:val="bottom"/>
          </w:tcPr>
          <w:p>
            <w:pPr>
              <w:spacing w:after="0"/>
              <w:rPr>
                <w:sz w:val="23"/>
                <w:szCs w:val="23"/>
                <w:color w:val="auto"/>
              </w:rPr>
            </w:pPr>
          </w:p>
        </w:tc>
        <w:tc>
          <w:tcPr>
            <w:tcW w:w="1220" w:type="dxa"/>
            <w:vAlign w:val="bottom"/>
          </w:tcPr>
          <w:p>
            <w:pPr>
              <w:jc w:val="right"/>
              <w:ind w:right="141"/>
              <w:spacing w:after="0"/>
              <w:rPr>
                <w:sz w:val="20"/>
                <w:szCs w:val="20"/>
                <w:color w:val="auto"/>
              </w:rPr>
            </w:pPr>
            <w:r>
              <w:rPr>
                <w:rFonts w:ascii="Arial" w:cs="Arial" w:eastAsia="Arial" w:hAnsi="Arial"/>
                <w:sz w:val="16"/>
                <w:szCs w:val="16"/>
                <w:b w:val="1"/>
                <w:bCs w:val="1"/>
                <w:color w:val="auto"/>
              </w:rPr>
              <w:t>580</w:t>
            </w:r>
          </w:p>
        </w:tc>
        <w:tc>
          <w:tcPr>
            <w:tcW w:w="180" w:type="dxa"/>
            <w:vAlign w:val="bottom"/>
          </w:tcPr>
          <w:p>
            <w:pPr>
              <w:spacing w:after="0"/>
              <w:rPr>
                <w:sz w:val="23"/>
                <w:szCs w:val="23"/>
                <w:color w:val="auto"/>
              </w:rPr>
            </w:pPr>
          </w:p>
        </w:tc>
        <w:tc>
          <w:tcPr>
            <w:tcW w:w="960" w:type="dxa"/>
            <w:vAlign w:val="bottom"/>
          </w:tcPr>
          <w:p>
            <w:pPr>
              <w:jc w:val="right"/>
              <w:ind w:right="140"/>
              <w:spacing w:after="0"/>
              <w:rPr>
                <w:sz w:val="20"/>
                <w:szCs w:val="20"/>
                <w:color w:val="auto"/>
              </w:rPr>
            </w:pPr>
            <w:r>
              <w:rPr>
                <w:rFonts w:ascii="Arial" w:cs="Arial" w:eastAsia="Arial" w:hAnsi="Arial"/>
                <w:sz w:val="16"/>
                <w:szCs w:val="16"/>
                <w:b w:val="1"/>
                <w:bCs w:val="1"/>
                <w:color w:val="auto"/>
              </w:rPr>
              <w:t>525</w:t>
            </w:r>
          </w:p>
        </w:tc>
        <w:tc>
          <w:tcPr>
            <w:tcW w:w="160" w:type="dxa"/>
            <w:vAlign w:val="bottom"/>
          </w:tcPr>
          <w:p>
            <w:pPr>
              <w:spacing w:after="0"/>
              <w:rPr>
                <w:sz w:val="23"/>
                <w:szCs w:val="23"/>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930</w:t>
            </w:r>
          </w:p>
        </w:tc>
        <w:tc>
          <w:tcPr>
            <w:tcW w:w="240" w:type="dxa"/>
            <w:vAlign w:val="bottom"/>
          </w:tcPr>
          <w:p>
            <w:pPr>
              <w:spacing w:after="0"/>
              <w:rPr>
                <w:sz w:val="23"/>
                <w:szCs w:val="23"/>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467</w:t>
            </w:r>
          </w:p>
        </w:tc>
        <w:tc>
          <w:tcPr>
            <w:tcW w:w="280" w:type="dxa"/>
            <w:vAlign w:val="bottom"/>
          </w:tcPr>
          <w:p>
            <w:pPr>
              <w:spacing w:after="0"/>
              <w:rPr>
                <w:sz w:val="23"/>
                <w:szCs w:val="23"/>
                <w:color w:val="auto"/>
              </w:rPr>
            </w:pPr>
          </w:p>
        </w:tc>
        <w:tc>
          <w:tcPr>
            <w:tcW w:w="840" w:type="dxa"/>
            <w:vAlign w:val="bottom"/>
          </w:tcPr>
          <w:p>
            <w:pPr>
              <w:jc w:val="right"/>
              <w:ind w:right="22"/>
              <w:spacing w:after="0"/>
              <w:rPr>
                <w:sz w:val="20"/>
                <w:szCs w:val="20"/>
                <w:color w:val="auto"/>
              </w:rPr>
            </w:pPr>
            <w:r>
              <w:rPr>
                <w:rFonts w:ascii="Arial" w:cs="Arial" w:eastAsia="Arial" w:hAnsi="Arial"/>
                <w:sz w:val="16"/>
                <w:szCs w:val="16"/>
                <w:color w:val="auto"/>
              </w:rPr>
              <w:t>463</w:t>
            </w:r>
          </w:p>
        </w:tc>
        <w:tc>
          <w:tcPr>
            <w:tcW w:w="0" w:type="dxa"/>
            <w:vAlign w:val="bottom"/>
          </w:tcPr>
          <w:p>
            <w:pPr>
              <w:spacing w:after="0"/>
              <w:rPr>
                <w:sz w:val="1"/>
                <w:szCs w:val="1"/>
                <w:color w:val="auto"/>
              </w:rPr>
            </w:pPr>
          </w:p>
        </w:tc>
      </w:tr>
      <w:tr>
        <w:trPr>
          <w:trHeight w:val="283"/>
        </w:trPr>
        <w:tc>
          <w:tcPr>
            <w:tcW w:w="2840" w:type="dxa"/>
            <w:vAlign w:val="bottom"/>
          </w:tcPr>
          <w:p>
            <w:pPr>
              <w:ind w:left="180"/>
              <w:spacing w:after="0"/>
              <w:rPr>
                <w:sz w:val="20"/>
                <w:szCs w:val="20"/>
                <w:color w:val="auto"/>
              </w:rPr>
            </w:pPr>
            <w:r>
              <w:rPr>
                <w:rFonts w:ascii="Arial" w:cs="Arial" w:eastAsia="Arial" w:hAnsi="Arial"/>
                <w:sz w:val="16"/>
                <w:szCs w:val="16"/>
                <w:color w:val="auto"/>
              </w:rPr>
              <w:t>Other</w:t>
            </w:r>
          </w:p>
        </w:tc>
        <w:tc>
          <w:tcPr>
            <w:tcW w:w="1520" w:type="dxa"/>
            <w:vAlign w:val="bottom"/>
          </w:tcPr>
          <w:p>
            <w:pPr>
              <w:jc w:val="center"/>
              <w:ind w:right="141"/>
              <w:spacing w:after="0"/>
              <w:rPr>
                <w:sz w:val="20"/>
                <w:szCs w:val="20"/>
                <w:color w:val="auto"/>
              </w:rPr>
            </w:pPr>
            <w:r>
              <w:rPr>
                <w:rFonts w:ascii="Arial" w:cs="Arial" w:eastAsia="Arial" w:hAnsi="Arial"/>
                <w:sz w:val="16"/>
                <w:szCs w:val="16"/>
                <w:b w:val="1"/>
                <w:bCs w:val="1"/>
                <w:color w:val="auto"/>
              </w:rPr>
              <w:t>1–8 years</w:t>
            </w: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13,430</w:t>
            </w: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7,942</w:t>
            </w: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5,488</w:t>
            </w: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13,430</w:t>
            </w: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7,668</w:t>
            </w: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5,762</w:t>
            </w:r>
          </w:p>
        </w:tc>
        <w:tc>
          <w:tcPr>
            <w:tcW w:w="0" w:type="dxa"/>
            <w:vAlign w:val="bottom"/>
          </w:tcPr>
          <w:p>
            <w:pPr>
              <w:spacing w:after="0"/>
              <w:rPr>
                <w:sz w:val="1"/>
                <w:szCs w:val="1"/>
                <w:color w:val="auto"/>
              </w:rPr>
            </w:pPr>
          </w:p>
        </w:tc>
      </w:tr>
      <w:tr>
        <w:trPr>
          <w:trHeight w:val="264"/>
        </w:trPr>
        <w:tc>
          <w:tcPr>
            <w:tcW w:w="28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365,803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135,129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230,674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362,073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124,097</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237,976</w:t>
            </w:r>
          </w:p>
        </w:tc>
        <w:tc>
          <w:tcPr>
            <w:tcW w:w="0" w:type="dxa"/>
            <w:vAlign w:val="bottom"/>
          </w:tcPr>
          <w:p>
            <w:pPr>
              <w:spacing w:after="0"/>
              <w:rPr>
                <w:sz w:val="1"/>
                <w:szCs w:val="1"/>
                <w:color w:val="auto"/>
              </w:rPr>
            </w:pPr>
          </w:p>
        </w:tc>
      </w:tr>
      <w:tr>
        <w:trPr>
          <w:trHeight w:val="20"/>
        </w:trPr>
        <w:tc>
          <w:tcPr>
            <w:tcW w:w="28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Indefinite-Lived Intangible Assets</w:t>
            </w:r>
          </w:p>
        </w:tc>
        <w:tc>
          <w:tcPr>
            <w:tcW w:w="1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840" w:type="dxa"/>
            <w:vAlign w:val="bottom"/>
            <w:vMerge w:val="continue"/>
          </w:tcPr>
          <w:p>
            <w:pPr>
              <w:spacing w:after="0"/>
              <w:rPr>
                <w:sz w:val="20"/>
                <w:szCs w:val="20"/>
                <w:color w:val="auto"/>
              </w:rPr>
            </w:pPr>
          </w:p>
        </w:tc>
        <w:tc>
          <w:tcPr>
            <w:tcW w:w="1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840" w:type="dxa"/>
            <w:vAlign w:val="bottom"/>
          </w:tcPr>
          <w:p>
            <w:pPr>
              <w:ind w:left="180"/>
              <w:spacing w:after="0"/>
              <w:rPr>
                <w:sz w:val="20"/>
                <w:szCs w:val="20"/>
                <w:color w:val="auto"/>
              </w:rPr>
            </w:pPr>
            <w:r>
              <w:rPr>
                <w:rFonts w:ascii="Arial" w:cs="Arial" w:eastAsia="Arial" w:hAnsi="Arial"/>
                <w:sz w:val="16"/>
                <w:szCs w:val="16"/>
                <w:color w:val="auto"/>
              </w:rPr>
              <w:t>Trade names and trademarks</w:t>
            </w:r>
          </w:p>
        </w:tc>
        <w:tc>
          <w:tcPr>
            <w:tcW w:w="15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41"/>
              <w:spacing w:after="0"/>
              <w:rPr>
                <w:sz w:val="20"/>
                <w:szCs w:val="20"/>
                <w:color w:val="auto"/>
              </w:rPr>
            </w:pPr>
            <w:r>
              <w:rPr>
                <w:rFonts w:ascii="Arial" w:cs="Arial" w:eastAsia="Arial" w:hAnsi="Arial"/>
                <w:sz w:val="16"/>
                <w:szCs w:val="16"/>
                <w:b w:val="1"/>
                <w:bCs w:val="1"/>
                <w:color w:val="auto"/>
              </w:rPr>
              <w:t>84,966</w:t>
            </w:r>
          </w:p>
        </w:tc>
        <w:tc>
          <w:tcPr>
            <w:tcW w:w="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82,745</w:t>
            </w: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840" w:type="dxa"/>
            <w:vAlign w:val="bottom"/>
          </w:tcPr>
          <w:p>
            <w:pPr>
              <w:ind w:left="180"/>
              <w:spacing w:after="0"/>
              <w:rPr>
                <w:sz w:val="20"/>
                <w:szCs w:val="20"/>
                <w:color w:val="auto"/>
              </w:rPr>
            </w:pPr>
            <w:r>
              <w:rPr>
                <w:rFonts w:ascii="Arial" w:cs="Arial" w:eastAsia="Arial" w:hAnsi="Arial"/>
                <w:sz w:val="16"/>
                <w:szCs w:val="16"/>
                <w:color w:val="auto"/>
              </w:rPr>
              <w:t>FCC licenses</w:t>
            </w:r>
          </w:p>
        </w:tc>
        <w:tc>
          <w:tcPr>
            <w:tcW w:w="15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b w:val="1"/>
                <w:bCs w:val="1"/>
                <w:color w:val="auto"/>
              </w:rPr>
              <w:t>18,800</w:t>
            </w:r>
          </w:p>
        </w:tc>
        <w:tc>
          <w:tcPr>
            <w:tcW w:w="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18,800</w:t>
            </w: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2840" w:type="dxa"/>
            <w:vAlign w:val="bottom"/>
          </w:tcPr>
          <w:p>
            <w:pPr>
              <w:ind w:left="180"/>
              <w:spacing w:after="0"/>
              <w:rPr>
                <w:sz w:val="20"/>
                <w:szCs w:val="20"/>
                <w:color w:val="auto"/>
              </w:rPr>
            </w:pPr>
            <w:r>
              <w:rPr>
                <w:rFonts w:ascii="Arial" w:cs="Arial" w:eastAsia="Arial" w:hAnsi="Arial"/>
                <w:sz w:val="16"/>
                <w:szCs w:val="16"/>
                <w:color w:val="auto"/>
              </w:rPr>
              <w:t>Licensure and accreditation</w:t>
            </w:r>
          </w:p>
        </w:tc>
        <w:tc>
          <w:tcPr>
            <w:tcW w:w="15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150</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650</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8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41"/>
              <w:spacing w:after="0"/>
              <w:rPr>
                <w:sz w:val="20"/>
                <w:szCs w:val="20"/>
                <w:color w:val="auto"/>
              </w:rPr>
            </w:pPr>
            <w:r>
              <w:rPr>
                <w:rFonts w:ascii="Arial" w:cs="Arial" w:eastAsia="Arial" w:hAnsi="Arial"/>
                <w:sz w:val="16"/>
                <w:szCs w:val="16"/>
                <w:b w:val="1"/>
                <w:bCs w:val="1"/>
                <w:color w:val="auto"/>
              </w:rPr>
              <w:t>103,916</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102,195</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5090795</wp:posOffset>
            </wp:positionH>
            <wp:positionV relativeFrom="paragraph">
              <wp:posOffset>12700</wp:posOffset>
            </wp:positionV>
            <wp:extent cx="65151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1510" cy="8890"/>
                    </a:xfrm>
                    <a:prstGeom prst="rect">
                      <a:avLst/>
                    </a:prstGeom>
                    <a:noFill/>
                  </pic:spPr>
                </pic:pic>
              </a:graphicData>
            </a:graphic>
          </wp:anchor>
        </w:drawing>
        <w:drawing>
          <wp:anchor simplePos="0" relativeHeight="251657728" behindDoc="1" locked="0" layoutInCell="0" allowOverlap="1">
            <wp:simplePos x="0" y="0"/>
            <wp:positionH relativeFrom="column">
              <wp:posOffset>5090795</wp:posOffset>
            </wp:positionH>
            <wp:positionV relativeFrom="paragraph">
              <wp:posOffset>29845</wp:posOffset>
            </wp:positionV>
            <wp:extent cx="65151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51510" cy="8890"/>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12700</wp:posOffset>
            </wp:positionV>
            <wp:extent cx="6686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68655" cy="8890"/>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29845</wp:posOffset>
            </wp:positionV>
            <wp:extent cx="6686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68655" cy="8890"/>
                    </a:xfrm>
                    <a:prstGeom prst="rect">
                      <a:avLst/>
                    </a:prstGeom>
                    <a:noFill/>
                  </pic:spPr>
                </pic:pic>
              </a:graphicData>
            </a:graphic>
          </wp:anchor>
        </w:drawing>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line="163" w:lineRule="exact"/>
        <w:rPr>
          <w:sz w:val="20"/>
          <w:szCs w:val="20"/>
          <w:color w:val="auto"/>
        </w:rPr>
      </w:pPr>
    </w:p>
    <w:p>
      <w:pPr>
        <w:ind w:left="420" w:hanging="412"/>
        <w:spacing w:after="0"/>
        <w:tabs>
          <w:tab w:leader="none" w:pos="420" w:val="left"/>
        </w:tabs>
        <w:numPr>
          <w:ilvl w:val="0"/>
          <w:numId w:val="8"/>
        </w:numPr>
        <w:rPr>
          <w:rFonts w:ascii="Arial" w:cs="Arial" w:eastAsia="Arial" w:hAnsi="Arial"/>
          <w:sz w:val="14"/>
          <w:szCs w:val="14"/>
          <w:color w:val="auto"/>
        </w:rPr>
      </w:pPr>
      <w:r>
        <w:rPr>
          <w:rFonts w:ascii="Arial" w:cs="Arial" w:eastAsia="Arial" w:hAnsi="Arial"/>
          <w:sz w:val="14"/>
          <w:szCs w:val="14"/>
          <w:color w:val="auto"/>
        </w:rPr>
        <w:t>As of December 31, 2017, the student and customer relationships’ minimum useful life was 1 year.</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Company’s borrowings consist of the following:</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5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37"/>
        </w:trPr>
        <w:tc>
          <w:tcPr>
            <w:tcW w:w="8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jc w:val="right"/>
              <w:ind w:right="322"/>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24"/>
                <w:szCs w:val="24"/>
                <w:color w:val="auto"/>
              </w:rPr>
            </w:pPr>
          </w:p>
        </w:tc>
        <w:tc>
          <w:tcPr>
            <w:tcW w:w="1200" w:type="dxa"/>
            <w:vAlign w:val="bottom"/>
          </w:tcPr>
          <w:p>
            <w:pPr>
              <w:jc w:val="right"/>
              <w:ind w:right="161"/>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96"/>
        </w:trPr>
        <w:tc>
          <w:tcPr>
            <w:tcW w:w="8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color w:val="auto"/>
              </w:rPr>
              <w:t>2017</w:t>
            </w:r>
          </w:p>
        </w:tc>
        <w:tc>
          <w:tcPr>
            <w:tcW w:w="0" w:type="dxa"/>
            <w:vAlign w:val="bottom"/>
          </w:tcPr>
          <w:p>
            <w:pPr>
              <w:spacing w:after="0"/>
              <w:rPr>
                <w:sz w:val="1"/>
                <w:szCs w:val="1"/>
                <w:color w:val="auto"/>
              </w:rPr>
            </w:pPr>
          </w:p>
        </w:tc>
      </w:tr>
      <w:tr>
        <w:trPr>
          <w:trHeight w:val="250"/>
        </w:trPr>
        <w:tc>
          <w:tcPr>
            <w:tcW w:w="8580" w:type="dxa"/>
            <w:vAlign w:val="bottom"/>
          </w:tcPr>
          <w:p>
            <w:pPr>
              <w:ind w:left="40"/>
              <w:spacing w:after="0"/>
              <w:rPr>
                <w:sz w:val="20"/>
                <w:szCs w:val="20"/>
                <w:color w:val="auto"/>
              </w:rPr>
            </w:pPr>
            <w:r>
              <w:rPr>
                <w:rFonts w:ascii="Arial" w:cs="Arial" w:eastAsia="Arial" w:hAnsi="Arial"/>
                <w:sz w:val="16"/>
                <w:szCs w:val="16"/>
                <w:color w:val="auto"/>
              </w:rPr>
              <w:t>7.25% unsecured notes due February 1, 2019</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Pr>
          <w:p>
            <w:pPr>
              <w:jc w:val="right"/>
              <w:ind w:right="62"/>
              <w:spacing w:after="0"/>
              <w:rPr>
                <w:sz w:val="20"/>
                <w:szCs w:val="20"/>
                <w:color w:val="auto"/>
              </w:rPr>
            </w:pPr>
            <w:r>
              <w:rPr>
                <w:rFonts w:ascii="Arial" w:cs="Arial" w:eastAsia="Arial" w:hAnsi="Arial"/>
                <w:sz w:val="16"/>
                <w:szCs w:val="16"/>
                <w:b w:val="1"/>
                <w:bCs w:val="1"/>
                <w:color w:val="auto"/>
              </w:rPr>
              <w:t>399,621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399,507</w:t>
            </w:r>
          </w:p>
        </w:tc>
        <w:tc>
          <w:tcPr>
            <w:tcW w:w="0" w:type="dxa"/>
            <w:vAlign w:val="bottom"/>
          </w:tcPr>
          <w:p>
            <w:pPr>
              <w:spacing w:after="0"/>
              <w:rPr>
                <w:sz w:val="1"/>
                <w:szCs w:val="1"/>
                <w:color w:val="auto"/>
              </w:rPr>
            </w:pPr>
          </w:p>
        </w:tc>
      </w:tr>
      <w:tr>
        <w:trPr>
          <w:trHeight w:val="326"/>
        </w:trPr>
        <w:tc>
          <w:tcPr>
            <w:tcW w:w="8580" w:type="dxa"/>
            <w:vAlign w:val="bottom"/>
          </w:tcPr>
          <w:p>
            <w:pPr>
              <w:ind w:left="40"/>
              <w:spacing w:after="0"/>
              <w:rPr>
                <w:sz w:val="20"/>
                <w:szCs w:val="20"/>
                <w:color w:val="auto"/>
              </w:rPr>
            </w:pPr>
            <w:r>
              <w:rPr>
                <w:rFonts w:ascii="Arial" w:cs="Arial" w:eastAsia="Arial" w:hAnsi="Arial"/>
                <w:sz w:val="16"/>
                <w:szCs w:val="16"/>
                <w:color w:val="auto"/>
              </w:rPr>
              <w:t xml:space="preserve">UK Credit facility </w:t>
            </w:r>
            <w:r>
              <w:rPr>
                <w:rFonts w:ascii="Arial" w:cs="Arial" w:eastAsia="Arial" w:hAnsi="Arial"/>
                <w:sz w:val="21"/>
                <w:szCs w:val="21"/>
                <w:color w:val="auto"/>
                <w:vertAlign w:val="superscript"/>
              </w:rPr>
              <w:t>(1)</w:t>
            </w:r>
          </w:p>
        </w:tc>
        <w:tc>
          <w:tcPr>
            <w:tcW w:w="220" w:type="dxa"/>
            <w:vAlign w:val="bottom"/>
          </w:tcPr>
          <w:p>
            <w:pPr>
              <w:spacing w:after="0"/>
              <w:rPr>
                <w:sz w:val="24"/>
                <w:szCs w:val="24"/>
                <w:color w:val="auto"/>
              </w:rPr>
            </w:pPr>
          </w:p>
        </w:tc>
        <w:tc>
          <w:tcPr>
            <w:tcW w:w="1180" w:type="dxa"/>
            <w:vAlign w:val="bottom"/>
          </w:tcPr>
          <w:p>
            <w:pPr>
              <w:jc w:val="right"/>
              <w:ind w:right="62"/>
              <w:spacing w:after="0"/>
              <w:rPr>
                <w:sz w:val="20"/>
                <w:szCs w:val="20"/>
                <w:color w:val="auto"/>
              </w:rPr>
            </w:pPr>
            <w:r>
              <w:rPr>
                <w:rFonts w:ascii="Arial" w:cs="Arial" w:eastAsia="Arial" w:hAnsi="Arial"/>
                <w:sz w:val="16"/>
                <w:szCs w:val="16"/>
                <w:b w:val="1"/>
                <w:bCs w:val="1"/>
                <w:color w:val="auto"/>
              </w:rPr>
              <w:t>98,006</w:t>
            </w:r>
          </w:p>
        </w:tc>
        <w:tc>
          <w:tcPr>
            <w:tcW w:w="240" w:type="dxa"/>
            <w:vAlign w:val="bottom"/>
          </w:tcPr>
          <w:p>
            <w:pPr>
              <w:spacing w:after="0"/>
              <w:rPr>
                <w:sz w:val="24"/>
                <w:szCs w:val="24"/>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93,671</w:t>
            </w:r>
          </w:p>
        </w:tc>
        <w:tc>
          <w:tcPr>
            <w:tcW w:w="0" w:type="dxa"/>
            <w:vAlign w:val="bottom"/>
          </w:tcPr>
          <w:p>
            <w:pPr>
              <w:spacing w:after="0"/>
              <w:rPr>
                <w:sz w:val="1"/>
                <w:szCs w:val="1"/>
                <w:color w:val="auto"/>
              </w:rPr>
            </w:pPr>
          </w:p>
        </w:tc>
      </w:tr>
      <w:tr>
        <w:trPr>
          <w:trHeight w:val="228"/>
        </w:trPr>
        <w:tc>
          <w:tcPr>
            <w:tcW w:w="8580" w:type="dxa"/>
            <w:vAlign w:val="bottom"/>
          </w:tcPr>
          <w:p>
            <w:pPr>
              <w:ind w:left="40"/>
              <w:spacing w:after="0"/>
              <w:rPr>
                <w:sz w:val="20"/>
                <w:szCs w:val="20"/>
                <w:color w:val="auto"/>
              </w:rPr>
            </w:pPr>
            <w:r>
              <w:rPr>
                <w:rFonts w:ascii="Arial" w:cs="Arial" w:eastAsia="Arial" w:hAnsi="Arial"/>
                <w:sz w:val="16"/>
                <w:szCs w:val="16"/>
                <w:color w:val="auto"/>
              </w:rPr>
              <w:t>Other indebtedness</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106</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251"/>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Total Debt</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Pr>
          <w:p>
            <w:pPr>
              <w:jc w:val="right"/>
              <w:ind w:right="62"/>
              <w:spacing w:after="0"/>
              <w:rPr>
                <w:sz w:val="20"/>
                <w:szCs w:val="20"/>
                <w:color w:val="auto"/>
              </w:rPr>
            </w:pPr>
            <w:r>
              <w:rPr>
                <w:rFonts w:ascii="Arial" w:cs="Arial" w:eastAsia="Arial" w:hAnsi="Arial"/>
                <w:sz w:val="16"/>
                <w:szCs w:val="16"/>
                <w:b w:val="1"/>
                <w:bCs w:val="1"/>
                <w:color w:val="auto"/>
              </w:rPr>
              <w:t>497,733</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493,287</w:t>
            </w:r>
          </w:p>
        </w:tc>
        <w:tc>
          <w:tcPr>
            <w:tcW w:w="0" w:type="dxa"/>
            <w:vAlign w:val="bottom"/>
          </w:tcPr>
          <w:p>
            <w:pPr>
              <w:spacing w:after="0"/>
              <w:rPr>
                <w:sz w:val="1"/>
                <w:szCs w:val="1"/>
                <w:color w:val="auto"/>
              </w:rPr>
            </w:pPr>
          </w:p>
        </w:tc>
      </w:tr>
      <w:tr>
        <w:trPr>
          <w:trHeight w:val="283"/>
        </w:trPr>
        <w:tc>
          <w:tcPr>
            <w:tcW w:w="8580" w:type="dxa"/>
            <w:vAlign w:val="bottom"/>
          </w:tcPr>
          <w:p>
            <w:pPr>
              <w:ind w:left="40"/>
              <w:spacing w:after="0"/>
              <w:rPr>
                <w:sz w:val="20"/>
                <w:szCs w:val="20"/>
                <w:color w:val="auto"/>
              </w:rPr>
            </w:pPr>
            <w:r>
              <w:rPr>
                <w:rFonts w:ascii="Arial" w:cs="Arial" w:eastAsia="Arial" w:hAnsi="Arial"/>
                <w:sz w:val="16"/>
                <w:szCs w:val="16"/>
                <w:color w:val="auto"/>
              </w:rPr>
              <w:t>Less: current portion</w:t>
            </w: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(406,654)</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(6,726)</w:t>
            </w:r>
          </w:p>
        </w:tc>
        <w:tc>
          <w:tcPr>
            <w:tcW w:w="0" w:type="dxa"/>
            <w:vAlign w:val="bottom"/>
          </w:tcPr>
          <w:p>
            <w:pPr>
              <w:spacing w:after="0"/>
              <w:rPr>
                <w:sz w:val="1"/>
                <w:szCs w:val="1"/>
                <w:color w:val="auto"/>
              </w:rPr>
            </w:pPr>
          </w:p>
        </w:tc>
      </w:tr>
      <w:tr>
        <w:trPr>
          <w:trHeight w:val="264"/>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Total Long-Term Debt</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91,079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486,561</w:t>
            </w: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Arial" w:cs="Arial" w:eastAsia="Arial" w:hAnsi="Arial"/>
                <w:sz w:val="14"/>
                <w:szCs w:val="14"/>
                <w:color w:val="auto"/>
              </w:rPr>
              <w:t>___________</w:t>
            </w:r>
            <w:r>
              <w:rPr>
                <w:rFonts w:ascii="Arial" w:cs="Arial" w:eastAsia="Arial" w:hAnsi="Arial"/>
                <w:sz w:val="10"/>
                <w:szCs w:val="10"/>
                <w:color w:val="auto"/>
              </w:rPr>
              <w:t>_</w:t>
            </w: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858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420" w:hanging="412"/>
        <w:spacing w:after="0"/>
        <w:tabs>
          <w:tab w:leader="none" w:pos="42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carrying value is net of $0.4 million of unamortized debt issuance costs as of March 31, 2018 and December 31, 2017, respectively.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Company's 7.25% unsecured notes due on February 1, 2019 are now classified as current liabilities at March 31, 2018.</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Company’s other indebtedness at March 31, 2018 and December 31, 2017 is at an interest rate of 2% and matures in 2026.</w:t>
      </w:r>
    </w:p>
    <w:p>
      <w:pPr>
        <w:spacing w:after="0" w:line="144"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During the three months ended March 31, 2018 and 2017, the Company had average borrowings outstanding of approximately $496.5 million and $493.0 million, respectively, at average annual interest rates of approximately</w:t>
      </w:r>
    </w:p>
    <w:p>
      <w:pPr>
        <w:sectPr>
          <w:pgSz w:w="11900" w:h="16838" w:orient="portrait"/>
          <w:cols w:equalWidth="0" w:num="1">
            <w:col w:w="11420"/>
          </w:cols>
          <w:pgMar w:left="240" w:top="719" w:right="239" w:bottom="422"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420"/>
          </w:cols>
          <w:pgMar w:left="240" w:top="719" w:right="239" w:bottom="422" w:gutter="0" w:footer="0" w:header="0"/>
          <w:type w:val="continuous"/>
        </w:sectPr>
      </w:pPr>
    </w:p>
    <w:bookmarkStart w:id="15" w:name="page16"/>
    <w:bookmarkEnd w:id="15"/>
    <w:p>
      <w:pPr>
        <w:ind w:right="320"/>
        <w:spacing w:after="0" w:line="235" w:lineRule="auto"/>
        <w:rPr>
          <w:sz w:val="20"/>
          <w:szCs w:val="20"/>
          <w:color w:val="auto"/>
        </w:rPr>
      </w:pPr>
      <w:r>
        <w:rPr>
          <w:rFonts w:ascii="Arial" w:cs="Arial" w:eastAsia="Arial" w:hAnsi="Arial"/>
          <w:sz w:val="18"/>
          <w:szCs w:val="18"/>
          <w:color w:val="auto"/>
        </w:rPr>
        <w:t>6.2% and 6.3%, respectively. During the three months ended March 31, 2018 and 2017, the Company incurred net interest expense of $6.7 million and $6.8 million, respectively.</w:t>
      </w:r>
    </w:p>
    <w:p>
      <w:pPr>
        <w:spacing w:after="0" w:line="135"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color w:val="auto"/>
        </w:rPr>
        <w:t>At March 31, 2018, the fair value of the Company’s 7.25% unsecured notes, based on quoted market prices (Level 2 fair value assessment), totaled $412.2 million, compared with the carrying amount of $399.6 million. At December 31, 2017, the fair value of the Company’s 7.25% unsecured notes, based on quoted market prices (Level 2 fair value assessment), totaled $414.7 million, compared with the carrying amount of $399.5 million. The carrying value of the Company’s other unsecured debt at March 31, 2018 and December 31, 2017 approximates fair value.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MEASUREMENTS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financial assets and liabilities measured at fair value on a recurring basis were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5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4"/>
                <w:szCs w:val="14"/>
                <w:b w:val="1"/>
                <w:bCs w:val="1"/>
                <w:color w:val="auto"/>
              </w:rPr>
              <w:t>As of March 31, 2018</w:t>
            </w: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6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Level 1</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Level 2</w:t>
            </w: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6"/>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 xml:space="preserve">Money market investments </w:t>
            </w:r>
            <w:r>
              <w:rPr>
                <w:rFonts w:ascii="Arial" w:cs="Arial" w:eastAsia="Arial" w:hAnsi="Arial"/>
                <w:sz w:val="21"/>
                <w:szCs w:val="21"/>
                <w:b w:val="1"/>
                <w:bCs w:val="1"/>
                <w:color w:val="auto"/>
                <w:vertAlign w:val="superscript"/>
              </w:rPr>
              <w:t>(1)</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111,752</w:t>
            </w:r>
          </w:p>
        </w:tc>
        <w:tc>
          <w:tcPr>
            <w:tcW w:w="3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b w:val="1"/>
                <w:bCs w:val="1"/>
                <w:color w:val="auto"/>
              </w:rPr>
              <w:t>111,752</w:t>
            </w:r>
          </w:p>
        </w:tc>
        <w:tc>
          <w:tcPr>
            <w:tcW w:w="0" w:type="dxa"/>
            <w:vAlign w:val="bottom"/>
          </w:tcPr>
          <w:p>
            <w:pPr>
              <w:spacing w:after="0"/>
              <w:rPr>
                <w:sz w:val="1"/>
                <w:szCs w:val="1"/>
                <w:color w:val="auto"/>
              </w:rPr>
            </w:pPr>
          </w:p>
        </w:tc>
      </w:tr>
      <w:tr>
        <w:trPr>
          <w:trHeight w:val="270"/>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 xml:space="preserve">Marketable equity securities </w:t>
            </w:r>
            <w:r>
              <w:rPr>
                <w:rFonts w:ascii="Arial" w:cs="Arial" w:eastAsia="Arial" w:hAnsi="Arial"/>
                <w:sz w:val="21"/>
                <w:szCs w:val="21"/>
                <w:b w:val="1"/>
                <w:bCs w:val="1"/>
                <w:color w:val="auto"/>
                <w:vertAlign w:val="superscript"/>
              </w:rPr>
              <w:t>(2)</w:t>
            </w:r>
          </w:p>
        </w:tc>
        <w:tc>
          <w:tcPr>
            <w:tcW w:w="220" w:type="dxa"/>
            <w:vAlign w:val="bottom"/>
          </w:tcPr>
          <w:p>
            <w:pPr>
              <w:spacing w:after="0"/>
              <w:rPr>
                <w:sz w:val="23"/>
                <w:szCs w:val="23"/>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471,703</w:t>
            </w:r>
          </w:p>
        </w:tc>
        <w:tc>
          <w:tcPr>
            <w:tcW w:w="320" w:type="dxa"/>
            <w:vAlign w:val="bottom"/>
          </w:tcPr>
          <w:p>
            <w:pPr>
              <w:spacing w:after="0"/>
              <w:rPr>
                <w:sz w:val="23"/>
                <w:szCs w:val="23"/>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b w:val="1"/>
                <w:bCs w:val="1"/>
                <w:color w:val="auto"/>
              </w:rPr>
              <w:t>471,703</w:t>
            </w:r>
          </w:p>
        </w:tc>
        <w:tc>
          <w:tcPr>
            <w:tcW w:w="0" w:type="dxa"/>
            <w:vAlign w:val="bottom"/>
          </w:tcPr>
          <w:p>
            <w:pPr>
              <w:spacing w:after="0"/>
              <w:rPr>
                <w:sz w:val="1"/>
                <w:szCs w:val="1"/>
                <w:color w:val="auto"/>
              </w:rPr>
            </w:pPr>
          </w:p>
        </w:tc>
      </w:tr>
      <w:tr>
        <w:trPr>
          <w:trHeight w:val="270"/>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 xml:space="preserve">Other current investments </w:t>
            </w:r>
            <w:r>
              <w:rPr>
                <w:rFonts w:ascii="Arial" w:cs="Arial" w:eastAsia="Arial" w:hAnsi="Arial"/>
                <w:sz w:val="21"/>
                <w:szCs w:val="21"/>
                <w:b w:val="1"/>
                <w:bCs w:val="1"/>
                <w:color w:val="auto"/>
                <w:vertAlign w:val="superscript"/>
              </w:rPr>
              <w:t>(3)</w:t>
            </w:r>
          </w:p>
        </w:tc>
        <w:tc>
          <w:tcPr>
            <w:tcW w:w="220" w:type="dxa"/>
            <w:vAlign w:val="bottom"/>
          </w:tcPr>
          <w:p>
            <w:pPr>
              <w:spacing w:after="0"/>
              <w:rPr>
                <w:sz w:val="23"/>
                <w:szCs w:val="23"/>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12,715</w:t>
            </w:r>
          </w:p>
        </w:tc>
        <w:tc>
          <w:tcPr>
            <w:tcW w:w="320" w:type="dxa"/>
            <w:vAlign w:val="bottom"/>
          </w:tcPr>
          <w:p>
            <w:pPr>
              <w:spacing w:after="0"/>
              <w:rPr>
                <w:sz w:val="23"/>
                <w:szCs w:val="23"/>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7,031</w:t>
            </w:r>
          </w:p>
        </w:tc>
        <w:tc>
          <w:tcPr>
            <w:tcW w:w="32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b w:val="1"/>
                <w:bCs w:val="1"/>
                <w:color w:val="auto"/>
              </w:rPr>
              <w:t>19,746</w:t>
            </w:r>
          </w:p>
        </w:tc>
        <w:tc>
          <w:tcPr>
            <w:tcW w:w="0" w:type="dxa"/>
            <w:vAlign w:val="bottom"/>
          </w:tcPr>
          <w:p>
            <w:pPr>
              <w:spacing w:after="0"/>
              <w:rPr>
                <w:sz w:val="1"/>
                <w:szCs w:val="1"/>
                <w:color w:val="auto"/>
              </w:rPr>
            </w:pPr>
          </w:p>
        </w:tc>
      </w:tr>
      <w:tr>
        <w:trPr>
          <w:trHeight w:val="234"/>
        </w:trPr>
        <w:tc>
          <w:tcPr>
            <w:tcW w:w="6520" w:type="dxa"/>
            <w:vAlign w:val="bottom"/>
          </w:tcPr>
          <w:p>
            <w:pPr>
              <w:ind w:left="40"/>
              <w:spacing w:after="0" w:line="234" w:lineRule="exact"/>
              <w:rPr>
                <w:sz w:val="20"/>
                <w:szCs w:val="20"/>
                <w:color w:val="auto"/>
              </w:rPr>
            </w:pPr>
            <w:r>
              <w:rPr>
                <w:rFonts w:ascii="Arial" w:cs="Arial" w:eastAsia="Arial" w:hAnsi="Arial"/>
                <w:sz w:val="16"/>
                <w:szCs w:val="16"/>
                <w:b w:val="1"/>
                <w:bCs w:val="1"/>
                <w:color w:val="auto"/>
              </w:rPr>
              <w:t xml:space="preserve">Interest rate swap </w:t>
            </w:r>
            <w:r>
              <w:rPr>
                <w:rFonts w:ascii="Arial" w:cs="Arial" w:eastAsia="Arial" w:hAnsi="Arial"/>
                <w:sz w:val="21"/>
                <w:szCs w:val="21"/>
                <w:b w:val="1"/>
                <w:bCs w:val="1"/>
                <w:color w:val="auto"/>
                <w:vertAlign w:val="superscript"/>
              </w:rPr>
              <w:t>(4)</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11</w:t>
            </w: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11</w:t>
            </w:r>
          </w:p>
        </w:tc>
        <w:tc>
          <w:tcPr>
            <w:tcW w:w="0" w:type="dxa"/>
            <w:vAlign w:val="bottom"/>
          </w:tcPr>
          <w:p>
            <w:pPr>
              <w:spacing w:after="0"/>
              <w:rPr>
                <w:sz w:val="1"/>
                <w:szCs w:val="1"/>
                <w:color w:val="auto"/>
              </w:rPr>
            </w:pPr>
          </w:p>
        </w:tc>
      </w:tr>
      <w:tr>
        <w:trPr>
          <w:trHeight w:val="258"/>
        </w:trPr>
        <w:tc>
          <w:tcPr>
            <w:tcW w:w="6520" w:type="dxa"/>
            <w:vAlign w:val="bottom"/>
          </w:tcPr>
          <w:p>
            <w:pPr>
              <w:ind w:left="280"/>
              <w:spacing w:after="0"/>
              <w:rPr>
                <w:sz w:val="20"/>
                <w:szCs w:val="20"/>
                <w:color w:val="auto"/>
              </w:rPr>
            </w:pPr>
            <w:r>
              <w:rPr>
                <w:rFonts w:ascii="Arial" w:cs="Arial" w:eastAsia="Arial" w:hAnsi="Arial"/>
                <w:sz w:val="16"/>
                <w:szCs w:val="16"/>
                <w:b w:val="1"/>
                <w:bCs w:val="1"/>
                <w:color w:val="auto"/>
              </w:rPr>
              <w:t>Total Financial Assets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484,418</w:t>
            </w:r>
          </w:p>
        </w:tc>
        <w:tc>
          <w:tcPr>
            <w:tcW w:w="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118,794</w:t>
            </w:r>
          </w:p>
        </w:tc>
        <w:tc>
          <w:tcPr>
            <w:tcW w:w="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603,212</w:t>
            </w:r>
          </w:p>
        </w:tc>
        <w:tc>
          <w:tcPr>
            <w:tcW w:w="0" w:type="dxa"/>
            <w:vAlign w:val="bottom"/>
          </w:tcPr>
          <w:p>
            <w:pPr>
              <w:spacing w:after="0"/>
              <w:rPr>
                <w:sz w:val="1"/>
                <w:szCs w:val="1"/>
                <w:color w:val="auto"/>
              </w:rPr>
            </w:pPr>
          </w:p>
        </w:tc>
      </w:tr>
      <w:tr>
        <w:trPr>
          <w:trHeight w:val="20"/>
        </w:trPr>
        <w:tc>
          <w:tcPr>
            <w:tcW w:w="65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Liabilities</w:t>
            </w: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5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6"/>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 xml:space="preserve">Deferred compensation plan liabilities </w:t>
            </w:r>
            <w:r>
              <w:rPr>
                <w:rFonts w:ascii="Arial" w:cs="Arial" w:eastAsia="Arial" w:hAnsi="Arial"/>
                <w:sz w:val="21"/>
                <w:szCs w:val="21"/>
                <w:b w:val="1"/>
                <w:bCs w:val="1"/>
                <w:color w:val="auto"/>
                <w:vertAlign w:val="superscript"/>
              </w:rPr>
              <w:t>(5)</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36,373</w:t>
            </w:r>
          </w:p>
        </w:tc>
        <w:tc>
          <w:tcPr>
            <w:tcW w:w="3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b w:val="1"/>
                <w:bCs w:val="1"/>
                <w:color w:val="auto"/>
              </w:rPr>
              <w:t>36,373</w:t>
            </w:r>
          </w:p>
        </w:tc>
        <w:tc>
          <w:tcPr>
            <w:tcW w:w="0" w:type="dxa"/>
            <w:vAlign w:val="bottom"/>
          </w:tcPr>
          <w:p>
            <w:pPr>
              <w:spacing w:after="0"/>
              <w:rPr>
                <w:sz w:val="1"/>
                <w:szCs w:val="1"/>
                <w:color w:val="auto"/>
              </w:rPr>
            </w:pPr>
          </w:p>
        </w:tc>
      </w:tr>
      <w:tr>
        <w:trPr>
          <w:trHeight w:val="234"/>
        </w:trPr>
        <w:tc>
          <w:tcPr>
            <w:tcW w:w="6520" w:type="dxa"/>
            <w:vAlign w:val="bottom"/>
          </w:tcPr>
          <w:p>
            <w:pPr>
              <w:ind w:left="40"/>
              <w:spacing w:after="0" w:line="234" w:lineRule="exact"/>
              <w:rPr>
                <w:sz w:val="20"/>
                <w:szCs w:val="20"/>
                <w:color w:val="auto"/>
              </w:rPr>
            </w:pPr>
            <w:r>
              <w:rPr>
                <w:rFonts w:ascii="Arial" w:cs="Arial" w:eastAsia="Arial" w:hAnsi="Arial"/>
                <w:sz w:val="16"/>
                <w:szCs w:val="16"/>
                <w:b w:val="1"/>
                <w:bCs w:val="1"/>
                <w:color w:val="auto"/>
              </w:rPr>
              <w:t xml:space="preserve">Mandatorily redeemable noncontrolling interest </w:t>
            </w:r>
            <w:r>
              <w:rPr>
                <w:rFonts w:ascii="Arial" w:cs="Arial" w:eastAsia="Arial" w:hAnsi="Arial"/>
                <w:sz w:val="21"/>
                <w:szCs w:val="21"/>
                <w:b w:val="1"/>
                <w:bCs w:val="1"/>
                <w:color w:val="auto"/>
                <w:vertAlign w:val="superscript"/>
              </w:rPr>
              <w:t>(7)</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10,331</w:t>
            </w: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10,331</w:t>
            </w:r>
          </w:p>
        </w:tc>
        <w:tc>
          <w:tcPr>
            <w:tcW w:w="0" w:type="dxa"/>
            <w:vAlign w:val="bottom"/>
          </w:tcPr>
          <w:p>
            <w:pPr>
              <w:spacing w:after="0"/>
              <w:rPr>
                <w:sz w:val="1"/>
                <w:szCs w:val="1"/>
                <w:color w:val="auto"/>
              </w:rPr>
            </w:pPr>
          </w:p>
        </w:tc>
      </w:tr>
      <w:tr>
        <w:trPr>
          <w:trHeight w:val="261"/>
        </w:trPr>
        <w:tc>
          <w:tcPr>
            <w:tcW w:w="6520" w:type="dxa"/>
            <w:vAlign w:val="bottom"/>
          </w:tcPr>
          <w:p>
            <w:pPr>
              <w:ind w:left="280"/>
              <w:spacing w:after="0"/>
              <w:rPr>
                <w:sz w:val="20"/>
                <w:szCs w:val="20"/>
                <w:color w:val="auto"/>
              </w:rPr>
            </w:pPr>
            <w:r>
              <w:rPr>
                <w:rFonts w:ascii="Arial" w:cs="Arial" w:eastAsia="Arial" w:hAnsi="Arial"/>
                <w:sz w:val="16"/>
                <w:szCs w:val="16"/>
                <w:b w:val="1"/>
                <w:bCs w:val="1"/>
                <w:color w:val="auto"/>
              </w:rPr>
              <w:t>Total Financial Liabilities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36,373</w:t>
            </w:r>
          </w:p>
        </w:tc>
        <w:tc>
          <w:tcPr>
            <w:tcW w:w="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10,331</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46,704</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gridSpan w:val="3"/>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65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As of December 31, 2017</w:t>
            </w:r>
          </w:p>
        </w:tc>
        <w:tc>
          <w:tcPr>
            <w:tcW w:w="3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Level 1</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Level 2</w:t>
            </w: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0"/>
        </w:trPr>
        <w:tc>
          <w:tcPr>
            <w:tcW w:w="6520" w:type="dxa"/>
            <w:vAlign w:val="bottom"/>
          </w:tcPr>
          <w:p>
            <w:pPr>
              <w:ind w:left="40"/>
              <w:spacing w:after="0"/>
              <w:rPr>
                <w:sz w:val="20"/>
                <w:szCs w:val="20"/>
                <w:color w:val="auto"/>
              </w:rPr>
            </w:pPr>
            <w:r>
              <w:rPr>
                <w:rFonts w:ascii="Arial" w:cs="Arial" w:eastAsia="Arial" w:hAnsi="Arial"/>
                <w:sz w:val="16"/>
                <w:szCs w:val="16"/>
                <w:color w:val="auto"/>
              </w:rPr>
              <w:t xml:space="preserve">Money market investments </w:t>
            </w:r>
            <w:r>
              <w:rPr>
                <w:rFonts w:ascii="Arial" w:cs="Arial" w:eastAsia="Arial" w:hAnsi="Arial"/>
                <w:sz w:val="21"/>
                <w:szCs w:val="21"/>
                <w:color w:val="auto"/>
                <w:vertAlign w:val="superscript"/>
              </w:rPr>
              <w:t>(1)</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217,628</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217,628</w:t>
            </w:r>
          </w:p>
        </w:tc>
        <w:tc>
          <w:tcPr>
            <w:tcW w:w="0" w:type="dxa"/>
            <w:vAlign w:val="bottom"/>
          </w:tcPr>
          <w:p>
            <w:pPr>
              <w:spacing w:after="0"/>
              <w:rPr>
                <w:sz w:val="1"/>
                <w:szCs w:val="1"/>
                <w:color w:val="auto"/>
              </w:rPr>
            </w:pPr>
          </w:p>
        </w:tc>
      </w:tr>
      <w:tr>
        <w:trPr>
          <w:trHeight w:val="270"/>
        </w:trPr>
        <w:tc>
          <w:tcPr>
            <w:tcW w:w="6520" w:type="dxa"/>
            <w:vAlign w:val="bottom"/>
          </w:tcPr>
          <w:p>
            <w:pPr>
              <w:ind w:left="40"/>
              <w:spacing w:after="0"/>
              <w:rPr>
                <w:sz w:val="20"/>
                <w:szCs w:val="20"/>
                <w:color w:val="auto"/>
              </w:rPr>
            </w:pPr>
            <w:r>
              <w:rPr>
                <w:rFonts w:ascii="Arial" w:cs="Arial" w:eastAsia="Arial" w:hAnsi="Arial"/>
                <w:sz w:val="16"/>
                <w:szCs w:val="16"/>
                <w:color w:val="auto"/>
              </w:rPr>
              <w:t xml:space="preserve">Marketable equity securities </w:t>
            </w:r>
            <w:r>
              <w:rPr>
                <w:rFonts w:ascii="Arial" w:cs="Arial" w:eastAsia="Arial" w:hAnsi="Arial"/>
                <w:sz w:val="21"/>
                <w:szCs w:val="21"/>
                <w:color w:val="auto"/>
                <w:vertAlign w:val="superscript"/>
              </w:rPr>
              <w:t>(2)</w:t>
            </w:r>
          </w:p>
        </w:tc>
        <w:tc>
          <w:tcPr>
            <w:tcW w:w="220" w:type="dxa"/>
            <w:vAlign w:val="bottom"/>
          </w:tcPr>
          <w:p>
            <w:pPr>
              <w:spacing w:after="0"/>
              <w:rPr>
                <w:sz w:val="23"/>
                <w:szCs w:val="23"/>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536,315</w:t>
            </w:r>
          </w:p>
        </w:tc>
        <w:tc>
          <w:tcPr>
            <w:tcW w:w="320" w:type="dxa"/>
            <w:vAlign w:val="bottom"/>
          </w:tcPr>
          <w:p>
            <w:pPr>
              <w:spacing w:after="0"/>
              <w:rPr>
                <w:sz w:val="23"/>
                <w:szCs w:val="23"/>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536,315</w:t>
            </w:r>
          </w:p>
        </w:tc>
        <w:tc>
          <w:tcPr>
            <w:tcW w:w="0" w:type="dxa"/>
            <w:vAlign w:val="bottom"/>
          </w:tcPr>
          <w:p>
            <w:pPr>
              <w:spacing w:after="0"/>
              <w:rPr>
                <w:sz w:val="1"/>
                <w:szCs w:val="1"/>
                <w:color w:val="auto"/>
              </w:rPr>
            </w:pPr>
          </w:p>
        </w:tc>
      </w:tr>
      <w:tr>
        <w:trPr>
          <w:trHeight w:val="219"/>
        </w:trPr>
        <w:tc>
          <w:tcPr>
            <w:tcW w:w="6520" w:type="dxa"/>
            <w:vAlign w:val="bottom"/>
          </w:tcPr>
          <w:p>
            <w:pPr>
              <w:ind w:left="40"/>
              <w:spacing w:after="0" w:line="219" w:lineRule="exact"/>
              <w:rPr>
                <w:sz w:val="20"/>
                <w:szCs w:val="20"/>
                <w:color w:val="auto"/>
              </w:rPr>
            </w:pPr>
            <w:r>
              <w:rPr>
                <w:rFonts w:ascii="Arial" w:cs="Arial" w:eastAsia="Arial" w:hAnsi="Arial"/>
                <w:sz w:val="16"/>
                <w:szCs w:val="16"/>
                <w:color w:val="auto"/>
              </w:rPr>
              <w:t xml:space="preserve">Other current investments </w:t>
            </w:r>
            <w:r>
              <w:rPr>
                <w:rFonts w:ascii="Arial" w:cs="Arial" w:eastAsia="Arial" w:hAnsi="Arial"/>
                <w:sz w:val="21"/>
                <w:szCs w:val="21"/>
                <w:color w:val="auto"/>
                <w:vertAlign w:val="superscript"/>
              </w:rPr>
              <w:t>(3)</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9,831</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11,007</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20,838</w:t>
            </w:r>
          </w:p>
        </w:tc>
        <w:tc>
          <w:tcPr>
            <w:tcW w:w="0" w:type="dxa"/>
            <w:vAlign w:val="bottom"/>
          </w:tcPr>
          <w:p>
            <w:pPr>
              <w:spacing w:after="0"/>
              <w:rPr>
                <w:sz w:val="1"/>
                <w:szCs w:val="1"/>
                <w:color w:val="auto"/>
              </w:rPr>
            </w:pPr>
          </w:p>
        </w:tc>
      </w:tr>
      <w:tr>
        <w:trPr>
          <w:trHeight w:val="258"/>
        </w:trPr>
        <w:tc>
          <w:tcPr>
            <w:tcW w:w="6520" w:type="dxa"/>
            <w:vAlign w:val="bottom"/>
          </w:tcPr>
          <w:p>
            <w:pPr>
              <w:ind w:left="280"/>
              <w:spacing w:after="0"/>
              <w:rPr>
                <w:sz w:val="20"/>
                <w:szCs w:val="20"/>
                <w:color w:val="auto"/>
              </w:rPr>
            </w:pPr>
            <w:r>
              <w:rPr>
                <w:rFonts w:ascii="Arial" w:cs="Arial" w:eastAsia="Arial" w:hAnsi="Arial"/>
                <w:sz w:val="16"/>
                <w:szCs w:val="16"/>
                <w:b w:val="1"/>
                <w:bCs w:val="1"/>
                <w:color w:val="auto"/>
              </w:rPr>
              <w:t>Total Financial Assets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546,146</w:t>
            </w:r>
          </w:p>
        </w:tc>
        <w:tc>
          <w:tcPr>
            <w:tcW w:w="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228,635</w:t>
            </w:r>
          </w:p>
        </w:tc>
        <w:tc>
          <w:tcPr>
            <w:tcW w:w="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774,781</w:t>
            </w:r>
          </w:p>
        </w:tc>
        <w:tc>
          <w:tcPr>
            <w:tcW w:w="0" w:type="dxa"/>
            <w:vAlign w:val="bottom"/>
          </w:tcPr>
          <w:p>
            <w:pPr>
              <w:spacing w:after="0"/>
              <w:rPr>
                <w:sz w:val="1"/>
                <w:szCs w:val="1"/>
                <w:color w:val="auto"/>
              </w:rPr>
            </w:pPr>
          </w:p>
        </w:tc>
      </w:tr>
      <w:tr>
        <w:trPr>
          <w:trHeight w:val="20"/>
        </w:trPr>
        <w:tc>
          <w:tcPr>
            <w:tcW w:w="65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Liabilities</w:t>
            </w: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5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0"/>
        </w:trPr>
        <w:tc>
          <w:tcPr>
            <w:tcW w:w="6520" w:type="dxa"/>
            <w:vAlign w:val="bottom"/>
          </w:tcPr>
          <w:p>
            <w:pPr>
              <w:ind w:left="40"/>
              <w:spacing w:after="0"/>
              <w:rPr>
                <w:sz w:val="20"/>
                <w:szCs w:val="20"/>
                <w:color w:val="auto"/>
              </w:rPr>
            </w:pPr>
            <w:r>
              <w:rPr>
                <w:rFonts w:ascii="Arial" w:cs="Arial" w:eastAsia="Arial" w:hAnsi="Arial"/>
                <w:sz w:val="16"/>
                <w:szCs w:val="16"/>
                <w:color w:val="auto"/>
              </w:rPr>
              <w:t xml:space="preserve">Deferred compensation plan liabilities </w:t>
            </w:r>
            <w:r>
              <w:rPr>
                <w:rFonts w:ascii="Arial" w:cs="Arial" w:eastAsia="Arial" w:hAnsi="Arial"/>
                <w:sz w:val="21"/>
                <w:szCs w:val="21"/>
                <w:color w:val="auto"/>
                <w:vertAlign w:val="superscript"/>
              </w:rPr>
              <w:t>(5)</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43,414</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43,414</w:t>
            </w:r>
          </w:p>
        </w:tc>
        <w:tc>
          <w:tcPr>
            <w:tcW w:w="0" w:type="dxa"/>
            <w:vAlign w:val="bottom"/>
          </w:tcPr>
          <w:p>
            <w:pPr>
              <w:spacing w:after="0"/>
              <w:rPr>
                <w:sz w:val="1"/>
                <w:szCs w:val="1"/>
                <w:color w:val="auto"/>
              </w:rPr>
            </w:pPr>
          </w:p>
        </w:tc>
      </w:tr>
      <w:tr>
        <w:trPr>
          <w:trHeight w:val="270"/>
        </w:trPr>
        <w:tc>
          <w:tcPr>
            <w:tcW w:w="6520" w:type="dxa"/>
            <w:vAlign w:val="bottom"/>
          </w:tcPr>
          <w:p>
            <w:pPr>
              <w:ind w:left="40"/>
              <w:spacing w:after="0"/>
              <w:rPr>
                <w:sz w:val="20"/>
                <w:szCs w:val="20"/>
                <w:color w:val="auto"/>
              </w:rPr>
            </w:pPr>
            <w:r>
              <w:rPr>
                <w:rFonts w:ascii="Arial" w:cs="Arial" w:eastAsia="Arial" w:hAnsi="Arial"/>
                <w:sz w:val="16"/>
                <w:szCs w:val="16"/>
                <w:color w:val="auto"/>
              </w:rPr>
              <w:t xml:space="preserve">Interest rate swap </w:t>
            </w:r>
            <w:r>
              <w:rPr>
                <w:rFonts w:ascii="Arial" w:cs="Arial" w:eastAsia="Arial" w:hAnsi="Arial"/>
                <w:sz w:val="21"/>
                <w:szCs w:val="21"/>
                <w:color w:val="auto"/>
                <w:vertAlign w:val="superscript"/>
              </w:rPr>
              <w:t>(6)</w:t>
            </w:r>
          </w:p>
        </w:tc>
        <w:tc>
          <w:tcPr>
            <w:tcW w:w="220" w:type="dxa"/>
            <w:vAlign w:val="bottom"/>
          </w:tcPr>
          <w:p>
            <w:pPr>
              <w:spacing w:after="0"/>
              <w:rPr>
                <w:sz w:val="23"/>
                <w:szCs w:val="23"/>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244</w:t>
            </w:r>
          </w:p>
        </w:tc>
        <w:tc>
          <w:tcPr>
            <w:tcW w:w="32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244</w:t>
            </w:r>
          </w:p>
        </w:tc>
        <w:tc>
          <w:tcPr>
            <w:tcW w:w="0" w:type="dxa"/>
            <w:vAlign w:val="bottom"/>
          </w:tcPr>
          <w:p>
            <w:pPr>
              <w:spacing w:after="0"/>
              <w:rPr>
                <w:sz w:val="1"/>
                <w:szCs w:val="1"/>
                <w:color w:val="auto"/>
              </w:rPr>
            </w:pPr>
          </w:p>
        </w:tc>
      </w:tr>
      <w:tr>
        <w:trPr>
          <w:trHeight w:val="219"/>
        </w:trPr>
        <w:tc>
          <w:tcPr>
            <w:tcW w:w="6520" w:type="dxa"/>
            <w:vAlign w:val="bottom"/>
          </w:tcPr>
          <w:p>
            <w:pPr>
              <w:ind w:left="40"/>
              <w:spacing w:after="0" w:line="219" w:lineRule="exact"/>
              <w:rPr>
                <w:sz w:val="20"/>
                <w:szCs w:val="20"/>
                <w:color w:val="auto"/>
              </w:rPr>
            </w:pPr>
            <w:r>
              <w:rPr>
                <w:rFonts w:ascii="Arial" w:cs="Arial" w:eastAsia="Arial" w:hAnsi="Arial"/>
                <w:sz w:val="16"/>
                <w:szCs w:val="16"/>
                <w:color w:val="auto"/>
              </w:rPr>
              <w:t xml:space="preserve">Mandatorily redeemable noncontrolling interest </w:t>
            </w:r>
            <w:r>
              <w:rPr>
                <w:rFonts w:ascii="Arial" w:cs="Arial" w:eastAsia="Arial" w:hAnsi="Arial"/>
                <w:sz w:val="21"/>
                <w:szCs w:val="21"/>
                <w:color w:val="auto"/>
                <w:vertAlign w:val="superscript"/>
              </w:rPr>
              <w:t>(7)</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10,331</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10,331</w:t>
            </w:r>
          </w:p>
        </w:tc>
        <w:tc>
          <w:tcPr>
            <w:tcW w:w="0" w:type="dxa"/>
            <w:vAlign w:val="bottom"/>
          </w:tcPr>
          <w:p>
            <w:pPr>
              <w:spacing w:after="0"/>
              <w:rPr>
                <w:sz w:val="1"/>
                <w:szCs w:val="1"/>
                <w:color w:val="auto"/>
              </w:rPr>
            </w:pPr>
          </w:p>
        </w:tc>
      </w:tr>
      <w:tr>
        <w:trPr>
          <w:trHeight w:val="258"/>
        </w:trPr>
        <w:tc>
          <w:tcPr>
            <w:tcW w:w="6520" w:type="dxa"/>
            <w:vAlign w:val="bottom"/>
          </w:tcPr>
          <w:p>
            <w:pPr>
              <w:ind w:left="280"/>
              <w:spacing w:after="0"/>
              <w:rPr>
                <w:sz w:val="20"/>
                <w:szCs w:val="20"/>
                <w:color w:val="auto"/>
              </w:rPr>
            </w:pPr>
            <w:r>
              <w:rPr>
                <w:rFonts w:ascii="Arial" w:cs="Arial" w:eastAsia="Arial" w:hAnsi="Arial"/>
                <w:sz w:val="16"/>
                <w:szCs w:val="16"/>
                <w:b w:val="1"/>
                <w:bCs w:val="1"/>
                <w:color w:val="auto"/>
              </w:rPr>
              <w:t>Total Financial Liabilities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43,658</w:t>
            </w:r>
          </w:p>
        </w:tc>
        <w:tc>
          <w:tcPr>
            <w:tcW w:w="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10,331</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53,989</w:t>
            </w: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Arial" w:cs="Arial" w:eastAsia="Arial" w:hAnsi="Arial"/>
                <w:sz w:val="14"/>
                <w:szCs w:val="14"/>
                <w:color w:val="auto"/>
              </w:rPr>
              <w:t>____________</w:t>
            </w: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65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420" w:hanging="412"/>
        <w:spacing w:after="0"/>
        <w:tabs>
          <w:tab w:leader="none" w:pos="4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Company’s money market investments are included in Cash and Cash Equivalents and Restricted Cash and the value considers the liquidity of the counterparty.</w:t>
      </w:r>
    </w:p>
    <w:p>
      <w:pPr>
        <w:spacing w:after="0" w:line="41" w:lineRule="exact"/>
        <w:rPr>
          <w:rFonts w:ascii="Arial" w:cs="Arial" w:eastAsia="Arial" w:hAnsi="Arial"/>
          <w:sz w:val="14"/>
          <w:szCs w:val="14"/>
          <w:color w:val="auto"/>
        </w:rPr>
      </w:pPr>
    </w:p>
    <w:p>
      <w:pPr>
        <w:ind w:left="420" w:right="40" w:hanging="412"/>
        <w:spacing w:after="0" w:line="233" w:lineRule="auto"/>
        <w:tabs>
          <w:tab w:leader="none" w:pos="4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Company’s investments in marketable equity securities are held in common shares of U.S. corporations that are actively traded on U.S. stock exchanges. Price quotes for these shares are readily available. Investments in marketable securities were classified as available-for-sale in 2017 prior to the adoption of the new accounting guidance (see Note 1).</w:t>
      </w:r>
    </w:p>
    <w:p>
      <w:pPr>
        <w:spacing w:after="0" w:line="30" w:lineRule="exact"/>
        <w:rPr>
          <w:rFonts w:ascii="Arial" w:cs="Arial" w:eastAsia="Arial" w:hAnsi="Arial"/>
          <w:sz w:val="14"/>
          <w:szCs w:val="14"/>
          <w:color w:val="auto"/>
        </w:rPr>
      </w:pPr>
    </w:p>
    <w:p>
      <w:pPr>
        <w:ind w:left="420" w:right="420" w:hanging="412"/>
        <w:spacing w:after="0" w:line="239" w:lineRule="auto"/>
        <w:tabs>
          <w:tab w:leader="none" w:pos="4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U.S. Government Securities, corporate bonds, mutual funds and time deposits. These investments are valued using a market approach based on the quoted market prices of the security or inputs that include quoted market prices for similar instruments and are classified as either Level 1 or Level 2 in the valuation hierarchy.</w:t>
      </w:r>
    </w:p>
    <w:p>
      <w:pPr>
        <w:spacing w:after="0" w:line="30" w:lineRule="exact"/>
        <w:rPr>
          <w:rFonts w:ascii="Arial" w:cs="Arial" w:eastAsia="Arial" w:hAnsi="Arial"/>
          <w:sz w:val="14"/>
          <w:szCs w:val="14"/>
          <w:color w:val="auto"/>
        </w:rPr>
      </w:pPr>
    </w:p>
    <w:p>
      <w:pPr>
        <w:ind w:left="420" w:right="480" w:hanging="412"/>
        <w:spacing w:after="0" w:line="239" w:lineRule="auto"/>
        <w:tabs>
          <w:tab w:leader="none" w:pos="4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Included in Deferred Charges and Other Assets. The Company utilized a market approach model using the notional amount of the interest rate swap multiplied by the observable inputs of time to maturity and market interest rates.</w:t>
      </w:r>
    </w:p>
    <w:p>
      <w:pPr>
        <w:spacing w:after="0" w:line="30" w:lineRule="exact"/>
        <w:rPr>
          <w:rFonts w:ascii="Arial" w:cs="Arial" w:eastAsia="Arial" w:hAnsi="Arial"/>
          <w:sz w:val="14"/>
          <w:szCs w:val="14"/>
          <w:color w:val="auto"/>
        </w:rPr>
      </w:pPr>
    </w:p>
    <w:p>
      <w:pPr>
        <w:ind w:left="420" w:right="40" w:hanging="412"/>
        <w:spacing w:after="0"/>
        <w:tabs>
          <w:tab w:leader="none" w:pos="4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Graham Holdings Company’s Deferred Compensation Plan and supplemental savings plan benefits under the Graham Holdings Company’s Supplemental Executive Retirement Plan, which are included in accrued compensation and related benefits. These plans measure the market value of a participant’s balance in a notional investment account that is comprised primarily of mutual funds, which are based on observable market prices. However, since the deferred compensation obligations are not exchanged in an active market, they are classified as Level 2 in the fair value hierarchy. Realized and unrealized gains (losses) on deferred compensation are included in operating income.</w:t>
      </w:r>
    </w:p>
    <w:p>
      <w:pPr>
        <w:spacing w:after="0" w:line="152" w:lineRule="exact"/>
        <w:rPr>
          <w:rFonts w:ascii="Arial" w:cs="Arial" w:eastAsia="Arial" w:hAnsi="Arial"/>
          <w:sz w:val="14"/>
          <w:szCs w:val="14"/>
          <w:color w:val="auto"/>
        </w:rPr>
      </w:pPr>
    </w:p>
    <w:p>
      <w:pPr>
        <w:ind w:left="420" w:right="160" w:hanging="412"/>
        <w:spacing w:after="0" w:line="239" w:lineRule="auto"/>
        <w:tabs>
          <w:tab w:leader="none" w:pos="4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Included in Other Liabilities. The Company utilized a market approach model using the notional amount of the interest rate swap multiplied by the observable inputs of time to maturity and market interest rates.</w:t>
      </w:r>
    </w:p>
    <w:p>
      <w:pPr>
        <w:spacing w:after="0" w:line="30" w:lineRule="exact"/>
        <w:rPr>
          <w:rFonts w:ascii="Arial" w:cs="Arial" w:eastAsia="Arial" w:hAnsi="Arial"/>
          <w:sz w:val="14"/>
          <w:szCs w:val="14"/>
          <w:color w:val="auto"/>
        </w:rPr>
      </w:pPr>
    </w:p>
    <w:p>
      <w:pPr>
        <w:ind w:left="420" w:right="180" w:hanging="412"/>
        <w:spacing w:after="0" w:line="239" w:lineRule="auto"/>
        <w:tabs>
          <w:tab w:leader="none" w:pos="4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fair value of the mandatorily redeemable noncontrolling interest is based on an EBITDA multiple, adjusted for working capital and other items, which approximates fair value.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355" w:lineRule="exact"/>
        <w:rPr>
          <w:sz w:val="20"/>
          <w:szCs w:val="20"/>
          <w:color w:val="auto"/>
        </w:rPr>
      </w:pPr>
    </w:p>
    <w:p>
      <w:pPr>
        <w:jc w:val="both"/>
        <w:ind w:right="80"/>
        <w:spacing w:after="0" w:line="227" w:lineRule="auto"/>
        <w:rPr>
          <w:sz w:val="20"/>
          <w:szCs w:val="20"/>
          <w:color w:val="auto"/>
        </w:rPr>
      </w:pPr>
      <w:r>
        <w:rPr>
          <w:rFonts w:ascii="Arial" w:cs="Arial" w:eastAsia="Arial" w:hAnsi="Arial"/>
          <w:sz w:val="18"/>
          <w:szCs w:val="18"/>
          <w:color w:val="auto"/>
        </w:rPr>
        <w:t>The Tax Cuts and Jobs Act (the Tax Act) was enacted in December 2017, making significant changes to the Internal Revenue Code. The SEC staff issued Staff Accounting Bulletin No. 118 (SAB 118) to address the application of U.S. GAAP in situations when a registrant does not have the necessary information available, prepared, or analyzed (including computations) in reasonable detail to complete the accounting for certain income tax effects of the Tax Act. SAB 118 allows the registrant to record provisional amounts during a measurement period not to extend</w:t>
      </w:r>
    </w:p>
    <w:p>
      <w:pPr>
        <w:sectPr>
          <w:pgSz w:w="11900" w:h="16838" w:orient="portrait"/>
          <w:cols w:equalWidth="0" w:num="1">
            <w:col w:w="11420"/>
          </w:cols>
          <w:pgMar w:left="240" w:top="719" w:right="23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420"/>
          </w:cols>
          <w:pgMar w:left="240" w:top="719" w:right="239" w:bottom="1440" w:gutter="0" w:footer="0" w:header="0"/>
          <w:type w:val="continuous"/>
        </w:sectPr>
      </w:pPr>
    </w:p>
    <w:bookmarkStart w:id="16" w:name="page17"/>
    <w:bookmarkEnd w:id="16"/>
    <w:p>
      <w:pPr>
        <w:ind w:right="40"/>
        <w:spacing w:after="0" w:line="224" w:lineRule="auto"/>
        <w:rPr>
          <w:sz w:val="20"/>
          <w:szCs w:val="20"/>
          <w:color w:val="auto"/>
        </w:rPr>
      </w:pPr>
      <w:r>
        <w:rPr>
          <w:rFonts w:ascii="Arial" w:cs="Arial" w:eastAsia="Arial" w:hAnsi="Arial"/>
          <w:sz w:val="18"/>
          <w:szCs w:val="18"/>
          <w:color w:val="auto"/>
        </w:rPr>
        <w:t>beyond one year of the enactment date. The ultimate impact may materially differ from these provisional amounts due to, among other things, additional analysis, changes in interpretations and assumptions the Company made, additional regulatory guidance that may be issued, and actions the Company may take as a result of the Tax Act. In accordance with SAB 118, the Company has calculated a reasonable estimate of the impact of the Tax Act and recorded a provisional amount in its financial statements based on its understanding of the Tax Act and guidance available as of the date of this filing. The Company expects to complete its analysis within the measurement period in accordance with SAB 118.</w:t>
      </w:r>
    </w:p>
    <w:p>
      <w:pPr>
        <w:spacing w:after="0" w:line="137" w:lineRule="exact"/>
        <w:rPr>
          <w:sz w:val="20"/>
          <w:szCs w:val="20"/>
          <w:color w:val="auto"/>
        </w:rPr>
      </w:pPr>
    </w:p>
    <w:p>
      <w:pPr>
        <w:ind w:right="160"/>
        <w:spacing w:after="0" w:line="224" w:lineRule="auto"/>
        <w:rPr>
          <w:sz w:val="20"/>
          <w:szCs w:val="20"/>
          <w:color w:val="auto"/>
        </w:rPr>
      </w:pPr>
      <w:r>
        <w:rPr>
          <w:rFonts w:ascii="Arial" w:cs="Arial" w:eastAsia="Arial" w:hAnsi="Arial"/>
          <w:sz w:val="18"/>
          <w:szCs w:val="18"/>
          <w:color w:val="auto"/>
        </w:rPr>
        <w:t>Changes as a result of the Tax Act include, but are not limited to, a reduction in the federal corporate income tax rate from 35% to 21% effective January 1, 2018; the imposition of a one-time transition tax on historic earnings of certain non-U.S. subsidiaries that were previously tax deferred; and the imposition of new U.S. taxes on certain non-U.S. earnings. The Company estimates that it will not incur, and did not record, any liability with respect to the one-time U.S. transition tax imposed by the Tax Act on unremitted non-U.S. subsidiary earnings. The Company estimates that unremitted non-U.S. subsidiary earnings, when distributed, will not be subject to tax except to the extent non-U.S. withholding taxes are imposed.</w:t>
      </w:r>
    </w:p>
    <w:p>
      <w:pPr>
        <w:spacing w:after="0" w:line="137"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Further, the Tax Act provides a 100% dividends received deduction for distributions from non-U.S. subsidiaries after December 31, 2017, subject to certain holding period requirements. The Tax Act establishes a new regime, the Global Intangible Low Taxed Income (GILTI) tax, that may currently subject to U.S. tax the operations of non-U.S. subsidiaries. The GILTI tax is imposed annually based on all current year non-U.S. operations starting January 1, 2018. The Company has not yet decided whether to elect to record the GILTI tax regime as either a deferred tax accounting item or as a periodic tax expense. The company estimated the 2018 annual GILTI tax expense and included this current period GILTI tax provision estimate when determining the first quarter 2018 tax provision.</w:t>
      </w:r>
    </w:p>
    <w:p>
      <w:pPr>
        <w:spacing w:after="0" w:line="326"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color w:val="auto"/>
        </w:rPr>
        <w:t>The valuation allowances established against deferred state income tax assets may increase or decrease within the next 12 months, based on operating results or the market value of investment holdings. The Company will be monitoring future results on a quarterly basis to determine whether the valuation allowances provided against deferred state tax assets should be increased or decreased, as future circumstances warrant. The Company anticipates that the education division may release valuation allowances against state deferred tax assets of approximately $22.7 million within the next 12 months, as the education division may generate positive operating results that would support the realization of these deferred tax assets.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REVENUE FROM CONTRACTS WITH CUSTOMERS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The following table presents the Company’s revenues disaggregated by revenue source for the three months ended</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March 31, 2018 and 2017:</w:t>
      </w:r>
    </w:p>
    <w:p>
      <w:pPr>
        <w:spacing w:after="0" w:line="145" w:lineRule="exact"/>
        <w:rPr>
          <w:sz w:val="20"/>
          <w:szCs w:val="20"/>
          <w:color w:val="auto"/>
        </w:rPr>
      </w:pPr>
    </w:p>
    <w:p>
      <w:pPr>
        <w:ind w:left="946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9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780" w:type="dxa"/>
            <w:vAlign w:val="bottom"/>
            <w:tcBorders>
              <w:bottom w:val="single" w:sz="8" w:color="auto"/>
            </w:tcBorders>
          </w:tcPr>
          <w:p>
            <w:pPr>
              <w:spacing w:after="0"/>
              <w:rPr>
                <w:sz w:val="16"/>
                <w:szCs w:val="16"/>
                <w:color w:val="auto"/>
              </w:rPr>
            </w:pPr>
          </w:p>
        </w:tc>
      </w:tr>
      <w:tr>
        <w:trPr>
          <w:trHeight w:val="258"/>
        </w:trPr>
        <w:tc>
          <w:tcPr>
            <w:tcW w:w="89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2017</w:t>
            </w:r>
          </w:p>
        </w:tc>
      </w:tr>
      <w:tr>
        <w:trPr>
          <w:trHeight w:val="250"/>
        </w:trPr>
        <w:tc>
          <w:tcPr>
            <w:tcW w:w="8980" w:type="dxa"/>
            <w:vAlign w:val="bottom"/>
          </w:tcPr>
          <w:p>
            <w:pPr>
              <w:ind w:left="40"/>
              <w:spacing w:after="0"/>
              <w:rPr>
                <w:sz w:val="20"/>
                <w:szCs w:val="20"/>
                <w:color w:val="auto"/>
              </w:rPr>
            </w:pPr>
            <w:r>
              <w:rPr>
                <w:rFonts w:ascii="Arial" w:cs="Arial" w:eastAsia="Arial" w:hAnsi="Arial"/>
                <w:sz w:val="16"/>
                <w:szCs w:val="16"/>
                <w:color w:val="auto"/>
              </w:rPr>
              <w:t>Education Revenue</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0"/>
        </w:trPr>
        <w:tc>
          <w:tcPr>
            <w:tcW w:w="8980" w:type="dxa"/>
            <w:vAlign w:val="bottom"/>
          </w:tcPr>
          <w:p>
            <w:pPr>
              <w:ind w:left="180"/>
              <w:spacing w:after="0"/>
              <w:rPr>
                <w:sz w:val="20"/>
                <w:szCs w:val="20"/>
                <w:color w:val="auto"/>
              </w:rPr>
            </w:pPr>
            <w:r>
              <w:rPr>
                <w:rFonts w:ascii="Arial" w:cs="Arial" w:eastAsia="Arial" w:hAnsi="Arial"/>
                <w:sz w:val="16"/>
                <w:szCs w:val="16"/>
                <w:color w:val="auto"/>
              </w:rPr>
              <w:t>Higher education</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99,830</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111,111</w:t>
            </w:r>
          </w:p>
        </w:tc>
      </w:tr>
      <w:tr>
        <w:trPr>
          <w:trHeight w:val="270"/>
        </w:trPr>
        <w:tc>
          <w:tcPr>
            <w:tcW w:w="8980" w:type="dxa"/>
            <w:vAlign w:val="bottom"/>
          </w:tcPr>
          <w:p>
            <w:pPr>
              <w:ind w:left="180"/>
              <w:spacing w:after="0"/>
              <w:rPr>
                <w:sz w:val="20"/>
                <w:szCs w:val="20"/>
                <w:color w:val="auto"/>
              </w:rPr>
            </w:pPr>
            <w:r>
              <w:rPr>
                <w:rFonts w:ascii="Arial" w:cs="Arial" w:eastAsia="Arial" w:hAnsi="Arial"/>
                <w:sz w:val="16"/>
                <w:szCs w:val="16"/>
                <w:color w:val="auto"/>
              </w:rPr>
              <w:t>Professional (U.S.)</w:t>
            </w:r>
          </w:p>
        </w:tc>
        <w:tc>
          <w:tcPr>
            <w:tcW w:w="28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33,356</w:t>
            </w:r>
          </w:p>
        </w:tc>
        <w:tc>
          <w:tcPr>
            <w:tcW w:w="420" w:type="dxa"/>
            <w:vAlign w:val="bottom"/>
          </w:tcPr>
          <w:p>
            <w:pPr>
              <w:spacing w:after="0"/>
              <w:rPr>
                <w:sz w:val="23"/>
                <w:szCs w:val="23"/>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33,199</w:t>
            </w:r>
          </w:p>
        </w:tc>
      </w:tr>
      <w:tr>
        <w:trPr>
          <w:trHeight w:val="270"/>
        </w:trPr>
        <w:tc>
          <w:tcPr>
            <w:tcW w:w="8980" w:type="dxa"/>
            <w:vAlign w:val="bottom"/>
          </w:tcPr>
          <w:p>
            <w:pPr>
              <w:ind w:left="180"/>
              <w:spacing w:after="0"/>
              <w:rPr>
                <w:sz w:val="20"/>
                <w:szCs w:val="20"/>
                <w:color w:val="auto"/>
              </w:rPr>
            </w:pPr>
            <w:r>
              <w:rPr>
                <w:rFonts w:ascii="Arial" w:cs="Arial" w:eastAsia="Arial" w:hAnsi="Arial"/>
                <w:sz w:val="16"/>
                <w:szCs w:val="16"/>
                <w:color w:val="auto"/>
              </w:rPr>
              <w:t>Test preparation</w:t>
            </w:r>
          </w:p>
        </w:tc>
        <w:tc>
          <w:tcPr>
            <w:tcW w:w="28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59,151</w:t>
            </w:r>
          </w:p>
        </w:tc>
        <w:tc>
          <w:tcPr>
            <w:tcW w:w="420" w:type="dxa"/>
            <w:vAlign w:val="bottom"/>
          </w:tcPr>
          <w:p>
            <w:pPr>
              <w:spacing w:after="0"/>
              <w:rPr>
                <w:sz w:val="23"/>
                <w:szCs w:val="23"/>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64,568</w:t>
            </w:r>
          </w:p>
        </w:tc>
      </w:tr>
      <w:tr>
        <w:trPr>
          <w:trHeight w:val="270"/>
        </w:trPr>
        <w:tc>
          <w:tcPr>
            <w:tcW w:w="8980" w:type="dxa"/>
            <w:vAlign w:val="bottom"/>
          </w:tcPr>
          <w:p>
            <w:pPr>
              <w:ind w:left="180"/>
              <w:spacing w:after="0"/>
              <w:rPr>
                <w:sz w:val="20"/>
                <w:szCs w:val="20"/>
                <w:color w:val="auto"/>
              </w:rPr>
            </w:pPr>
            <w:r>
              <w:rPr>
                <w:rFonts w:ascii="Arial" w:cs="Arial" w:eastAsia="Arial" w:hAnsi="Arial"/>
                <w:sz w:val="16"/>
                <w:szCs w:val="16"/>
                <w:color w:val="auto"/>
              </w:rPr>
              <w:t>Kaplan international</w:t>
            </w:r>
          </w:p>
        </w:tc>
        <w:tc>
          <w:tcPr>
            <w:tcW w:w="28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183,582</w:t>
            </w:r>
          </w:p>
        </w:tc>
        <w:tc>
          <w:tcPr>
            <w:tcW w:w="420" w:type="dxa"/>
            <w:vAlign w:val="bottom"/>
          </w:tcPr>
          <w:p>
            <w:pPr>
              <w:spacing w:after="0"/>
              <w:rPr>
                <w:sz w:val="23"/>
                <w:szCs w:val="23"/>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164,562</w:t>
            </w:r>
          </w:p>
        </w:tc>
      </w:tr>
      <w:tr>
        <w:trPr>
          <w:trHeight w:val="270"/>
        </w:trPr>
        <w:tc>
          <w:tcPr>
            <w:tcW w:w="8980" w:type="dxa"/>
            <w:vAlign w:val="bottom"/>
          </w:tcPr>
          <w:p>
            <w:pPr>
              <w:ind w:left="180"/>
              <w:spacing w:after="0"/>
              <w:rPr>
                <w:sz w:val="20"/>
                <w:szCs w:val="20"/>
                <w:color w:val="auto"/>
              </w:rPr>
            </w:pPr>
            <w:r>
              <w:rPr>
                <w:rFonts w:ascii="Arial" w:cs="Arial" w:eastAsia="Arial" w:hAnsi="Arial"/>
                <w:sz w:val="16"/>
                <w:szCs w:val="16"/>
                <w:color w:val="auto"/>
              </w:rPr>
              <w:t>Kaplan corporate and other</w:t>
            </w:r>
          </w:p>
        </w:tc>
        <w:tc>
          <w:tcPr>
            <w:tcW w:w="28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285</w:t>
            </w:r>
          </w:p>
        </w:tc>
        <w:tc>
          <w:tcPr>
            <w:tcW w:w="420" w:type="dxa"/>
            <w:vAlign w:val="bottom"/>
          </w:tcPr>
          <w:p>
            <w:pPr>
              <w:spacing w:after="0"/>
              <w:rPr>
                <w:sz w:val="23"/>
                <w:szCs w:val="23"/>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14</w:t>
            </w:r>
          </w:p>
        </w:tc>
      </w:tr>
      <w:tr>
        <w:trPr>
          <w:trHeight w:val="283"/>
        </w:trPr>
        <w:tc>
          <w:tcPr>
            <w:tcW w:w="8980" w:type="dxa"/>
            <w:vAlign w:val="bottom"/>
          </w:tcPr>
          <w:p>
            <w:pPr>
              <w:ind w:left="180"/>
              <w:spacing w:after="0"/>
              <w:rPr>
                <w:sz w:val="20"/>
                <w:szCs w:val="20"/>
                <w:color w:val="auto"/>
              </w:rPr>
            </w:pPr>
            <w:r>
              <w:rPr>
                <w:rFonts w:ascii="Arial" w:cs="Arial" w:eastAsia="Arial" w:hAnsi="Arial"/>
                <w:sz w:val="16"/>
                <w:szCs w:val="16"/>
                <w:color w:val="auto"/>
              </w:rPr>
              <w:t>Intersegment elimination</w:t>
            </w: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(705)</w:t>
            </w:r>
          </w:p>
        </w:tc>
        <w:tc>
          <w:tcPr>
            <w:tcW w:w="4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(557)</w:t>
            </w:r>
          </w:p>
        </w:tc>
      </w:tr>
      <w:tr>
        <w:trPr>
          <w:trHeight w:val="251"/>
        </w:trPr>
        <w:tc>
          <w:tcPr>
            <w:tcW w:w="8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375,499</w:t>
            </w:r>
          </w:p>
        </w:tc>
        <w:tc>
          <w:tcPr>
            <w:tcW w:w="420" w:type="dxa"/>
            <w:vAlign w:val="bottom"/>
          </w:tcPr>
          <w:p>
            <w:pPr>
              <w:spacing w:after="0"/>
              <w:rPr>
                <w:sz w:val="21"/>
                <w:szCs w:val="21"/>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372,897</w:t>
            </w:r>
          </w:p>
        </w:tc>
      </w:tr>
      <w:tr>
        <w:trPr>
          <w:trHeight w:val="270"/>
        </w:trPr>
        <w:tc>
          <w:tcPr>
            <w:tcW w:w="8980" w:type="dxa"/>
            <w:vAlign w:val="bottom"/>
          </w:tcPr>
          <w:p>
            <w:pPr>
              <w:ind w:left="40"/>
              <w:spacing w:after="0"/>
              <w:rPr>
                <w:sz w:val="20"/>
                <w:szCs w:val="20"/>
                <w:color w:val="auto"/>
              </w:rPr>
            </w:pPr>
            <w:r>
              <w:rPr>
                <w:rFonts w:ascii="Arial" w:cs="Arial" w:eastAsia="Arial" w:hAnsi="Arial"/>
                <w:sz w:val="16"/>
                <w:szCs w:val="16"/>
                <w:color w:val="auto"/>
              </w:rPr>
              <w:t>Television broadcasting</w:t>
            </w:r>
          </w:p>
        </w:tc>
        <w:tc>
          <w:tcPr>
            <w:tcW w:w="28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108,802</w:t>
            </w:r>
          </w:p>
        </w:tc>
        <w:tc>
          <w:tcPr>
            <w:tcW w:w="420" w:type="dxa"/>
            <w:vAlign w:val="bottom"/>
          </w:tcPr>
          <w:p>
            <w:pPr>
              <w:spacing w:after="0"/>
              <w:rPr>
                <w:sz w:val="23"/>
                <w:szCs w:val="23"/>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91,496</w:t>
            </w:r>
          </w:p>
        </w:tc>
      </w:tr>
      <w:tr>
        <w:trPr>
          <w:trHeight w:val="270"/>
        </w:trPr>
        <w:tc>
          <w:tcPr>
            <w:tcW w:w="8980" w:type="dxa"/>
            <w:vAlign w:val="bottom"/>
          </w:tcPr>
          <w:p>
            <w:pPr>
              <w:ind w:left="40"/>
              <w:spacing w:after="0"/>
              <w:rPr>
                <w:sz w:val="20"/>
                <w:szCs w:val="20"/>
                <w:color w:val="auto"/>
              </w:rPr>
            </w:pPr>
            <w:r>
              <w:rPr>
                <w:rFonts w:ascii="Arial" w:cs="Arial" w:eastAsia="Arial" w:hAnsi="Arial"/>
                <w:sz w:val="16"/>
                <w:szCs w:val="16"/>
                <w:color w:val="auto"/>
              </w:rPr>
              <w:t>Manufacturing</w:t>
            </w:r>
          </w:p>
        </w:tc>
        <w:tc>
          <w:tcPr>
            <w:tcW w:w="28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117,406</w:t>
            </w:r>
          </w:p>
        </w:tc>
        <w:tc>
          <w:tcPr>
            <w:tcW w:w="420" w:type="dxa"/>
            <w:vAlign w:val="bottom"/>
          </w:tcPr>
          <w:p>
            <w:pPr>
              <w:spacing w:after="0"/>
              <w:rPr>
                <w:sz w:val="23"/>
                <w:szCs w:val="23"/>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61,898</w:t>
            </w:r>
          </w:p>
        </w:tc>
      </w:tr>
      <w:tr>
        <w:trPr>
          <w:trHeight w:val="270"/>
        </w:trPr>
        <w:tc>
          <w:tcPr>
            <w:tcW w:w="8980" w:type="dxa"/>
            <w:vAlign w:val="bottom"/>
          </w:tcPr>
          <w:p>
            <w:pPr>
              <w:ind w:left="40"/>
              <w:spacing w:after="0"/>
              <w:rPr>
                <w:sz w:val="20"/>
                <w:szCs w:val="20"/>
                <w:color w:val="auto"/>
              </w:rPr>
            </w:pPr>
            <w:r>
              <w:rPr>
                <w:rFonts w:ascii="Arial" w:cs="Arial" w:eastAsia="Arial" w:hAnsi="Arial"/>
                <w:sz w:val="16"/>
                <w:szCs w:val="16"/>
                <w:color w:val="auto"/>
              </w:rPr>
              <w:t>Healthcare</w:t>
            </w:r>
          </w:p>
        </w:tc>
        <w:tc>
          <w:tcPr>
            <w:tcW w:w="28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37,621</w:t>
            </w:r>
          </w:p>
        </w:tc>
        <w:tc>
          <w:tcPr>
            <w:tcW w:w="420" w:type="dxa"/>
            <w:vAlign w:val="bottom"/>
          </w:tcPr>
          <w:p>
            <w:pPr>
              <w:spacing w:after="0"/>
              <w:rPr>
                <w:sz w:val="23"/>
                <w:szCs w:val="23"/>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36,899</w:t>
            </w:r>
          </w:p>
        </w:tc>
      </w:tr>
      <w:tr>
        <w:trPr>
          <w:trHeight w:val="270"/>
        </w:trPr>
        <w:tc>
          <w:tcPr>
            <w:tcW w:w="8980" w:type="dxa"/>
            <w:vAlign w:val="bottom"/>
          </w:tcPr>
          <w:p>
            <w:pPr>
              <w:ind w:left="40"/>
              <w:spacing w:after="0"/>
              <w:rPr>
                <w:sz w:val="20"/>
                <w:szCs w:val="20"/>
                <w:color w:val="auto"/>
              </w:rPr>
            </w:pPr>
            <w:r>
              <w:rPr>
                <w:rFonts w:ascii="Arial" w:cs="Arial" w:eastAsia="Arial" w:hAnsi="Arial"/>
                <w:sz w:val="16"/>
                <w:szCs w:val="16"/>
                <w:color w:val="auto"/>
              </w:rPr>
              <w:t>SocialCode</w:t>
            </w:r>
          </w:p>
        </w:tc>
        <w:tc>
          <w:tcPr>
            <w:tcW w:w="28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13,299</w:t>
            </w:r>
          </w:p>
        </w:tc>
        <w:tc>
          <w:tcPr>
            <w:tcW w:w="420" w:type="dxa"/>
            <w:vAlign w:val="bottom"/>
          </w:tcPr>
          <w:p>
            <w:pPr>
              <w:spacing w:after="0"/>
              <w:rPr>
                <w:sz w:val="23"/>
                <w:szCs w:val="23"/>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12,574</w:t>
            </w:r>
          </w:p>
        </w:tc>
      </w:tr>
      <w:tr>
        <w:trPr>
          <w:trHeight w:val="270"/>
        </w:trPr>
        <w:tc>
          <w:tcPr>
            <w:tcW w:w="8980" w:type="dxa"/>
            <w:vAlign w:val="bottom"/>
          </w:tcPr>
          <w:p>
            <w:pPr>
              <w:ind w:left="40"/>
              <w:spacing w:after="0"/>
              <w:rPr>
                <w:sz w:val="20"/>
                <w:szCs w:val="20"/>
                <w:color w:val="auto"/>
              </w:rPr>
            </w:pPr>
            <w:r>
              <w:rPr>
                <w:rFonts w:ascii="Arial" w:cs="Arial" w:eastAsia="Arial" w:hAnsi="Arial"/>
                <w:sz w:val="16"/>
                <w:szCs w:val="16"/>
                <w:color w:val="auto"/>
              </w:rPr>
              <w:t>Other</w:t>
            </w:r>
          </w:p>
        </w:tc>
        <w:tc>
          <w:tcPr>
            <w:tcW w:w="28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6,833</w:t>
            </w:r>
          </w:p>
        </w:tc>
        <w:tc>
          <w:tcPr>
            <w:tcW w:w="420" w:type="dxa"/>
            <w:vAlign w:val="bottom"/>
          </w:tcPr>
          <w:p>
            <w:pPr>
              <w:spacing w:after="0"/>
              <w:rPr>
                <w:sz w:val="23"/>
                <w:szCs w:val="23"/>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6,953</w:t>
            </w:r>
          </w:p>
        </w:tc>
      </w:tr>
      <w:tr>
        <w:trPr>
          <w:trHeight w:val="283"/>
        </w:trPr>
        <w:tc>
          <w:tcPr>
            <w:tcW w:w="8980" w:type="dxa"/>
            <w:vAlign w:val="bottom"/>
          </w:tcPr>
          <w:p>
            <w:pPr>
              <w:ind w:left="40"/>
              <w:spacing w:after="0"/>
              <w:rPr>
                <w:sz w:val="20"/>
                <w:szCs w:val="20"/>
                <w:color w:val="auto"/>
              </w:rPr>
            </w:pPr>
            <w:r>
              <w:rPr>
                <w:rFonts w:ascii="Arial" w:cs="Arial" w:eastAsia="Arial" w:hAnsi="Arial"/>
                <w:sz w:val="16"/>
                <w:szCs w:val="16"/>
                <w:color w:val="auto"/>
              </w:rPr>
              <w:t>Intersegment elimination</w:t>
            </w: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(24)</w:t>
            </w:r>
          </w:p>
        </w:tc>
        <w:tc>
          <w:tcPr>
            <w:tcW w:w="4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r>
      <w:tr>
        <w:trPr>
          <w:trHeight w:val="267"/>
        </w:trPr>
        <w:tc>
          <w:tcPr>
            <w:tcW w:w="8980" w:type="dxa"/>
            <w:vAlign w:val="bottom"/>
          </w:tcPr>
          <w:p>
            <w:pPr>
              <w:ind w:left="40"/>
              <w:spacing w:after="0"/>
              <w:rPr>
                <w:sz w:val="20"/>
                <w:szCs w:val="20"/>
                <w:color w:val="auto"/>
              </w:rPr>
            </w:pPr>
            <w:r>
              <w:rPr>
                <w:rFonts w:ascii="Arial" w:cs="Arial" w:eastAsia="Arial" w:hAnsi="Arial"/>
                <w:sz w:val="16"/>
                <w:szCs w:val="16"/>
                <w:b w:val="1"/>
                <w:bCs w:val="1"/>
                <w:color w:val="auto"/>
              </w:rPr>
              <w:t>Total Revenue</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659,436</w:t>
            </w:r>
          </w:p>
        </w:tc>
        <w:tc>
          <w:tcPr>
            <w:tcW w:w="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582,717</w:t>
            </w:r>
          </w:p>
        </w:tc>
      </w:tr>
      <w:tr>
        <w:trPr>
          <w:trHeight w:val="20"/>
        </w:trPr>
        <w:tc>
          <w:tcPr>
            <w:tcW w:w="8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Company generated 74% of its revenues from U.S. domestic sales and 26% from non-U.S. sales.</w:t>
      </w:r>
    </w:p>
    <w:p>
      <w:pPr>
        <w:spacing w:after="0" w:line="15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the first quarter of 2018, the Company recognized 81% of its revenues over time as control of the services and goods transferred to the customer. The remaining 19% of revenues were recognized at a point in time, when the customer obtained control of the promised goods. The determination of the method by which the Company measures its progress towards the satisfaction of its performance obligations requires judgment and is described below for each revenue stream.</w:t>
      </w:r>
    </w:p>
    <w:p>
      <w:pPr>
        <w:sectPr>
          <w:pgSz w:w="11900" w:h="16838" w:orient="portrait"/>
          <w:cols w:equalWidth="0" w:num="1">
            <w:col w:w="11380"/>
          </w:cols>
          <w:pgMar w:left="240" w:top="908" w:right="279" w:bottom="1440" w:gutter="0" w:footer="0" w:header="0"/>
        </w:sectPr>
      </w:pPr>
    </w:p>
    <w:p>
      <w:pPr>
        <w:spacing w:after="0" w:line="35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380"/>
          </w:cols>
          <w:pgMar w:left="240" w:top="908" w:right="279" w:bottom="1440" w:gutter="0" w:footer="0" w:header="0"/>
          <w:type w:val="continuous"/>
        </w:sectPr>
      </w:pPr>
    </w:p>
    <w:bookmarkStart w:id="17" w:name="page18"/>
    <w:bookmarkEnd w:id="17"/>
    <w:p>
      <w:pPr>
        <w:ind w:right="220"/>
        <w:spacing w:after="0" w:line="256" w:lineRule="auto"/>
        <w:rPr>
          <w:sz w:val="20"/>
          <w:szCs w:val="20"/>
          <w:color w:val="auto"/>
        </w:rPr>
      </w:pPr>
      <w:r>
        <w:rPr>
          <w:rFonts w:ascii="Arial" w:cs="Arial" w:eastAsia="Arial" w:hAnsi="Arial"/>
          <w:sz w:val="18"/>
          <w:szCs w:val="18"/>
          <w:color w:val="auto"/>
        </w:rPr>
        <w:t>The Company identifies a contract for revenue recognition when there is approval and commitment from both parties, the rights of the parties and payment terms are identified, the contract has commercial substance and the collectability of consideration is probable. The Company evaluates each contract to determine the number of distinct performance obligations in the contract, which requires the use of judgment.</w:t>
      </w:r>
    </w:p>
    <w:p>
      <w:pPr>
        <w:spacing w:after="0" w:line="99"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color w:val="auto"/>
        </w:rPr>
        <w:t xml:space="preserve">Education Revenues. </w:t>
      </w:r>
      <w:r>
        <w:rPr>
          <w:rFonts w:ascii="Arial" w:cs="Arial" w:eastAsia="Arial" w:hAnsi="Arial"/>
          <w:sz w:val="18"/>
          <w:szCs w:val="18"/>
          <w:color w:val="auto"/>
        </w:rPr>
        <w:t>Education revenue is primarily derived from postsecondary education services, professional education and test</w:t>
      </w:r>
      <w:r>
        <w:rPr>
          <w:rFonts w:ascii="Arial" w:cs="Arial" w:eastAsia="Arial" w:hAnsi="Arial"/>
          <w:sz w:val="18"/>
          <w:szCs w:val="18"/>
          <w:b w:val="1"/>
          <w:bCs w:val="1"/>
          <w:color w:val="auto"/>
        </w:rPr>
        <w:t xml:space="preserve"> </w:t>
      </w:r>
      <w:r>
        <w:rPr>
          <w:rFonts w:ascii="Arial" w:cs="Arial" w:eastAsia="Arial" w:hAnsi="Arial"/>
          <w:sz w:val="18"/>
          <w:szCs w:val="18"/>
          <w:color w:val="auto"/>
        </w:rPr>
        <w:t>preparation services provided both domestically and abroad. Generally tuition and other fees are paid upfront and recorded in deferred revenue in advance of the date when education services are provided to the student. In some instances, installment billing is available to students which reduces the amount of cash consideration received in advance of performing the service. The contractual terms and conditions associated with installment billing indicate that the student is liable for the total contract price, therefore mitigating the Company's exposure to losses associated with nonpayment. The Company determined the installment billing does not represent a significant financing component.</w:t>
      </w:r>
    </w:p>
    <w:p>
      <w:pPr>
        <w:spacing w:after="0" w:line="106" w:lineRule="exact"/>
        <w:rPr>
          <w:sz w:val="20"/>
          <w:szCs w:val="20"/>
          <w:color w:val="auto"/>
        </w:rPr>
      </w:pPr>
    </w:p>
    <w:p>
      <w:pPr>
        <w:spacing w:after="0" w:line="261" w:lineRule="auto"/>
        <w:rPr>
          <w:sz w:val="20"/>
          <w:szCs w:val="20"/>
          <w:color w:val="auto"/>
        </w:rPr>
      </w:pPr>
      <w:r>
        <w:rPr>
          <w:rFonts w:ascii="Arial" w:cs="Arial" w:eastAsia="Arial" w:hAnsi="Arial"/>
          <w:sz w:val="18"/>
          <w:szCs w:val="18"/>
          <w:i w:val="1"/>
          <w:iCs w:val="1"/>
          <w:color w:val="auto"/>
        </w:rPr>
        <w:t>Higher Education (KHE)</w:t>
      </w:r>
      <w:r>
        <w:rPr>
          <w:rFonts w:ascii="Arial" w:cs="Arial" w:eastAsia="Arial" w:hAnsi="Arial"/>
          <w:sz w:val="18"/>
          <w:szCs w:val="18"/>
          <w:color w:val="auto"/>
        </w:rPr>
        <w:t>. In the first quarter of 2018, KHE provided postsecondary education services to students through KU's online programs</w:t>
      </w:r>
      <w:r>
        <w:rPr>
          <w:rFonts w:ascii="Arial" w:cs="Arial" w:eastAsia="Arial" w:hAnsi="Arial"/>
          <w:sz w:val="18"/>
          <w:szCs w:val="18"/>
          <w:i w:val="1"/>
          <w:iCs w:val="1"/>
          <w:color w:val="auto"/>
        </w:rPr>
        <w:t xml:space="preserve"> </w:t>
      </w:r>
      <w:r>
        <w:rPr>
          <w:rFonts w:ascii="Arial" w:cs="Arial" w:eastAsia="Arial" w:hAnsi="Arial"/>
          <w:sz w:val="18"/>
          <w:szCs w:val="18"/>
          <w:color w:val="auto"/>
        </w:rPr>
        <w:t>and fixed-facility colleges. On March 22, 2018, Kaplan contributed the institutional assets and operations of KU to Purdue University Global (see Note 2). Subsequent to the transaction, KHE provides non-academic operations support services to Purdue University Global pursuant to the TOSA.</w:t>
      </w:r>
    </w:p>
    <w:p>
      <w:pPr>
        <w:spacing w:after="0" w:line="11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Higher education contracts consist either of one performance obligation that is a combination of distinct promises to a student, or two performance obligations if the student also enrolls in the Kaplan Tuition Cap. The Kaplan Tuition Cap establishes a maximum amount of tuition that KHE may charge students for higher education services. This effectively offers the student a discount on future higher education services, if exercised, and is accounted for as a material right. The transaction price of a higher education contract is stated in the contract and known at the time of contract inception, therefore no variable consideration exists. A portion of the transaction price is allocated to the material right, if applicable, based on the expected value method.</w:t>
      </w:r>
    </w:p>
    <w:p>
      <w:pPr>
        <w:spacing w:after="0" w:line="128"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Higher education services revenue is recognized ratably over the instruction period. The Company generally uses the time elapsed method, an input measure, as it best depicts the simultaneous consumption and delivery of higher education services.</w:t>
      </w:r>
    </w:p>
    <w:p>
      <w:pPr>
        <w:spacing w:after="0" w:line="115"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KHE provides first-time undergraduate students with a risk-free trial period through the Kaplan Commitment. The Company defers recognizing revenue related to services provided during the Kaplan Commitment timeframe as KHE does not have an enforceable right to payment during the trial period and therefore a valid contract does not exist.</w:t>
      </w:r>
    </w:p>
    <w:p>
      <w:pPr>
        <w:spacing w:after="0" w:line="121"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KHE’s refund policy may permit students who do not complete a course to be eligible for a refund for the portion of the course they did not attend. The amount of the refund differs by school, program and state, as some states require different policies. Refunds generally result in a reduction of deferred revenue during the period that the student drops or withdraws from a class.</w:t>
      </w:r>
    </w:p>
    <w:p>
      <w:pPr>
        <w:spacing w:after="0" w:line="10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Kaplan Professional (U.S.) (KP): </w:t>
      </w:r>
      <w:r>
        <w:rPr>
          <w:rFonts w:ascii="Arial" w:cs="Arial" w:eastAsia="Arial" w:hAnsi="Arial"/>
          <w:sz w:val="18"/>
          <w:szCs w:val="18"/>
          <w:color w:val="auto"/>
        </w:rPr>
        <w:t>KP provides professional training and exam preparation for professional certifications and licensures to</w:t>
      </w:r>
      <w:r>
        <w:rPr>
          <w:rFonts w:ascii="Arial" w:cs="Arial" w:eastAsia="Arial" w:hAnsi="Arial"/>
          <w:sz w:val="18"/>
          <w:szCs w:val="18"/>
          <w:i w:val="1"/>
          <w:iCs w:val="1"/>
          <w:color w:val="auto"/>
        </w:rPr>
        <w:t xml:space="preserve"> </w:t>
      </w:r>
      <w:r>
        <w:rPr>
          <w:rFonts w:ascii="Arial" w:cs="Arial" w:eastAsia="Arial" w:hAnsi="Arial"/>
          <w:sz w:val="18"/>
          <w:szCs w:val="18"/>
          <w:color w:val="auto"/>
        </w:rPr>
        <w:t>students. KP contracts include promises for professional education services and course materials. Generally KP revenue contracts consist of multiple performance obligations as each distinct promise is both capable of being distinct and distinct in the context of the contract. The transaction price is stated in the contract and known at the time of contract inception, therefore no variable consideration exists. Revenue is allocated to each performance obligation based on its standalone selling price. KP generally determines standalone selling prices based on the prices charged to students. Any discounts within the contract are allocated across all performance obligations unless observable evidence exists that the discount relates to a specific performance obligation or obligations in the contract.</w:t>
      </w:r>
    </w:p>
    <w:p>
      <w:pPr>
        <w:spacing w:after="0" w:line="12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Professional education services revenue is recognized ratably over the period of access. KP generally uses the time elapsed method, an input measure, as it best depicts the simultaneous consumption and availability of access to professional education services. Revenue associated with distinct course materials is recognized at the point in time when control transfers to the student, generally when the products are delivered to the student.</w:t>
      </w:r>
    </w:p>
    <w:p>
      <w:pPr>
        <w:spacing w:after="0" w:line="105" w:lineRule="exact"/>
        <w:rPr>
          <w:sz w:val="20"/>
          <w:szCs w:val="20"/>
          <w:color w:val="auto"/>
        </w:rPr>
      </w:pPr>
    </w:p>
    <w:p>
      <w:pPr>
        <w:spacing w:after="0" w:line="258" w:lineRule="auto"/>
        <w:rPr>
          <w:sz w:val="20"/>
          <w:szCs w:val="20"/>
          <w:color w:val="auto"/>
        </w:rPr>
      </w:pPr>
      <w:r>
        <w:rPr>
          <w:rFonts w:ascii="Arial" w:cs="Arial" w:eastAsia="Arial" w:hAnsi="Arial"/>
          <w:sz w:val="18"/>
          <w:szCs w:val="18"/>
          <w:i w:val="1"/>
          <w:iCs w:val="1"/>
          <w:color w:val="auto"/>
        </w:rPr>
        <w:t>Kaplan Test Preparation (KTP)</w:t>
      </w:r>
      <w:r>
        <w:rPr>
          <w:rFonts w:ascii="Arial" w:cs="Arial" w:eastAsia="Arial" w:hAnsi="Arial"/>
          <w:sz w:val="18"/>
          <w:szCs w:val="18"/>
          <w:color w:val="auto"/>
        </w:rPr>
        <w:t>. KTP offers test preparation services and materials to students related to pre-college, graduate, health and bar</w:t>
      </w:r>
      <w:r>
        <w:rPr>
          <w:rFonts w:ascii="Arial" w:cs="Arial" w:eastAsia="Arial" w:hAnsi="Arial"/>
          <w:sz w:val="18"/>
          <w:szCs w:val="18"/>
          <w:i w:val="1"/>
          <w:iCs w:val="1"/>
          <w:color w:val="auto"/>
        </w:rPr>
        <w:t xml:space="preserve"> </w:t>
      </w:r>
      <w:r>
        <w:rPr>
          <w:rFonts w:ascii="Arial" w:cs="Arial" w:eastAsia="Arial" w:hAnsi="Arial"/>
          <w:sz w:val="18"/>
          <w:szCs w:val="18"/>
          <w:color w:val="auto"/>
        </w:rPr>
        <w:t>review products. Generally KTP contracts include promises for test preparation services and course materials. As each promise is both capable of being distinct and distinct in the context of the contract, each promise is accounted for as a separate performance obligation. As the transaction price is stated in the contract and known at the time of contract inception, no variable consideration exists. Revenue is allocated to each performance obligation based on its standalone selling price. KTP generally determines standalone selling</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733" w:right="239" w:bottom="1440" w:gutter="0" w:footer="0" w:header="0"/>
        </w:sectPr>
      </w:pPr>
    </w:p>
    <w:bookmarkStart w:id="18" w:name="page19"/>
    <w:bookmarkEnd w:id="18"/>
    <w:p>
      <w:pPr>
        <w:ind w:right="820"/>
        <w:spacing w:after="0" w:line="262" w:lineRule="auto"/>
        <w:rPr>
          <w:sz w:val="20"/>
          <w:szCs w:val="20"/>
          <w:color w:val="auto"/>
        </w:rPr>
      </w:pPr>
      <w:r>
        <w:rPr>
          <w:rFonts w:ascii="Arial" w:cs="Arial" w:eastAsia="Arial" w:hAnsi="Arial"/>
          <w:sz w:val="18"/>
          <w:szCs w:val="18"/>
          <w:color w:val="auto"/>
        </w:rPr>
        <w:t>prices based on prices charged to students. Any discounts within the contract are allocated across all performance obligations unless observable evidence exists that the discount relates to a specific performance obligation or obligations in the contract.</w:t>
      </w:r>
    </w:p>
    <w:p>
      <w:pPr>
        <w:spacing w:after="0" w:line="115" w:lineRule="exact"/>
        <w:rPr>
          <w:sz w:val="20"/>
          <w:szCs w:val="20"/>
          <w:color w:val="auto"/>
        </w:rPr>
      </w:pPr>
    </w:p>
    <w:p>
      <w:pPr>
        <w:jc w:val="both"/>
        <w:ind w:right="80"/>
        <w:spacing w:after="0" w:line="253" w:lineRule="auto"/>
        <w:rPr>
          <w:sz w:val="20"/>
          <w:szCs w:val="20"/>
          <w:color w:val="auto"/>
        </w:rPr>
      </w:pPr>
      <w:r>
        <w:rPr>
          <w:rFonts w:ascii="Arial" w:cs="Arial" w:eastAsia="Arial" w:hAnsi="Arial"/>
          <w:sz w:val="18"/>
          <w:szCs w:val="18"/>
          <w:color w:val="auto"/>
        </w:rPr>
        <w:t>Test preparation services revenue is recognized ratably over the period of access. At KTP, an estimate of average access period is developed for each course, and this estimate is evaluated on an ongoing basis and adjusted as necessary. KTP generally uses the time elapsed method, an input measure, as it best depicts the simultaneous consumption and availability of access to test preparation services. Revenue associated with distinct course materials is recognized at the point in time when control transfers to the student, generally when the products are delivered to the student.</w:t>
      </w:r>
    </w:p>
    <w:p>
      <w:pPr>
        <w:spacing w:after="0" w:line="124"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KTP offers a guarantee on certain courses that gives students the ability to repeat a course if they are not satisfied with their exam score. The Company accounts for this guarantee as a separate performance obligation.</w:t>
      </w:r>
    </w:p>
    <w:p>
      <w:pPr>
        <w:spacing w:after="0" w:line="115"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Revenue allocated to remaining performance obligations represents deferred revenue amounts that will be recognized as revenue in future periods. As of March 31, 2018, KTP’s deferred revenue balance related to certain medical and nursing qualifications with an original contract length greater than twelve months was $7.0 million. KTP expects to recognize 80% of this revenue over the next twelve months and the remainder thereafter.</w:t>
      </w:r>
    </w:p>
    <w:p>
      <w:pPr>
        <w:spacing w:after="0" w:line="105" w:lineRule="exact"/>
        <w:rPr>
          <w:sz w:val="20"/>
          <w:szCs w:val="20"/>
          <w:color w:val="auto"/>
        </w:rPr>
      </w:pPr>
    </w:p>
    <w:p>
      <w:pPr>
        <w:ind w:right="320"/>
        <w:spacing w:after="0" w:line="258" w:lineRule="auto"/>
        <w:rPr>
          <w:sz w:val="20"/>
          <w:szCs w:val="20"/>
          <w:color w:val="auto"/>
        </w:rPr>
      </w:pPr>
      <w:r>
        <w:rPr>
          <w:rFonts w:ascii="Arial" w:cs="Arial" w:eastAsia="Arial" w:hAnsi="Arial"/>
          <w:sz w:val="18"/>
          <w:szCs w:val="18"/>
          <w:i w:val="1"/>
          <w:iCs w:val="1"/>
          <w:color w:val="auto"/>
        </w:rPr>
        <w:t>Kaplan International (KI)</w:t>
      </w:r>
      <w:r>
        <w:rPr>
          <w:rFonts w:ascii="Arial" w:cs="Arial" w:eastAsia="Arial" w:hAnsi="Arial"/>
          <w:sz w:val="18"/>
          <w:szCs w:val="18"/>
          <w:color w:val="auto"/>
        </w:rPr>
        <w:t>. KI provides higher education, professional education, and test preparation services and materials to students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in the United Kingdom, Singapore, and Australia. Some KI contracts consist of one performance obligation that is a combination of indistinct promises to the student while other KI contracts include multiple performance obligations as the promises in the contract are both capable of being distinct and distinct within the context of the contract. One KI business offers an option whereby students receive future services at a discount that is accounted for as a material right.</w:t>
      </w:r>
    </w:p>
    <w:p>
      <w:pPr>
        <w:spacing w:after="0" w:line="121"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 transaction price is stated in the contract and known at the time of contract inception, therefore no variable consideration exists. Revenue is allocated to each performance obligation based on its standalone selling price. Any discounts within the contract are allocated across all performance obligations unless observable evidence exists that the discount relates to a specific performance obligation or obligations in the contract. KI generally determines standalone selling prices based on prices charged to students.</w:t>
      </w:r>
    </w:p>
    <w:p>
      <w:pPr>
        <w:spacing w:after="0" w:line="12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Revenue is recognized ratably over the instruction period or access period for higher education, professional education and test preparation services. KI generally uses the time elapsed method, an input measure, as it best depicts the simultaneous consumption and delivery of these services. Course materials determined to be a separate performance obligation are recognized at the point in time when control transfers to the student, generally when the products are delivered to the student.</w:t>
      </w:r>
    </w:p>
    <w:p>
      <w:pPr>
        <w:spacing w:after="0" w:line="101"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color w:val="auto"/>
        </w:rPr>
        <w:t xml:space="preserve">Television Broadcasting Revenues. </w:t>
      </w:r>
      <w:r>
        <w:rPr>
          <w:rFonts w:ascii="Arial" w:cs="Arial" w:eastAsia="Arial" w:hAnsi="Arial"/>
          <w:sz w:val="18"/>
          <w:szCs w:val="18"/>
          <w:color w:val="auto"/>
        </w:rPr>
        <w:t>Television broadcasting revenues at Graham Media Group (GMG) are primarily comprised of television</w:t>
      </w:r>
      <w:r>
        <w:rPr>
          <w:rFonts w:ascii="Arial" w:cs="Arial" w:eastAsia="Arial" w:hAnsi="Arial"/>
          <w:sz w:val="18"/>
          <w:szCs w:val="18"/>
          <w:b w:val="1"/>
          <w:bCs w:val="1"/>
          <w:color w:val="auto"/>
        </w:rPr>
        <w:t xml:space="preserve"> </w:t>
      </w:r>
      <w:r>
        <w:rPr>
          <w:rFonts w:ascii="Arial" w:cs="Arial" w:eastAsia="Arial" w:hAnsi="Arial"/>
          <w:sz w:val="18"/>
          <w:szCs w:val="18"/>
          <w:color w:val="auto"/>
        </w:rPr>
        <w:t>and internet advertising revenues, and retransmission revenues.</w:t>
      </w:r>
    </w:p>
    <w:p>
      <w:pPr>
        <w:spacing w:after="0" w:line="76"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Television Advertising Revenues</w:t>
      </w:r>
      <w:r>
        <w:rPr>
          <w:rFonts w:ascii="Arial" w:cs="Arial" w:eastAsia="Arial" w:hAnsi="Arial"/>
          <w:sz w:val="18"/>
          <w:szCs w:val="18"/>
          <w:color w:val="auto"/>
        </w:rPr>
        <w:t>. GMG accounts for the series of advertisements included in television advertising contracts as one</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obligation. GMG recognizes advertising revenue, net of agency commissions, over time. The Company elected the right to invoice practical expedient, an output method, as GMG has the right to consideration that equals the value provided to the customer for advertisements delivered to date. As a result of the election to use the right to invoice practical expedient, GMG does not determine the transaction price or allocate any variable consideration at contract inception. Rather, GMG recognizes revenue commensurate with the amount to which GMG has the right to invoice the customer. Payment is typically received in arrears within sixty days of revenue recognition.</w:t>
      </w:r>
    </w:p>
    <w:p>
      <w:pPr>
        <w:spacing w:after="0" w:line="102"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Retransmission Revenues</w:t>
      </w:r>
      <w:r>
        <w:rPr>
          <w:rFonts w:ascii="Arial" w:cs="Arial" w:eastAsia="Arial" w:hAnsi="Arial"/>
          <w:sz w:val="18"/>
          <w:szCs w:val="18"/>
          <w:color w:val="auto"/>
        </w:rPr>
        <w:t>. Retransmission revenue represents compensation paid by cable, satellite and other multichannel video</w:t>
      </w:r>
      <w:r>
        <w:rPr>
          <w:rFonts w:ascii="Arial" w:cs="Arial" w:eastAsia="Arial" w:hAnsi="Arial"/>
          <w:sz w:val="18"/>
          <w:szCs w:val="18"/>
          <w:i w:val="1"/>
          <w:iCs w:val="1"/>
          <w:color w:val="auto"/>
        </w:rPr>
        <w:t xml:space="preserve"> </w:t>
      </w:r>
      <w:r>
        <w:rPr>
          <w:rFonts w:ascii="Arial" w:cs="Arial" w:eastAsia="Arial" w:hAnsi="Arial"/>
          <w:sz w:val="18"/>
          <w:szCs w:val="18"/>
          <w:color w:val="auto"/>
        </w:rPr>
        <w:t>programming distributors (MVPDs) to retransmit GMG’s stations’ broadcasts in its designated market area. The retransmission rights granted to MVPDs are accounted for as a license of functional intellectual property as the retransmitted broadcast provides significant standalone functionality. As such, each retransmission contract with an MVPD includes one performance obligation for each station’s retransmission license. GMG recognizes revenue using the usage-based royalty method in which revenue is recognized in the month the broadcast is retransmitted based on the number of MVPD subscribers and the applicable per user rate identified in the retransmission contract. Payment is typically received in arrears within sixty days of revenue recognition.</w:t>
      </w:r>
    </w:p>
    <w:p>
      <w:pPr>
        <w:spacing w:after="0" w:line="104" w:lineRule="exact"/>
        <w:rPr>
          <w:sz w:val="20"/>
          <w:szCs w:val="20"/>
          <w:color w:val="auto"/>
        </w:rPr>
      </w:pPr>
    </w:p>
    <w:p>
      <w:pPr>
        <w:jc w:val="both"/>
        <w:ind w:right="320"/>
        <w:spacing w:after="0" w:line="269" w:lineRule="auto"/>
        <w:rPr>
          <w:sz w:val="20"/>
          <w:szCs w:val="20"/>
          <w:color w:val="auto"/>
        </w:rPr>
      </w:pPr>
      <w:r>
        <w:rPr>
          <w:rFonts w:ascii="Arial" w:cs="Arial" w:eastAsia="Arial" w:hAnsi="Arial"/>
          <w:sz w:val="18"/>
          <w:szCs w:val="18"/>
          <w:b w:val="1"/>
          <w:bCs w:val="1"/>
          <w:color w:val="auto"/>
        </w:rPr>
        <w:t xml:space="preserve">Manufacturing Revenues. </w:t>
      </w:r>
      <w:r>
        <w:rPr>
          <w:rFonts w:ascii="Arial" w:cs="Arial" w:eastAsia="Arial" w:hAnsi="Arial"/>
          <w:sz w:val="18"/>
          <w:szCs w:val="18"/>
          <w:color w:val="auto"/>
        </w:rPr>
        <w:t>Manufacturing revenue consists primarily of product sales generated by four businesses: Hoover, Dekko, Joyce</w:t>
      </w:r>
      <w:r>
        <w:rPr>
          <w:rFonts w:ascii="Arial" w:cs="Arial" w:eastAsia="Arial" w:hAnsi="Arial"/>
          <w:sz w:val="18"/>
          <w:szCs w:val="18"/>
          <w:b w:val="1"/>
          <w:bCs w:val="1"/>
          <w:color w:val="auto"/>
        </w:rPr>
        <w:t xml:space="preserve"> </w:t>
      </w:r>
      <w:r>
        <w:rPr>
          <w:rFonts w:ascii="Arial" w:cs="Arial" w:eastAsia="Arial" w:hAnsi="Arial"/>
          <w:sz w:val="18"/>
          <w:szCs w:val="18"/>
          <w:color w:val="auto"/>
        </w:rPr>
        <w:t>and Forney. The Company has determined that each item ordered by the customer is a distinct performance obligation as it has standalone value and is distinct within the context of the c</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733" w:right="239" w:bottom="1440" w:gutter="0" w:footer="0" w:header="0"/>
        </w:sectPr>
      </w:pPr>
    </w:p>
    <w:bookmarkStart w:id="19" w:name="page20"/>
    <w:bookmarkEnd w:id="19"/>
    <w:p>
      <w:pPr>
        <w:ind w:right="100"/>
        <w:spacing w:after="0" w:line="254" w:lineRule="auto"/>
        <w:rPr>
          <w:sz w:val="20"/>
          <w:szCs w:val="20"/>
          <w:color w:val="auto"/>
        </w:rPr>
      </w:pPr>
      <w:r>
        <w:rPr>
          <w:rFonts w:ascii="Arial" w:cs="Arial" w:eastAsia="Arial" w:hAnsi="Arial"/>
          <w:sz w:val="18"/>
          <w:szCs w:val="18"/>
          <w:color w:val="auto"/>
        </w:rPr>
        <w:t>ontract. For arrangements with multiple performance obligations, the Company initially allocates the transaction price to each obligation based on its standalone selling price, which is the retail price charged to customers. Any discounts within the contract are allocated across all performance obligations unless observable evidence exists that the discount relates to a specific performance obligation or obligations in the contract.</w:t>
      </w:r>
    </w:p>
    <w:p>
      <w:pPr>
        <w:spacing w:after="0" w:line="123"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The Company sells some products and services with a right of return. This right of return constitutes variable consideration and is constrained from revenue recognition on a portfolio basis, using the expected value method until the refund period expires.</w:t>
      </w:r>
    </w:p>
    <w:p>
      <w:pPr>
        <w:spacing w:after="0" w:line="11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Company recognizes revenue when or as control transfers to the customer. Some manufacturing revenues are recognized ratably over the manufacturing period, if the product created for the customer does not have an alternative use to the Company and the Company has an enforceable right to payment for performance completed to date. The determination of the method by which the Company measures its progress towards the satisfaction of its performance obligations requires judgment. The Company measures its progress for these products using the units delivered method, an output measure. These arrangements represented 29% of the manufacturing revenues recognized in the first quarter of 2018.</w:t>
      </w:r>
    </w:p>
    <w:p>
      <w:pPr>
        <w:spacing w:after="0" w:line="128"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Other manufacturing revenues are recognized at the point in time when control transfers to the customer, generally when the products are shipped. Some customers have a bill and hold arrangement with the Company. Revenue for bill and hold arrangements is recognized when control transfers to the customer, even though the customer does not have physical possession of the goods. Control transfers when the bill-and-hold arrangement has been requested from the customer, the product is identified as belonging to the customer and is ready for physical transfer, and the product cannot be directed for use by anyone but the customer.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Payment terms and conditions vary by contract, although terms generally include a requirement of payment within ninety days of delivery.</w:t>
      </w:r>
    </w:p>
    <w:p>
      <w:pPr>
        <w:spacing w:after="0" w:line="144"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Company evaluated the terms of the warranties and guarantees offered by its manufacturing businesses and determined that these should not be accounted for as a separate performance obligation as a distinct service is not identified.</w:t>
      </w:r>
    </w:p>
    <w:p>
      <w:pPr>
        <w:spacing w:after="0" w:line="93"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b w:val="1"/>
          <w:bCs w:val="1"/>
          <w:color w:val="auto"/>
        </w:rPr>
        <w:t xml:space="preserve">Healthcare Revenues. </w:t>
      </w:r>
      <w:r>
        <w:rPr>
          <w:rFonts w:ascii="Arial" w:cs="Arial" w:eastAsia="Arial" w:hAnsi="Arial"/>
          <w:sz w:val="18"/>
          <w:szCs w:val="18"/>
          <w:color w:val="auto"/>
        </w:rPr>
        <w:t>The Company contracts with patients to provide home health or hospice services. Payment is typically received from</w:t>
      </w:r>
      <w:r>
        <w:rPr>
          <w:rFonts w:ascii="Arial" w:cs="Arial" w:eastAsia="Arial" w:hAnsi="Arial"/>
          <w:sz w:val="18"/>
          <w:szCs w:val="18"/>
          <w:b w:val="1"/>
          <w:bCs w:val="1"/>
          <w:color w:val="auto"/>
        </w:rPr>
        <w:t xml:space="preserve"> </w:t>
      </w:r>
      <w:r>
        <w:rPr>
          <w:rFonts w:ascii="Arial" w:cs="Arial" w:eastAsia="Arial" w:hAnsi="Arial"/>
          <w:sz w:val="18"/>
          <w:szCs w:val="18"/>
          <w:color w:val="auto"/>
        </w:rPr>
        <w:t>third party payors such as Medicare, Medicaid, and private insurers. The payor is a third party to the contract that stipulates the transaction price of the contract. The Company identifies the patient as the party who benefits from its healthcare services and as such, the patient is its customer.</w:t>
      </w:r>
    </w:p>
    <w:p>
      <w:pPr>
        <w:spacing w:after="0" w:line="11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Company determined that healthcare services contracts generally have one performance obligation to provide healthcare services to patients. The transaction price reflects the amount of revenue the Company expects to receive in exchange for providing these services. As the transaction price for healthcare services is known at the time of contract inception, no variable consideration exists. Healthcare revenues are recognized ratably over the period of care. The Company generally uses the time-elapsed method, an input measure as it best depicts the simultaneous delivery and consumption of healthcare services.</w:t>
      </w:r>
    </w:p>
    <w:p>
      <w:pPr>
        <w:spacing w:after="0" w:line="124"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Payment is received from third party payors within sixty days after a claim is filed, or in some cases in two installments, one during the contract and one after the services have been provided. Medicare is the most common third party payor.</w:t>
      </w:r>
    </w:p>
    <w:p>
      <w:pPr>
        <w:spacing w:after="0" w:line="11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Home health revenue contracts may be modified to account for changes in the patient’s plan of care. The Company identifies contract modifications when the modification changes the existing enforceable rights and obligations. As modifications to the plan of care modify the original performance obligation, the Company accounts for the contract modification as an adjustment to revenue (either as an increase in or a reduction of revenue) on a cumulative catch-up basis.</w:t>
      </w:r>
    </w:p>
    <w:p>
      <w:pPr>
        <w:spacing w:after="0" w:line="10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Other Revenues</w:t>
      </w:r>
      <w:r>
        <w:rPr>
          <w:rFonts w:ascii="Arial" w:cs="Arial" w:eastAsia="Arial" w:hAnsi="Arial"/>
          <w:sz w:val="18"/>
          <w:szCs w:val="18"/>
          <w:color w:val="auto"/>
        </w:rPr>
        <w:t>. The Company recognizes revenue associated with management services it provides to its affiliates. The Company accounts</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management services provided as one performance obligation and recognizes revenue over time as the services are delivered. The Company uses the right to invoice practical expedient, an output method, as the Company’s right to revenue corresponds directly with the value delivered to the affiliate. As a result of the election to use the right to invoice practical expedient, the Company does not determine the transaction price or allocate any variable consideration at contract inception. Rather, the Company recognizes revenue commensurate with the amount to which it has the right to invoice the affiliate which is based on contractually identified percentages. Payment is received monthly in arrears.</w:t>
      </w: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733" w:right="259" w:bottom="1440" w:gutter="0" w:footer="0" w:header="0"/>
        </w:sectPr>
      </w:pPr>
    </w:p>
    <w:bookmarkStart w:id="20" w:name="page21"/>
    <w:bookmarkEnd w:id="20"/>
    <w:p>
      <w:pPr>
        <w:ind w:right="180"/>
        <w:spacing w:after="0" w:line="269" w:lineRule="auto"/>
        <w:rPr>
          <w:sz w:val="20"/>
          <w:szCs w:val="20"/>
          <w:color w:val="auto"/>
        </w:rPr>
      </w:pPr>
      <w:r>
        <w:rPr>
          <w:rFonts w:ascii="Arial" w:cs="Arial" w:eastAsia="Arial" w:hAnsi="Arial"/>
          <w:sz w:val="18"/>
          <w:szCs w:val="18"/>
          <w:b w:val="1"/>
          <w:bCs w:val="1"/>
          <w:color w:val="auto"/>
        </w:rPr>
        <w:t xml:space="preserve">SocialCode Revenues. </w:t>
      </w:r>
      <w:r>
        <w:rPr>
          <w:rFonts w:ascii="Arial" w:cs="Arial" w:eastAsia="Arial" w:hAnsi="Arial"/>
          <w:sz w:val="18"/>
          <w:szCs w:val="18"/>
          <w:color w:val="auto"/>
        </w:rPr>
        <w:t>SocialCode generates media management revenue in exchange for providing social media marketing solutions to its</w:t>
      </w:r>
      <w:r>
        <w:rPr>
          <w:rFonts w:ascii="Arial" w:cs="Arial" w:eastAsia="Arial" w:hAnsi="Arial"/>
          <w:sz w:val="18"/>
          <w:szCs w:val="18"/>
          <w:b w:val="1"/>
          <w:bCs w:val="1"/>
          <w:color w:val="auto"/>
        </w:rPr>
        <w:t xml:space="preserve"> </w:t>
      </w:r>
      <w:r>
        <w:rPr>
          <w:rFonts w:ascii="Arial" w:cs="Arial" w:eastAsia="Arial" w:hAnsi="Arial"/>
          <w:sz w:val="18"/>
          <w:szCs w:val="18"/>
          <w:color w:val="auto"/>
        </w:rPr>
        <w:t>clients. The Company determined that SocialCode contracts generally have one performance obligation made up of a series of promises to manage the client’s media spend on advertising platforms for the duration of the contract period.</w:t>
      </w:r>
    </w:p>
    <w:p>
      <w:pPr>
        <w:spacing w:after="0" w:line="109" w:lineRule="exact"/>
        <w:rPr>
          <w:sz w:val="20"/>
          <w:szCs w:val="20"/>
          <w:color w:val="auto"/>
        </w:rPr>
      </w:pPr>
    </w:p>
    <w:p>
      <w:pPr>
        <w:ind w:right="280"/>
        <w:spacing w:after="0" w:line="252" w:lineRule="auto"/>
        <w:rPr>
          <w:sz w:val="20"/>
          <w:szCs w:val="20"/>
          <w:color w:val="auto"/>
        </w:rPr>
      </w:pPr>
      <w:r>
        <w:rPr>
          <w:rFonts w:ascii="Arial" w:cs="Arial" w:eastAsia="Arial" w:hAnsi="Arial"/>
          <w:sz w:val="18"/>
          <w:szCs w:val="18"/>
          <w:color w:val="auto"/>
        </w:rPr>
        <w:t>SocialCode recognizes revenue, net of media acquisition costs, over time as media management services are delivered to the customer. Generally, SocialCode recognizes revenue using the right to invoice practical expedient, an output method, as SocialCode’s right to revenue corresponds directly with the value delivered to its customer. As a result of the election to use the right to invoice practical expedient, SocialCode does not determine the transaction price or allocate any variable consideration at contract inception. Rather, SocialCode recognizes revenue commensurate with the amount to which it has the right to invoice the customer which is a function of the cost of social media placement plus a management fee, less any applicable discounts. Payment is typically received within forty-five days of revenue recognition.</w:t>
      </w:r>
    </w:p>
    <w:p>
      <w:pPr>
        <w:spacing w:after="0" w:line="126"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SocialCode evaluates whether it is the principal (i.e. presents revenues on a gross basis) or agent (i.e. presents revenues on a net basis) in its contracts. SocialCode presents revenues for media management services net of media acquisition costs, as an agent, as SocialCode does not control the media before placement on social media platforms.</w:t>
      </w:r>
    </w:p>
    <w:p>
      <w:pPr>
        <w:spacing w:after="0" w:line="99"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color w:val="auto"/>
        </w:rPr>
        <w:t xml:space="preserve">Other Revenues. </w:t>
      </w:r>
      <w:r>
        <w:rPr>
          <w:rFonts w:ascii="Arial" w:cs="Arial" w:eastAsia="Arial" w:hAnsi="Arial"/>
          <w:sz w:val="18"/>
          <w:szCs w:val="18"/>
          <w:color w:val="auto"/>
        </w:rPr>
        <w:t>Other revenues primarily include advertising and circulation revenues from Slate, Panoply and Foreign Policy.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accounts for other advertising revenues consistently with the advertising revenue streams addressed above. Circulation revenues consist of fees that provide customers access to online and print publications. The Company recognizes circulation revenues ratably over the subscription period beginning on the date that the publication is made available to the customer. Circulation revenue contracts are generally annual or monthly subscription contracts that are paid in advance of delivery of performance obligations.</w:t>
      </w:r>
    </w:p>
    <w:p>
      <w:pPr>
        <w:spacing w:after="0" w:line="99" w:lineRule="exact"/>
        <w:rPr>
          <w:sz w:val="20"/>
          <w:szCs w:val="20"/>
          <w:color w:val="auto"/>
        </w:rPr>
      </w:pPr>
    </w:p>
    <w:p>
      <w:pPr>
        <w:jc w:val="both"/>
        <w:ind w:right="420"/>
        <w:spacing w:after="0" w:line="262" w:lineRule="auto"/>
        <w:rPr>
          <w:sz w:val="20"/>
          <w:szCs w:val="20"/>
          <w:color w:val="auto"/>
        </w:rPr>
      </w:pPr>
      <w:r>
        <w:rPr>
          <w:rFonts w:ascii="Arial" w:cs="Arial" w:eastAsia="Arial" w:hAnsi="Arial"/>
          <w:sz w:val="18"/>
          <w:szCs w:val="18"/>
          <w:b w:val="1"/>
          <w:bCs w:val="1"/>
          <w:color w:val="auto"/>
        </w:rPr>
        <w:t xml:space="preserve">Accounting Policy Elections. </w:t>
      </w:r>
      <w:r>
        <w:rPr>
          <w:rFonts w:ascii="Arial" w:cs="Arial" w:eastAsia="Arial" w:hAnsi="Arial"/>
          <w:sz w:val="18"/>
          <w:szCs w:val="18"/>
          <w:color w:val="auto"/>
        </w:rPr>
        <w:t>The Company has elected to account for shipping and handling activities that occur after the customer has</w:t>
      </w:r>
      <w:r>
        <w:rPr>
          <w:rFonts w:ascii="Arial" w:cs="Arial" w:eastAsia="Arial" w:hAnsi="Arial"/>
          <w:sz w:val="18"/>
          <w:szCs w:val="18"/>
          <w:b w:val="1"/>
          <w:bCs w:val="1"/>
          <w:color w:val="auto"/>
        </w:rPr>
        <w:t xml:space="preserve"> </w:t>
      </w:r>
      <w:r>
        <w:rPr>
          <w:rFonts w:ascii="Arial" w:cs="Arial" w:eastAsia="Arial" w:hAnsi="Arial"/>
          <w:sz w:val="18"/>
          <w:szCs w:val="18"/>
          <w:color w:val="auto"/>
        </w:rPr>
        <w:t>obtained control of the good as a fulfillment cost rather than as an additional promised service. Therefore, revenue for these performance obligations is recognized when control of the good transfers to the customer, which is when the good is ready for shipment. The Company accrues the related shipping and handling costs over the period when revenue is recognized.</w:t>
      </w:r>
    </w:p>
    <w:p>
      <w:pPr>
        <w:spacing w:after="0" w:line="118"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The Company has elected to exclude from the measurement of the transaction price all taxes assessed by a governmental authority that are both imposed on and concurrent with a specific revenue-producing transaction and collected by the entity from a customer.</w:t>
      </w:r>
    </w:p>
    <w:p>
      <w:pPr>
        <w:spacing w:after="0" w:line="93"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b w:val="1"/>
          <w:bCs w:val="1"/>
          <w:color w:val="auto"/>
        </w:rPr>
        <w:t xml:space="preserve">Practical Expedients. </w:t>
      </w:r>
      <w:r>
        <w:rPr>
          <w:rFonts w:ascii="Arial" w:cs="Arial" w:eastAsia="Arial" w:hAnsi="Arial"/>
          <w:sz w:val="18"/>
          <w:szCs w:val="18"/>
          <w:color w:val="auto"/>
        </w:rPr>
        <w:t>The Company does not disclose the value of unsatisfied performance obligations for (i) contracts with an original</w:t>
      </w:r>
      <w:r>
        <w:rPr>
          <w:rFonts w:ascii="Arial" w:cs="Arial" w:eastAsia="Arial" w:hAnsi="Arial"/>
          <w:sz w:val="18"/>
          <w:szCs w:val="18"/>
          <w:b w:val="1"/>
          <w:bCs w:val="1"/>
          <w:color w:val="auto"/>
        </w:rPr>
        <w:t xml:space="preserve"> </w:t>
      </w:r>
      <w:r>
        <w:rPr>
          <w:rFonts w:ascii="Arial" w:cs="Arial" w:eastAsia="Arial" w:hAnsi="Arial"/>
          <w:sz w:val="18"/>
          <w:szCs w:val="18"/>
          <w:color w:val="auto"/>
        </w:rPr>
        <w:t>expected length of one year or less, (ii) contracts for which the amount of revenue recognized is based on the amount to which the Company has the right to invoice the customer for services performed and (iii) contracts for which the consideration received is a usage-based royalty promised in exchange for a license of intellectual property.</w:t>
      </w:r>
    </w:p>
    <w:p>
      <w:pPr>
        <w:spacing w:after="0" w:line="118"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With the exception of the education division, the Company expenses costs to obtain a contract as incurred as all contracts are less than one year.</w:t>
      </w:r>
    </w:p>
    <w:p>
      <w:pPr>
        <w:spacing w:after="0" w:line="93" w:lineRule="exact"/>
        <w:rPr>
          <w:sz w:val="20"/>
          <w:szCs w:val="20"/>
          <w:color w:val="auto"/>
        </w:rPr>
      </w:pPr>
    </w:p>
    <w:p>
      <w:pPr>
        <w:ind w:right="320"/>
        <w:spacing w:after="0" w:line="269" w:lineRule="auto"/>
        <w:rPr>
          <w:sz w:val="20"/>
          <w:szCs w:val="20"/>
          <w:color w:val="auto"/>
        </w:rPr>
      </w:pPr>
      <w:r>
        <w:rPr>
          <w:rFonts w:ascii="Arial" w:cs="Arial" w:eastAsia="Arial" w:hAnsi="Arial"/>
          <w:sz w:val="18"/>
          <w:szCs w:val="18"/>
          <w:b w:val="1"/>
          <w:bCs w:val="1"/>
          <w:color w:val="auto"/>
        </w:rPr>
        <w:t xml:space="preserve">Deferred Revenue. </w:t>
      </w:r>
      <w:r>
        <w:rPr>
          <w:rFonts w:ascii="Arial" w:cs="Arial" w:eastAsia="Arial" w:hAnsi="Arial"/>
          <w:sz w:val="18"/>
          <w:szCs w:val="18"/>
          <w:color w:val="auto"/>
        </w:rPr>
        <w:t>The Company records deferred revenue when cash payments are received or due in advance of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including amounts which are refundable. The following table presents the change in the Company's deferred revenue balance during the period ended March 31, 2018:</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As of</w:t>
            </w: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77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vMerge w:val="restart"/>
          </w:tcPr>
          <w:p>
            <w:pPr>
              <w:jc w:val="center"/>
              <w:ind w:right="306"/>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22"/>
                <w:szCs w:val="22"/>
                <w:color w:val="auto"/>
              </w:rPr>
            </w:pPr>
          </w:p>
        </w:tc>
        <w:tc>
          <w:tcPr>
            <w:tcW w:w="900" w:type="dxa"/>
            <w:vAlign w:val="bottom"/>
            <w:vMerge w:val="restart"/>
          </w:tcPr>
          <w:p>
            <w:pPr>
              <w:ind w:left="20"/>
              <w:spacing w:after="0"/>
              <w:rPr>
                <w:sz w:val="20"/>
                <w:szCs w:val="20"/>
                <w:color w:val="auto"/>
              </w:rPr>
            </w:pPr>
            <w:r>
              <w:rPr>
                <w:rFonts w:ascii="Arial" w:cs="Arial" w:eastAsia="Arial" w:hAnsi="Arial"/>
                <w:sz w:val="14"/>
                <w:szCs w:val="14"/>
                <w:color w:val="auto"/>
              </w:rPr>
              <w:t>January 1,</w:t>
            </w:r>
          </w:p>
        </w:tc>
        <w:tc>
          <w:tcPr>
            <w:tcW w:w="1240" w:type="dxa"/>
            <w:vAlign w:val="bottom"/>
          </w:tcPr>
          <w:p>
            <w:pPr>
              <w:jc w:val="right"/>
              <w:ind w:right="485"/>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77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4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2018</w:t>
            </w:r>
          </w:p>
        </w:tc>
        <w:tc>
          <w:tcPr>
            <w:tcW w:w="1240" w:type="dxa"/>
            <w:vAlign w:val="bottom"/>
            <w:tcBorders>
              <w:bottom w:val="single" w:sz="8" w:color="auto"/>
            </w:tcBorders>
          </w:tcPr>
          <w:p>
            <w:pPr>
              <w:ind w:left="36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50"/>
        </w:trPr>
        <w:tc>
          <w:tcPr>
            <w:tcW w:w="7780" w:type="dxa"/>
            <w:vAlign w:val="bottom"/>
          </w:tcPr>
          <w:p>
            <w:pPr>
              <w:ind w:left="40"/>
              <w:spacing w:after="0"/>
              <w:rPr>
                <w:sz w:val="20"/>
                <w:szCs w:val="20"/>
                <w:color w:val="auto"/>
              </w:rPr>
            </w:pPr>
            <w:r>
              <w:rPr>
                <w:rFonts w:ascii="Arial" w:cs="Arial" w:eastAsia="Arial" w:hAnsi="Arial"/>
                <w:sz w:val="16"/>
                <w:szCs w:val="16"/>
                <w:color w:val="auto"/>
              </w:rPr>
              <w:t>Deferred revenue</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Pr>
          <w:p>
            <w:pPr>
              <w:jc w:val="right"/>
              <w:ind w:right="166"/>
              <w:spacing w:after="0"/>
              <w:rPr>
                <w:sz w:val="20"/>
                <w:szCs w:val="20"/>
                <w:color w:val="auto"/>
              </w:rPr>
            </w:pPr>
            <w:r>
              <w:rPr>
                <w:rFonts w:ascii="Arial" w:cs="Arial" w:eastAsia="Arial" w:hAnsi="Arial"/>
                <w:sz w:val="16"/>
                <w:szCs w:val="16"/>
                <w:b w:val="1"/>
                <w:bCs w:val="1"/>
                <w:color w:val="auto"/>
              </w:rPr>
              <w:t>298,543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ind w:left="200"/>
              <w:spacing w:after="0"/>
              <w:rPr>
                <w:sz w:val="20"/>
                <w:szCs w:val="20"/>
                <w:color w:val="auto"/>
              </w:rPr>
            </w:pPr>
            <w:r>
              <w:rPr>
                <w:rFonts w:ascii="Arial" w:cs="Arial" w:eastAsia="Arial" w:hAnsi="Arial"/>
                <w:sz w:val="16"/>
                <w:szCs w:val="16"/>
                <w:color w:val="auto"/>
              </w:rPr>
              <w:t>342,640</w:t>
            </w:r>
          </w:p>
        </w:tc>
        <w:tc>
          <w:tcPr>
            <w:tcW w:w="1240" w:type="dxa"/>
            <w:vAlign w:val="bottom"/>
          </w:tcPr>
          <w:p>
            <w:pPr>
              <w:jc w:val="right"/>
              <w:ind w:right="405"/>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460"/>
        <w:spacing w:after="0" w:line="262" w:lineRule="auto"/>
        <w:rPr>
          <w:sz w:val="20"/>
          <w:szCs w:val="20"/>
          <w:color w:val="auto"/>
        </w:rPr>
      </w:pPr>
      <w:r>
        <w:rPr>
          <w:rFonts w:ascii="Arial" w:cs="Arial" w:eastAsia="Arial" w:hAnsi="Arial"/>
          <w:sz w:val="18"/>
          <w:szCs w:val="18"/>
          <w:color w:val="auto"/>
        </w:rPr>
        <w:t>The majority of the change in the deferred revenue balance is related to the KU Transaction. During the first three months of 2018, $159.3 million of revenue was recognized relating to the Company’s deferred revenue balance as of January 1, 2018.</w:t>
      </w:r>
    </w:p>
    <w:p>
      <w:pPr>
        <w:spacing w:after="0" w:line="93"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b w:val="1"/>
          <w:bCs w:val="1"/>
          <w:color w:val="auto"/>
        </w:rPr>
        <w:t xml:space="preserve">Costs to Obtain a Contract. </w:t>
      </w:r>
      <w:r>
        <w:rPr>
          <w:rFonts w:ascii="Arial" w:cs="Arial" w:eastAsia="Arial" w:hAnsi="Arial"/>
          <w:sz w:val="18"/>
          <w:szCs w:val="18"/>
          <w:color w:val="auto"/>
        </w:rPr>
        <w:t>The Company incurs costs to obtain a contract that are both incremental and expected to be recovered as the</w:t>
      </w:r>
      <w:r>
        <w:rPr>
          <w:rFonts w:ascii="Arial" w:cs="Arial" w:eastAsia="Arial" w:hAnsi="Arial"/>
          <w:sz w:val="18"/>
          <w:szCs w:val="18"/>
          <w:b w:val="1"/>
          <w:bCs w:val="1"/>
          <w:color w:val="auto"/>
        </w:rPr>
        <w:t xml:space="preserve"> </w:t>
      </w:r>
      <w:r>
        <w:rPr>
          <w:rFonts w:ascii="Arial" w:cs="Arial" w:eastAsia="Arial" w:hAnsi="Arial"/>
          <w:sz w:val="18"/>
          <w:szCs w:val="18"/>
          <w:color w:val="auto"/>
        </w:rPr>
        <w:t>costs would not have been incurred if the contract was not obtained and the revenue from the contract exceeds the associated cost. The revenue guidance provides a practical expedient to expense sales commissions as incurred in instances where the amortization period is one year or less. The amortization period is defined in the guidance as the contract term, inclusive of any expected contract renewal</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711" w:right="239" w:bottom="1440" w:gutter="0" w:footer="0" w:header="0"/>
        </w:sectPr>
      </w:pPr>
    </w:p>
    <w:bookmarkStart w:id="21" w:name="page22"/>
    <w:bookmarkEnd w:id="21"/>
    <w:p>
      <w:pPr>
        <w:spacing w:after="0" w:line="254" w:lineRule="auto"/>
        <w:rPr>
          <w:sz w:val="20"/>
          <w:szCs w:val="20"/>
          <w:color w:val="auto"/>
        </w:rPr>
      </w:pPr>
      <w:r>
        <w:rPr>
          <w:rFonts w:ascii="Arial" w:cs="Arial" w:eastAsia="Arial" w:hAnsi="Arial"/>
          <w:sz w:val="18"/>
          <w:szCs w:val="18"/>
          <w:color w:val="auto"/>
        </w:rPr>
        <w:t>periods. The Company has elected to apply this practical expedient to all contracts except for contracts in its education division. In the education division costs to obtain a contract are amortized over the applicable amortization period except for cases in which commissions paid on initial contracts and renewals are commensurate. The Company amortizes these costs to obtain a contract on a straight line basis over the amortization period. These expenses are included as operating expenses in the Company’s Condensed Consolidated Statement of Operations.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changes in the Company’s costs to obtain a contract asset during the period ended March 31, 2018:</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center"/>
              <w:ind w:right="126"/>
              <w:spacing w:after="0"/>
              <w:rPr>
                <w:sz w:val="20"/>
                <w:szCs w:val="20"/>
                <w:color w:val="auto"/>
              </w:rPr>
            </w:pPr>
            <w:r>
              <w:rPr>
                <w:rFonts w:ascii="Arial" w:cs="Arial" w:eastAsia="Arial" w:hAnsi="Arial"/>
                <w:sz w:val="14"/>
                <w:szCs w:val="14"/>
                <w:b w:val="1"/>
                <w:bCs w:val="1"/>
                <w:color w:val="auto"/>
              </w:rPr>
              <w:t>Balance</w:t>
            </w:r>
          </w:p>
        </w:tc>
      </w:tr>
      <w:tr>
        <w:trPr>
          <w:trHeight w:val="162"/>
        </w:trPr>
        <w:tc>
          <w:tcPr>
            <w:tcW w:w="31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00" w:type="dxa"/>
            <w:vAlign w:val="bottom"/>
          </w:tcPr>
          <w:p>
            <w:pPr>
              <w:jc w:val="center"/>
              <w:ind w:right="126"/>
              <w:spacing w:after="0"/>
              <w:rPr>
                <w:sz w:val="20"/>
                <w:szCs w:val="20"/>
                <w:color w:val="auto"/>
              </w:rPr>
            </w:pPr>
            <w:r>
              <w:rPr>
                <w:rFonts w:ascii="Arial" w:cs="Arial" w:eastAsia="Arial" w:hAnsi="Arial"/>
                <w:sz w:val="14"/>
                <w:szCs w:val="14"/>
                <w:b w:val="1"/>
                <w:bCs w:val="1"/>
                <w:color w:val="auto"/>
              </w:rPr>
              <w:t>Balance at</w:t>
            </w:r>
          </w:p>
        </w:tc>
        <w:tc>
          <w:tcPr>
            <w:tcW w:w="340" w:type="dxa"/>
            <w:vAlign w:val="bottom"/>
          </w:tcPr>
          <w:p>
            <w:pPr>
              <w:spacing w:after="0"/>
              <w:rPr>
                <w:sz w:val="14"/>
                <w:szCs w:val="14"/>
                <w:color w:val="auto"/>
              </w:rPr>
            </w:pPr>
          </w:p>
        </w:tc>
        <w:tc>
          <w:tcPr>
            <w:tcW w:w="960" w:type="dxa"/>
            <w:vAlign w:val="bottom"/>
          </w:tcPr>
          <w:p>
            <w:pPr>
              <w:jc w:val="center"/>
              <w:ind w:right="203"/>
              <w:spacing w:after="0"/>
              <w:rPr>
                <w:sz w:val="20"/>
                <w:szCs w:val="20"/>
                <w:color w:val="auto"/>
              </w:rPr>
            </w:pPr>
            <w:r>
              <w:rPr>
                <w:rFonts w:ascii="Arial" w:cs="Arial" w:eastAsia="Arial" w:hAnsi="Arial"/>
                <w:sz w:val="14"/>
                <w:szCs w:val="14"/>
                <w:b w:val="1"/>
                <w:bCs w:val="1"/>
                <w:color w:val="auto"/>
              </w:rPr>
              <w:t>Costs</w:t>
            </w:r>
          </w:p>
        </w:tc>
        <w:tc>
          <w:tcPr>
            <w:tcW w:w="220" w:type="dxa"/>
            <w:vAlign w:val="bottom"/>
          </w:tcPr>
          <w:p>
            <w:pPr>
              <w:spacing w:after="0"/>
              <w:rPr>
                <w:sz w:val="14"/>
                <w:szCs w:val="14"/>
                <w:color w:val="auto"/>
              </w:rPr>
            </w:pPr>
          </w:p>
        </w:tc>
        <w:tc>
          <w:tcPr>
            <w:tcW w:w="1120" w:type="dxa"/>
            <w:vAlign w:val="bottom"/>
          </w:tcPr>
          <w:p>
            <w:pPr>
              <w:jc w:val="center"/>
              <w:ind w:right="145"/>
              <w:spacing w:after="0"/>
              <w:rPr>
                <w:sz w:val="20"/>
                <w:szCs w:val="20"/>
                <w:color w:val="auto"/>
              </w:rPr>
            </w:pPr>
            <w:r>
              <w:rPr>
                <w:rFonts w:ascii="Arial" w:cs="Arial" w:eastAsia="Arial" w:hAnsi="Arial"/>
                <w:sz w:val="14"/>
                <w:szCs w:val="14"/>
                <w:b w:val="1"/>
                <w:bCs w:val="1"/>
                <w:color w:val="auto"/>
              </w:rPr>
              <w:t>Less: Costs</w:t>
            </w: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center"/>
              <w:ind w:right="126"/>
              <w:spacing w:after="0"/>
              <w:rPr>
                <w:sz w:val="20"/>
                <w:szCs w:val="20"/>
                <w:color w:val="auto"/>
              </w:rPr>
            </w:pPr>
            <w:r>
              <w:rPr>
                <w:rFonts w:ascii="Arial" w:cs="Arial" w:eastAsia="Arial" w:hAnsi="Arial"/>
                <w:sz w:val="14"/>
                <w:szCs w:val="14"/>
                <w:b w:val="1"/>
                <w:bCs w:val="1"/>
                <w:color w:val="auto"/>
              </w:rPr>
              <w:t>at</w:t>
            </w:r>
          </w:p>
        </w:tc>
      </w:tr>
      <w:tr>
        <w:trPr>
          <w:trHeight w:val="162"/>
        </w:trPr>
        <w:tc>
          <w:tcPr>
            <w:tcW w:w="31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00" w:type="dxa"/>
            <w:vAlign w:val="bottom"/>
          </w:tcPr>
          <w:p>
            <w:pPr>
              <w:jc w:val="center"/>
              <w:ind w:right="106"/>
              <w:spacing w:after="0"/>
              <w:rPr>
                <w:sz w:val="20"/>
                <w:szCs w:val="20"/>
                <w:color w:val="auto"/>
              </w:rPr>
            </w:pPr>
            <w:r>
              <w:rPr>
                <w:rFonts w:ascii="Arial" w:cs="Arial" w:eastAsia="Arial" w:hAnsi="Arial"/>
                <w:sz w:val="14"/>
                <w:szCs w:val="14"/>
                <w:b w:val="1"/>
                <w:bCs w:val="1"/>
                <w:color w:val="auto"/>
              </w:rPr>
              <w:t>Beginning</w:t>
            </w: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rPr>
              <w:t>associated with</w:t>
            </w: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rPr>
              <w:t>amortized during</w:t>
            </w: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center"/>
              <w:ind w:right="126"/>
              <w:spacing w:after="0"/>
              <w:rPr>
                <w:sz w:val="20"/>
                <w:szCs w:val="20"/>
                <w:color w:val="auto"/>
              </w:rPr>
            </w:pPr>
            <w:r>
              <w:rPr>
                <w:rFonts w:ascii="Arial" w:cs="Arial" w:eastAsia="Arial" w:hAnsi="Arial"/>
                <w:sz w:val="14"/>
                <w:szCs w:val="14"/>
                <w:b w:val="1"/>
                <w:bCs w:val="1"/>
                <w:color w:val="auto"/>
              </w:rPr>
              <w:t>End of</w:t>
            </w:r>
          </w:p>
        </w:tc>
      </w:tr>
      <w:tr>
        <w:trPr>
          <w:trHeight w:val="196"/>
        </w:trPr>
        <w:tc>
          <w:tcPr>
            <w:tcW w:w="3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106"/>
              <w:spacing w:after="0"/>
              <w:rPr>
                <w:sz w:val="20"/>
                <w:szCs w:val="20"/>
                <w:color w:val="auto"/>
              </w:rPr>
            </w:pPr>
            <w:r>
              <w:rPr>
                <w:rFonts w:ascii="Arial" w:cs="Arial" w:eastAsia="Arial" w:hAnsi="Arial"/>
                <w:sz w:val="14"/>
                <w:szCs w:val="14"/>
                <w:b w:val="1"/>
                <w:bCs w:val="1"/>
                <w:color w:val="auto"/>
              </w:rPr>
              <w:t>of Period</w:t>
            </w:r>
          </w:p>
        </w:tc>
        <w:tc>
          <w:tcPr>
            <w:tcW w:w="13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new contracts</w:t>
            </w: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145"/>
              <w:spacing w:after="0"/>
              <w:rPr>
                <w:sz w:val="20"/>
                <w:szCs w:val="20"/>
                <w:color w:val="auto"/>
              </w:rPr>
            </w:pPr>
            <w:r>
              <w:rPr>
                <w:rFonts w:ascii="Arial" w:cs="Arial" w:eastAsia="Arial" w:hAnsi="Arial"/>
                <w:sz w:val="14"/>
                <w:szCs w:val="14"/>
                <w:b w:val="1"/>
                <w:bCs w:val="1"/>
                <w:color w:val="auto"/>
              </w:rPr>
              <w:t>the period</w:t>
            </w: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63"/>
              <w:spacing w:after="0"/>
              <w:rPr>
                <w:sz w:val="20"/>
                <w:szCs w:val="20"/>
                <w:color w:val="auto"/>
              </w:rPr>
            </w:pPr>
            <w:r>
              <w:rPr>
                <w:rFonts w:ascii="Arial" w:cs="Arial" w:eastAsia="Arial" w:hAnsi="Arial"/>
                <w:sz w:val="14"/>
                <w:szCs w:val="14"/>
                <w:b w:val="1"/>
                <w:bCs w:val="1"/>
                <w:color w:val="auto"/>
              </w:rPr>
              <w:t>Other</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126"/>
              <w:spacing w:after="0"/>
              <w:rPr>
                <w:sz w:val="20"/>
                <w:szCs w:val="20"/>
                <w:color w:val="auto"/>
              </w:rPr>
            </w:pPr>
            <w:r>
              <w:rPr>
                <w:rFonts w:ascii="Arial" w:cs="Arial" w:eastAsia="Arial" w:hAnsi="Arial"/>
                <w:sz w:val="14"/>
                <w:szCs w:val="14"/>
                <w:b w:val="1"/>
                <w:bCs w:val="1"/>
                <w:color w:val="auto"/>
              </w:rPr>
              <w:t>Period</w:t>
            </w:r>
          </w:p>
        </w:tc>
      </w:tr>
      <w:tr>
        <w:trPr>
          <w:trHeight w:val="250"/>
        </w:trPr>
        <w:tc>
          <w:tcPr>
            <w:tcW w:w="3120" w:type="dxa"/>
            <w:vAlign w:val="bottom"/>
          </w:tcPr>
          <w:p>
            <w:pPr>
              <w:ind w:left="40"/>
              <w:spacing w:after="0"/>
              <w:rPr>
                <w:sz w:val="20"/>
                <w:szCs w:val="20"/>
                <w:color w:val="auto"/>
              </w:rPr>
            </w:pPr>
            <w:r>
              <w:rPr>
                <w:rFonts w:ascii="Arial" w:cs="Arial" w:eastAsia="Arial" w:hAnsi="Arial"/>
                <w:sz w:val="16"/>
                <w:szCs w:val="16"/>
                <w:b w:val="1"/>
                <w:bCs w:val="1"/>
                <w:color w:val="auto"/>
              </w:rPr>
              <w:t>2018</w:t>
            </w:r>
          </w:p>
        </w:tc>
        <w:tc>
          <w:tcPr>
            <w:tcW w:w="23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46"/>
              <w:spacing w:after="0"/>
              <w:rPr>
                <w:sz w:val="20"/>
                <w:szCs w:val="20"/>
                <w:color w:val="auto"/>
              </w:rPr>
            </w:pPr>
            <w:r>
              <w:rPr>
                <w:rFonts w:ascii="Arial" w:cs="Arial" w:eastAsia="Arial" w:hAnsi="Arial"/>
                <w:sz w:val="16"/>
                <w:szCs w:val="16"/>
                <w:b w:val="1"/>
                <w:bCs w:val="1"/>
                <w:color w:val="auto"/>
              </w:rPr>
              <w:t>19,178</w:t>
            </w:r>
          </w:p>
        </w:tc>
        <w:tc>
          <w:tcPr>
            <w:tcW w:w="340" w:type="dxa"/>
            <w:vAlign w:val="bottom"/>
          </w:tcPr>
          <w:p>
            <w:pPr>
              <w:jc w:val="right"/>
              <w:ind w:right="45"/>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83"/>
              <w:spacing w:after="0"/>
              <w:rPr>
                <w:sz w:val="20"/>
                <w:szCs w:val="20"/>
                <w:color w:val="auto"/>
              </w:rPr>
            </w:pPr>
            <w:r>
              <w:rPr>
                <w:rFonts w:ascii="Arial" w:cs="Arial" w:eastAsia="Arial" w:hAnsi="Arial"/>
                <w:sz w:val="16"/>
                <w:szCs w:val="16"/>
                <w:b w:val="1"/>
                <w:bCs w:val="1"/>
                <w:color w:val="auto"/>
              </w:rPr>
              <w:t>11,575</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ind w:right="25"/>
              <w:spacing w:after="0"/>
              <w:rPr>
                <w:sz w:val="20"/>
                <w:szCs w:val="20"/>
                <w:color w:val="auto"/>
              </w:rPr>
            </w:pPr>
            <w:r>
              <w:rPr>
                <w:rFonts w:ascii="Arial" w:cs="Arial" w:eastAsia="Arial" w:hAnsi="Arial"/>
                <w:sz w:val="16"/>
                <w:szCs w:val="16"/>
                <w:b w:val="1"/>
                <w:bCs w:val="1"/>
                <w:color w:val="auto"/>
              </w:rPr>
              <w:t>(11,013)</w:t>
            </w:r>
          </w:p>
        </w:tc>
        <w:tc>
          <w:tcPr>
            <w:tcW w:w="30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63"/>
              <w:spacing w:after="0"/>
              <w:rPr>
                <w:sz w:val="20"/>
                <w:szCs w:val="20"/>
                <w:color w:val="auto"/>
              </w:rPr>
            </w:pPr>
            <w:r>
              <w:rPr>
                <w:rFonts w:ascii="Arial" w:cs="Arial" w:eastAsia="Arial" w:hAnsi="Arial"/>
                <w:sz w:val="16"/>
                <w:szCs w:val="16"/>
                <w:b w:val="1"/>
                <w:bCs w:val="1"/>
                <w:color w:val="auto"/>
              </w:rPr>
              <w:t>329</w:t>
            </w:r>
          </w:p>
        </w:tc>
        <w:tc>
          <w:tcPr>
            <w:tcW w:w="2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26"/>
              <w:spacing w:after="0"/>
              <w:rPr>
                <w:sz w:val="20"/>
                <w:szCs w:val="20"/>
                <w:color w:val="auto"/>
              </w:rPr>
            </w:pPr>
            <w:r>
              <w:rPr>
                <w:rFonts w:ascii="Arial" w:cs="Arial" w:eastAsia="Arial" w:hAnsi="Arial"/>
                <w:sz w:val="16"/>
                <w:szCs w:val="16"/>
                <w:b w:val="1"/>
                <w:bCs w:val="1"/>
                <w:color w:val="auto"/>
              </w:rPr>
              <w:t>20,069</w:t>
            </w: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majority of other activity is related to currency translation adjustments during the period ended March 31, 2018.</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EARNINGS PER SHARE</w:t>
      </w:r>
    </w:p>
    <w:p>
      <w:pPr>
        <w:spacing w:after="0" w:line="166" w:lineRule="exact"/>
        <w:rPr>
          <w:sz w:val="20"/>
          <w:szCs w:val="20"/>
          <w:color w:val="auto"/>
        </w:rPr>
      </w:pPr>
    </w:p>
    <w:p>
      <w:pPr>
        <w:ind w:right="80"/>
        <w:spacing w:after="0" w:line="224" w:lineRule="auto"/>
        <w:rPr>
          <w:sz w:val="20"/>
          <w:szCs w:val="20"/>
          <w:color w:val="auto"/>
        </w:rPr>
      </w:pPr>
      <w:r>
        <w:rPr>
          <w:rFonts w:ascii="Arial" w:cs="Arial" w:eastAsia="Arial" w:hAnsi="Arial"/>
          <w:sz w:val="18"/>
          <w:szCs w:val="18"/>
          <w:color w:val="auto"/>
        </w:rPr>
        <w:t>The Company’s unvested restricted stock awards contain nonforfeitable rights to dividends and, therefore, are considered participating securities for purposes of computing earnings per share pursuant to the two-class method. The diluted earnings per share computed under the two-class method is lower than the diluted earnings per share computed under the treasury stock method, resulting in the presentation of the lower amount in diluted earnings per share. The computation of the earnings per share under the two-class method excludes the income attributable to the unvested restricted stock awards from the numerator and excludes the dilutive impact of those underlying shares from the denominator.</w:t>
      </w:r>
    </w:p>
    <w:p>
      <w:pPr>
        <w:spacing w:after="0" w:line="137"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The following reflects the Company’s net income and share data used in the basic and diluted earnings per share computations using the two-class method:</w:t>
      </w:r>
    </w:p>
    <w:p>
      <w:pPr>
        <w:spacing w:after="0" w:line="136" w:lineRule="exact"/>
        <w:rPr>
          <w:sz w:val="20"/>
          <w:szCs w:val="20"/>
          <w:color w:val="auto"/>
        </w:rPr>
      </w:pPr>
    </w:p>
    <w:p>
      <w:pPr>
        <w:ind w:left="944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9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89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 share amounts)</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color w:val="auto"/>
              </w:rPr>
              <w:t>2017</w:t>
            </w:r>
          </w:p>
        </w:tc>
        <w:tc>
          <w:tcPr>
            <w:tcW w:w="0" w:type="dxa"/>
            <w:vAlign w:val="bottom"/>
          </w:tcPr>
          <w:p>
            <w:pPr>
              <w:spacing w:after="0"/>
              <w:rPr>
                <w:sz w:val="1"/>
                <w:szCs w:val="1"/>
                <w:color w:val="auto"/>
              </w:rPr>
            </w:pPr>
          </w:p>
        </w:tc>
      </w:tr>
      <w:tr>
        <w:trPr>
          <w:trHeight w:val="250"/>
        </w:trPr>
        <w:tc>
          <w:tcPr>
            <w:tcW w:w="8900" w:type="dxa"/>
            <w:vAlign w:val="bottom"/>
          </w:tcPr>
          <w:p>
            <w:pPr>
              <w:ind w:left="40"/>
              <w:spacing w:after="0"/>
              <w:rPr>
                <w:sz w:val="20"/>
                <w:szCs w:val="20"/>
                <w:color w:val="auto"/>
              </w:rPr>
            </w:pPr>
            <w:r>
              <w:rPr>
                <w:rFonts w:ascii="Arial" w:cs="Arial" w:eastAsia="Arial" w:hAnsi="Arial"/>
                <w:sz w:val="16"/>
                <w:szCs w:val="16"/>
                <w:color w:val="auto"/>
              </w:rPr>
              <w:t>Numerator:</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900" w:type="dxa"/>
            <w:vAlign w:val="bottom"/>
          </w:tcPr>
          <w:p>
            <w:pPr>
              <w:ind w:left="180"/>
              <w:spacing w:after="0"/>
              <w:rPr>
                <w:sz w:val="20"/>
                <w:szCs w:val="20"/>
                <w:color w:val="auto"/>
              </w:rPr>
            </w:pPr>
            <w:r>
              <w:rPr>
                <w:rFonts w:ascii="Arial" w:cs="Arial" w:eastAsia="Arial" w:hAnsi="Arial"/>
                <w:sz w:val="16"/>
                <w:szCs w:val="16"/>
                <w:color w:val="auto"/>
              </w:rPr>
              <w:t>Numerator for basic earnings per share:</w:t>
            </w: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900" w:type="dxa"/>
            <w:vAlign w:val="bottom"/>
          </w:tcPr>
          <w:p>
            <w:pPr>
              <w:ind w:left="280"/>
              <w:spacing w:after="0"/>
              <w:rPr>
                <w:sz w:val="20"/>
                <w:szCs w:val="20"/>
                <w:color w:val="auto"/>
              </w:rPr>
            </w:pPr>
            <w:r>
              <w:rPr>
                <w:rFonts w:ascii="Arial" w:cs="Arial" w:eastAsia="Arial" w:hAnsi="Arial"/>
                <w:sz w:val="16"/>
                <w:szCs w:val="16"/>
                <w:color w:val="auto"/>
              </w:rPr>
              <w:t>Net income attributable to Graham Holdings Company common stockholders</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140"/>
              <w:spacing w:after="0"/>
              <w:rPr>
                <w:sz w:val="20"/>
                <w:szCs w:val="20"/>
                <w:color w:val="auto"/>
              </w:rPr>
            </w:pPr>
            <w:r>
              <w:rPr>
                <w:rFonts w:ascii="Arial" w:cs="Arial" w:eastAsia="Arial" w:hAnsi="Arial"/>
                <w:sz w:val="16"/>
                <w:szCs w:val="16"/>
                <w:b w:val="1"/>
                <w:bCs w:val="1"/>
                <w:color w:val="auto"/>
              </w:rPr>
              <w:t>42,891</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00"/>
              <w:spacing w:after="0"/>
              <w:rPr>
                <w:sz w:val="20"/>
                <w:szCs w:val="20"/>
                <w:color w:val="auto"/>
              </w:rPr>
            </w:pPr>
            <w:r>
              <w:rPr>
                <w:rFonts w:ascii="Arial" w:cs="Arial" w:eastAsia="Arial" w:hAnsi="Arial"/>
                <w:sz w:val="16"/>
                <w:szCs w:val="16"/>
                <w:color w:val="auto"/>
              </w:rPr>
              <w:t>21,086</w:t>
            </w:r>
          </w:p>
        </w:tc>
        <w:tc>
          <w:tcPr>
            <w:tcW w:w="0" w:type="dxa"/>
            <w:vAlign w:val="bottom"/>
          </w:tcPr>
          <w:p>
            <w:pPr>
              <w:spacing w:after="0"/>
              <w:rPr>
                <w:sz w:val="1"/>
                <w:szCs w:val="1"/>
                <w:color w:val="auto"/>
              </w:rPr>
            </w:pPr>
          </w:p>
        </w:tc>
      </w:tr>
      <w:tr>
        <w:trPr>
          <w:trHeight w:val="283"/>
        </w:trPr>
        <w:tc>
          <w:tcPr>
            <w:tcW w:w="8900" w:type="dxa"/>
            <w:vAlign w:val="bottom"/>
          </w:tcPr>
          <w:p>
            <w:pPr>
              <w:ind w:left="280"/>
              <w:spacing w:after="0"/>
              <w:rPr>
                <w:sz w:val="20"/>
                <w:szCs w:val="20"/>
                <w:color w:val="auto"/>
              </w:rPr>
            </w:pPr>
            <w:r>
              <w:rPr>
                <w:rFonts w:ascii="Arial" w:cs="Arial" w:eastAsia="Arial" w:hAnsi="Arial"/>
                <w:sz w:val="16"/>
                <w:szCs w:val="16"/>
                <w:color w:val="auto"/>
              </w:rPr>
              <w:t>Less: Dividends paid-common stock outstanding and unvested restricted shares</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(14,638)</w:t>
            </w: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(14,202)</w:t>
            </w:r>
          </w:p>
        </w:tc>
        <w:tc>
          <w:tcPr>
            <w:tcW w:w="0" w:type="dxa"/>
            <w:vAlign w:val="bottom"/>
          </w:tcPr>
          <w:p>
            <w:pPr>
              <w:spacing w:after="0"/>
              <w:rPr>
                <w:sz w:val="1"/>
                <w:szCs w:val="1"/>
                <w:color w:val="auto"/>
              </w:rPr>
            </w:pPr>
          </w:p>
        </w:tc>
      </w:tr>
      <w:tr>
        <w:trPr>
          <w:trHeight w:val="251"/>
        </w:trPr>
        <w:tc>
          <w:tcPr>
            <w:tcW w:w="8900" w:type="dxa"/>
            <w:vAlign w:val="bottom"/>
          </w:tcPr>
          <w:p>
            <w:pPr>
              <w:ind w:left="280"/>
              <w:spacing w:after="0"/>
              <w:rPr>
                <w:sz w:val="20"/>
                <w:szCs w:val="20"/>
                <w:color w:val="auto"/>
              </w:rPr>
            </w:pPr>
            <w:r>
              <w:rPr>
                <w:rFonts w:ascii="Arial" w:cs="Arial" w:eastAsia="Arial" w:hAnsi="Arial"/>
                <w:sz w:val="16"/>
                <w:szCs w:val="16"/>
                <w:color w:val="auto"/>
              </w:rPr>
              <w:t>Undistributed earnings</w:t>
            </w:r>
          </w:p>
        </w:tc>
        <w:tc>
          <w:tcPr>
            <w:tcW w:w="280" w:type="dxa"/>
            <w:vAlign w:val="bottom"/>
          </w:tcPr>
          <w:p>
            <w:pPr>
              <w:spacing w:after="0"/>
              <w:rPr>
                <w:sz w:val="21"/>
                <w:szCs w:val="21"/>
                <w:color w:val="auto"/>
              </w:rPr>
            </w:pPr>
          </w:p>
        </w:tc>
        <w:tc>
          <w:tcPr>
            <w:tcW w:w="980" w:type="dxa"/>
            <w:vAlign w:val="bottom"/>
          </w:tcPr>
          <w:p>
            <w:pPr>
              <w:jc w:val="right"/>
              <w:ind w:right="140"/>
              <w:spacing w:after="0"/>
              <w:rPr>
                <w:sz w:val="20"/>
                <w:szCs w:val="20"/>
                <w:color w:val="auto"/>
              </w:rPr>
            </w:pPr>
            <w:r>
              <w:rPr>
                <w:rFonts w:ascii="Arial" w:cs="Arial" w:eastAsia="Arial" w:hAnsi="Arial"/>
                <w:sz w:val="16"/>
                <w:szCs w:val="16"/>
                <w:b w:val="1"/>
                <w:bCs w:val="1"/>
                <w:color w:val="auto"/>
              </w:rPr>
              <w:t>28,253</w:t>
            </w:r>
          </w:p>
        </w:tc>
        <w:tc>
          <w:tcPr>
            <w:tcW w:w="420" w:type="dxa"/>
            <w:vAlign w:val="bottom"/>
          </w:tcPr>
          <w:p>
            <w:pPr>
              <w:spacing w:after="0"/>
              <w:rPr>
                <w:sz w:val="21"/>
                <w:szCs w:val="21"/>
                <w:color w:val="auto"/>
              </w:rPr>
            </w:pPr>
          </w:p>
        </w:tc>
        <w:tc>
          <w:tcPr>
            <w:tcW w:w="840" w:type="dxa"/>
            <w:vAlign w:val="bottom"/>
          </w:tcPr>
          <w:p>
            <w:pPr>
              <w:jc w:val="right"/>
              <w:ind w:right="100"/>
              <w:spacing w:after="0"/>
              <w:rPr>
                <w:sz w:val="20"/>
                <w:szCs w:val="20"/>
                <w:color w:val="auto"/>
              </w:rPr>
            </w:pPr>
            <w:r>
              <w:rPr>
                <w:rFonts w:ascii="Arial" w:cs="Arial" w:eastAsia="Arial" w:hAnsi="Arial"/>
                <w:sz w:val="16"/>
                <w:szCs w:val="16"/>
                <w:color w:val="auto"/>
              </w:rPr>
              <w:t>6,884</w:t>
            </w:r>
          </w:p>
        </w:tc>
        <w:tc>
          <w:tcPr>
            <w:tcW w:w="0" w:type="dxa"/>
            <w:vAlign w:val="bottom"/>
          </w:tcPr>
          <w:p>
            <w:pPr>
              <w:spacing w:after="0"/>
              <w:rPr>
                <w:sz w:val="1"/>
                <w:szCs w:val="1"/>
                <w:color w:val="auto"/>
              </w:rPr>
            </w:pPr>
          </w:p>
        </w:tc>
      </w:tr>
      <w:tr>
        <w:trPr>
          <w:trHeight w:val="283"/>
        </w:trPr>
        <w:tc>
          <w:tcPr>
            <w:tcW w:w="8900" w:type="dxa"/>
            <w:vAlign w:val="bottom"/>
          </w:tcPr>
          <w:p>
            <w:pPr>
              <w:ind w:left="280"/>
              <w:spacing w:after="0"/>
              <w:rPr>
                <w:sz w:val="20"/>
                <w:szCs w:val="20"/>
                <w:color w:val="auto"/>
              </w:rPr>
            </w:pPr>
            <w:r>
              <w:rPr>
                <w:rFonts w:ascii="Arial" w:cs="Arial" w:eastAsia="Arial" w:hAnsi="Arial"/>
                <w:sz w:val="16"/>
                <w:szCs w:val="16"/>
                <w:color w:val="auto"/>
              </w:rPr>
              <w:t>Percent allocated to common stockholders</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99.30%</w:t>
            </w: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99.04%</w:t>
            </w:r>
          </w:p>
        </w:tc>
        <w:tc>
          <w:tcPr>
            <w:tcW w:w="0" w:type="dxa"/>
            <w:vAlign w:val="bottom"/>
          </w:tcPr>
          <w:p>
            <w:pPr>
              <w:spacing w:after="0"/>
              <w:rPr>
                <w:sz w:val="1"/>
                <w:szCs w:val="1"/>
                <w:color w:val="auto"/>
              </w:rPr>
            </w:pPr>
          </w:p>
        </w:tc>
      </w:tr>
      <w:tr>
        <w:trPr>
          <w:trHeight w:val="251"/>
        </w:trPr>
        <w:tc>
          <w:tcPr>
            <w:tcW w:w="8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40"/>
              <w:spacing w:after="0"/>
              <w:rPr>
                <w:sz w:val="20"/>
                <w:szCs w:val="20"/>
                <w:color w:val="auto"/>
              </w:rPr>
            </w:pPr>
            <w:r>
              <w:rPr>
                <w:rFonts w:ascii="Arial" w:cs="Arial" w:eastAsia="Arial" w:hAnsi="Arial"/>
                <w:sz w:val="16"/>
                <w:szCs w:val="16"/>
                <w:b w:val="1"/>
                <w:bCs w:val="1"/>
                <w:color w:val="auto"/>
              </w:rPr>
              <w:t>28,057</w:t>
            </w:r>
          </w:p>
        </w:tc>
        <w:tc>
          <w:tcPr>
            <w:tcW w:w="420" w:type="dxa"/>
            <w:vAlign w:val="bottom"/>
          </w:tcPr>
          <w:p>
            <w:pPr>
              <w:spacing w:after="0"/>
              <w:rPr>
                <w:sz w:val="21"/>
                <w:szCs w:val="21"/>
                <w:color w:val="auto"/>
              </w:rPr>
            </w:pPr>
          </w:p>
        </w:tc>
        <w:tc>
          <w:tcPr>
            <w:tcW w:w="840" w:type="dxa"/>
            <w:vAlign w:val="bottom"/>
          </w:tcPr>
          <w:p>
            <w:pPr>
              <w:jc w:val="right"/>
              <w:ind w:right="100"/>
              <w:spacing w:after="0"/>
              <w:rPr>
                <w:sz w:val="20"/>
                <w:szCs w:val="20"/>
                <w:color w:val="auto"/>
              </w:rPr>
            </w:pPr>
            <w:r>
              <w:rPr>
                <w:rFonts w:ascii="Arial" w:cs="Arial" w:eastAsia="Arial" w:hAnsi="Arial"/>
                <w:sz w:val="16"/>
                <w:szCs w:val="16"/>
                <w:color w:val="auto"/>
              </w:rPr>
              <w:t>6,818</w:t>
            </w:r>
          </w:p>
        </w:tc>
        <w:tc>
          <w:tcPr>
            <w:tcW w:w="0" w:type="dxa"/>
            <w:vAlign w:val="bottom"/>
          </w:tcPr>
          <w:p>
            <w:pPr>
              <w:spacing w:after="0"/>
              <w:rPr>
                <w:sz w:val="1"/>
                <w:szCs w:val="1"/>
                <w:color w:val="auto"/>
              </w:rPr>
            </w:pPr>
          </w:p>
        </w:tc>
      </w:tr>
      <w:tr>
        <w:trPr>
          <w:trHeight w:val="283"/>
        </w:trPr>
        <w:tc>
          <w:tcPr>
            <w:tcW w:w="8900" w:type="dxa"/>
            <w:vAlign w:val="bottom"/>
          </w:tcPr>
          <w:p>
            <w:pPr>
              <w:ind w:left="280"/>
              <w:spacing w:after="0"/>
              <w:rPr>
                <w:sz w:val="20"/>
                <w:szCs w:val="20"/>
                <w:color w:val="auto"/>
              </w:rPr>
            </w:pPr>
            <w:r>
              <w:rPr>
                <w:rFonts w:ascii="Arial" w:cs="Arial" w:eastAsia="Arial" w:hAnsi="Arial"/>
                <w:sz w:val="16"/>
                <w:szCs w:val="16"/>
                <w:color w:val="auto"/>
              </w:rPr>
              <w:t>Add: Dividends paid-common stock outstanding</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14,539</w:t>
            </w: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14,066</w:t>
            </w:r>
          </w:p>
        </w:tc>
        <w:tc>
          <w:tcPr>
            <w:tcW w:w="0" w:type="dxa"/>
            <w:vAlign w:val="bottom"/>
          </w:tcPr>
          <w:p>
            <w:pPr>
              <w:spacing w:after="0"/>
              <w:rPr>
                <w:sz w:val="1"/>
                <w:szCs w:val="1"/>
                <w:color w:val="auto"/>
              </w:rPr>
            </w:pPr>
          </w:p>
        </w:tc>
      </w:tr>
      <w:tr>
        <w:trPr>
          <w:trHeight w:val="267"/>
        </w:trPr>
        <w:tc>
          <w:tcPr>
            <w:tcW w:w="8900" w:type="dxa"/>
            <w:vAlign w:val="bottom"/>
          </w:tcPr>
          <w:p>
            <w:pPr>
              <w:ind w:left="280"/>
              <w:spacing w:after="0"/>
              <w:rPr>
                <w:sz w:val="20"/>
                <w:szCs w:val="20"/>
                <w:color w:val="auto"/>
              </w:rPr>
            </w:pPr>
            <w:r>
              <w:rPr>
                <w:rFonts w:ascii="Arial" w:cs="Arial" w:eastAsia="Arial" w:hAnsi="Arial"/>
                <w:sz w:val="16"/>
                <w:szCs w:val="16"/>
                <w:color w:val="auto"/>
              </w:rPr>
              <w:t>Numerator for basic earnings per share</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42,596</w:t>
            </w:r>
          </w:p>
        </w:tc>
        <w:tc>
          <w:tcPr>
            <w:tcW w:w="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20,884</w:t>
            </w:r>
          </w:p>
        </w:tc>
        <w:tc>
          <w:tcPr>
            <w:tcW w:w="0" w:type="dxa"/>
            <w:vAlign w:val="bottom"/>
          </w:tcPr>
          <w:p>
            <w:pPr>
              <w:spacing w:after="0"/>
              <w:rPr>
                <w:sz w:val="1"/>
                <w:szCs w:val="1"/>
                <w:color w:val="auto"/>
              </w:rPr>
            </w:pPr>
          </w:p>
        </w:tc>
      </w:tr>
      <w:tr>
        <w:trPr>
          <w:trHeight w:val="20"/>
        </w:trPr>
        <w:tc>
          <w:tcPr>
            <w:tcW w:w="8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8900" w:type="dxa"/>
            <w:vAlign w:val="bottom"/>
          </w:tcPr>
          <w:p>
            <w:pPr>
              <w:ind w:left="280"/>
              <w:spacing w:after="0"/>
              <w:rPr>
                <w:sz w:val="20"/>
                <w:szCs w:val="20"/>
                <w:color w:val="auto"/>
              </w:rPr>
            </w:pPr>
            <w:r>
              <w:rPr>
                <w:rFonts w:ascii="Arial" w:cs="Arial" w:eastAsia="Arial" w:hAnsi="Arial"/>
                <w:sz w:val="16"/>
                <w:szCs w:val="16"/>
                <w:color w:val="auto"/>
              </w:rPr>
              <w:t>Add: Additional undistributed earnings due to dilutive stock options</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1</w:t>
            </w:r>
          </w:p>
        </w:tc>
        <w:tc>
          <w:tcPr>
            <w:tcW w:w="4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8900" w:type="dxa"/>
            <w:vAlign w:val="bottom"/>
          </w:tcPr>
          <w:p>
            <w:pPr>
              <w:ind w:left="180"/>
              <w:spacing w:after="0"/>
              <w:rPr>
                <w:sz w:val="20"/>
                <w:szCs w:val="20"/>
                <w:color w:val="auto"/>
              </w:rPr>
            </w:pPr>
            <w:r>
              <w:rPr>
                <w:rFonts w:ascii="Arial" w:cs="Arial" w:eastAsia="Arial" w:hAnsi="Arial"/>
                <w:sz w:val="16"/>
                <w:szCs w:val="16"/>
                <w:color w:val="auto"/>
              </w:rPr>
              <w:t>Numerator for diluted earnings per share</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42,597</w:t>
            </w:r>
          </w:p>
        </w:tc>
        <w:tc>
          <w:tcPr>
            <w:tcW w:w="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20,884</w:t>
            </w:r>
          </w:p>
        </w:tc>
        <w:tc>
          <w:tcPr>
            <w:tcW w:w="0" w:type="dxa"/>
            <w:vAlign w:val="bottom"/>
          </w:tcPr>
          <w:p>
            <w:pPr>
              <w:spacing w:after="0"/>
              <w:rPr>
                <w:sz w:val="1"/>
                <w:szCs w:val="1"/>
                <w:color w:val="auto"/>
              </w:rPr>
            </w:pPr>
          </w:p>
        </w:tc>
      </w:tr>
      <w:tr>
        <w:trPr>
          <w:trHeight w:val="20"/>
        </w:trPr>
        <w:tc>
          <w:tcPr>
            <w:tcW w:w="8900" w:type="dxa"/>
            <w:vAlign w:val="bottom"/>
            <w:vMerge w:val="restart"/>
          </w:tcPr>
          <w:p>
            <w:pPr>
              <w:ind w:left="40"/>
              <w:spacing w:after="0"/>
              <w:rPr>
                <w:sz w:val="20"/>
                <w:szCs w:val="20"/>
                <w:color w:val="auto"/>
              </w:rPr>
            </w:pPr>
            <w:r>
              <w:rPr>
                <w:rFonts w:ascii="Arial" w:cs="Arial" w:eastAsia="Arial" w:hAnsi="Arial"/>
                <w:sz w:val="16"/>
                <w:szCs w:val="16"/>
                <w:color w:val="auto"/>
              </w:rPr>
              <w:t>Denominator:</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90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900" w:type="dxa"/>
            <w:vAlign w:val="bottom"/>
          </w:tcPr>
          <w:p>
            <w:pPr>
              <w:ind w:left="180"/>
              <w:spacing w:after="0"/>
              <w:rPr>
                <w:sz w:val="20"/>
                <w:szCs w:val="20"/>
                <w:color w:val="auto"/>
              </w:rPr>
            </w:pPr>
            <w:r>
              <w:rPr>
                <w:rFonts w:ascii="Arial" w:cs="Arial" w:eastAsia="Arial" w:hAnsi="Arial"/>
                <w:sz w:val="16"/>
                <w:szCs w:val="16"/>
                <w:color w:val="auto"/>
              </w:rPr>
              <w:t>Denominator for basic earnings per share:</w:t>
            </w: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900" w:type="dxa"/>
            <w:vAlign w:val="bottom"/>
          </w:tcPr>
          <w:p>
            <w:pPr>
              <w:ind w:left="280"/>
              <w:spacing w:after="0"/>
              <w:rPr>
                <w:sz w:val="20"/>
                <w:szCs w:val="20"/>
                <w:color w:val="auto"/>
              </w:rPr>
            </w:pPr>
            <w:r>
              <w:rPr>
                <w:rFonts w:ascii="Arial" w:cs="Arial" w:eastAsia="Arial" w:hAnsi="Arial"/>
                <w:sz w:val="16"/>
                <w:szCs w:val="16"/>
                <w:color w:val="auto"/>
              </w:rPr>
              <w:t>Weighted average shares outstanding</w:t>
            </w:r>
          </w:p>
        </w:tc>
        <w:tc>
          <w:tcPr>
            <w:tcW w:w="280" w:type="dxa"/>
            <w:vAlign w:val="bottom"/>
          </w:tcPr>
          <w:p>
            <w:pPr>
              <w:spacing w:after="0"/>
              <w:rPr>
                <w:sz w:val="23"/>
                <w:szCs w:val="23"/>
                <w:color w:val="auto"/>
              </w:rPr>
            </w:pPr>
          </w:p>
        </w:tc>
        <w:tc>
          <w:tcPr>
            <w:tcW w:w="980" w:type="dxa"/>
            <w:vAlign w:val="bottom"/>
          </w:tcPr>
          <w:p>
            <w:pPr>
              <w:jc w:val="right"/>
              <w:ind w:right="140"/>
              <w:spacing w:after="0"/>
              <w:rPr>
                <w:sz w:val="20"/>
                <w:szCs w:val="20"/>
                <w:color w:val="auto"/>
              </w:rPr>
            </w:pPr>
            <w:r>
              <w:rPr>
                <w:rFonts w:ascii="Arial" w:cs="Arial" w:eastAsia="Arial" w:hAnsi="Arial"/>
                <w:sz w:val="16"/>
                <w:szCs w:val="16"/>
                <w:b w:val="1"/>
                <w:bCs w:val="1"/>
                <w:color w:val="auto"/>
              </w:rPr>
              <w:t>5,436</w:t>
            </w:r>
          </w:p>
        </w:tc>
        <w:tc>
          <w:tcPr>
            <w:tcW w:w="420" w:type="dxa"/>
            <w:vAlign w:val="bottom"/>
          </w:tcPr>
          <w:p>
            <w:pPr>
              <w:spacing w:after="0"/>
              <w:rPr>
                <w:sz w:val="23"/>
                <w:szCs w:val="23"/>
                <w:color w:val="auto"/>
              </w:rPr>
            </w:pPr>
          </w:p>
        </w:tc>
        <w:tc>
          <w:tcPr>
            <w:tcW w:w="840" w:type="dxa"/>
            <w:vAlign w:val="bottom"/>
          </w:tcPr>
          <w:p>
            <w:pPr>
              <w:jc w:val="right"/>
              <w:ind w:right="100"/>
              <w:spacing w:after="0"/>
              <w:rPr>
                <w:sz w:val="20"/>
                <w:szCs w:val="20"/>
                <w:color w:val="auto"/>
              </w:rPr>
            </w:pPr>
            <w:r>
              <w:rPr>
                <w:rFonts w:ascii="Arial" w:cs="Arial" w:eastAsia="Arial" w:hAnsi="Arial"/>
                <w:sz w:val="16"/>
                <w:szCs w:val="16"/>
                <w:color w:val="auto"/>
              </w:rPr>
              <w:t>5,535</w:t>
            </w:r>
          </w:p>
        </w:tc>
        <w:tc>
          <w:tcPr>
            <w:tcW w:w="0" w:type="dxa"/>
            <w:vAlign w:val="bottom"/>
          </w:tcPr>
          <w:p>
            <w:pPr>
              <w:spacing w:after="0"/>
              <w:rPr>
                <w:sz w:val="1"/>
                <w:szCs w:val="1"/>
                <w:color w:val="auto"/>
              </w:rPr>
            </w:pPr>
          </w:p>
        </w:tc>
      </w:tr>
      <w:tr>
        <w:trPr>
          <w:trHeight w:val="283"/>
        </w:trPr>
        <w:tc>
          <w:tcPr>
            <w:tcW w:w="8900" w:type="dxa"/>
            <w:vAlign w:val="bottom"/>
          </w:tcPr>
          <w:p>
            <w:pPr>
              <w:ind w:left="280"/>
              <w:spacing w:after="0"/>
              <w:rPr>
                <w:sz w:val="20"/>
                <w:szCs w:val="20"/>
                <w:color w:val="auto"/>
              </w:rPr>
            </w:pPr>
            <w:r>
              <w:rPr>
                <w:rFonts w:ascii="Arial" w:cs="Arial" w:eastAsia="Arial" w:hAnsi="Arial"/>
                <w:sz w:val="16"/>
                <w:szCs w:val="16"/>
                <w:color w:val="auto"/>
              </w:rPr>
              <w:t>Add: Effect of dilutive stock options</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37</w:t>
            </w: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64"/>
        </w:trPr>
        <w:tc>
          <w:tcPr>
            <w:tcW w:w="8900" w:type="dxa"/>
            <w:vAlign w:val="bottom"/>
          </w:tcPr>
          <w:p>
            <w:pPr>
              <w:ind w:left="180"/>
              <w:spacing w:after="0"/>
              <w:rPr>
                <w:sz w:val="20"/>
                <w:szCs w:val="20"/>
                <w:color w:val="auto"/>
              </w:rPr>
            </w:pPr>
            <w:r>
              <w:rPr>
                <w:rFonts w:ascii="Arial" w:cs="Arial" w:eastAsia="Arial" w:hAnsi="Arial"/>
                <w:sz w:val="16"/>
                <w:szCs w:val="16"/>
                <w:color w:val="auto"/>
              </w:rPr>
              <w:t>Denominator for diluted earnings per share</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5,473</w:t>
            </w:r>
          </w:p>
        </w:tc>
        <w:tc>
          <w:tcPr>
            <w:tcW w:w="4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5,569</w:t>
            </w:r>
          </w:p>
        </w:tc>
        <w:tc>
          <w:tcPr>
            <w:tcW w:w="0" w:type="dxa"/>
            <w:vAlign w:val="bottom"/>
          </w:tcPr>
          <w:p>
            <w:pPr>
              <w:spacing w:after="0"/>
              <w:rPr>
                <w:sz w:val="1"/>
                <w:szCs w:val="1"/>
                <w:color w:val="auto"/>
              </w:rPr>
            </w:pPr>
          </w:p>
        </w:tc>
      </w:tr>
      <w:tr>
        <w:trPr>
          <w:trHeight w:val="20"/>
        </w:trPr>
        <w:tc>
          <w:tcPr>
            <w:tcW w:w="89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Graham Holdings Company Common Stockholders:</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90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7"/>
        </w:trPr>
        <w:tc>
          <w:tcPr>
            <w:tcW w:w="8900" w:type="dxa"/>
            <w:vAlign w:val="bottom"/>
          </w:tcPr>
          <w:p>
            <w:pPr>
              <w:ind w:left="180"/>
              <w:spacing w:after="0"/>
              <w:rPr>
                <w:sz w:val="20"/>
                <w:szCs w:val="20"/>
                <w:color w:val="auto"/>
              </w:rPr>
            </w:pPr>
            <w:r>
              <w:rPr>
                <w:rFonts w:ascii="Arial" w:cs="Arial" w:eastAsia="Arial" w:hAnsi="Arial"/>
                <w:sz w:val="16"/>
                <w:szCs w:val="16"/>
                <w:b w:val="1"/>
                <w:bCs w:val="1"/>
                <w:color w:val="auto"/>
              </w:rPr>
              <w:t>Basic earnings per share</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7.84</w:t>
            </w:r>
          </w:p>
        </w:tc>
        <w:tc>
          <w:tcPr>
            <w:tcW w:w="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3.77</w:t>
            </w:r>
          </w:p>
        </w:tc>
        <w:tc>
          <w:tcPr>
            <w:tcW w:w="0" w:type="dxa"/>
            <w:vAlign w:val="bottom"/>
          </w:tcPr>
          <w:p>
            <w:pPr>
              <w:spacing w:after="0"/>
              <w:rPr>
                <w:sz w:val="1"/>
                <w:szCs w:val="1"/>
                <w:color w:val="auto"/>
              </w:rPr>
            </w:pPr>
          </w:p>
        </w:tc>
      </w:tr>
      <w:tr>
        <w:trPr>
          <w:trHeight w:val="20"/>
        </w:trPr>
        <w:tc>
          <w:tcPr>
            <w:tcW w:w="8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8900" w:type="dxa"/>
            <w:vAlign w:val="bottom"/>
          </w:tcPr>
          <w:p>
            <w:pPr>
              <w:ind w:left="180"/>
              <w:spacing w:after="0"/>
              <w:rPr>
                <w:sz w:val="20"/>
                <w:szCs w:val="20"/>
                <w:color w:val="auto"/>
              </w:rPr>
            </w:pPr>
            <w:r>
              <w:rPr>
                <w:rFonts w:ascii="Arial" w:cs="Arial" w:eastAsia="Arial" w:hAnsi="Arial"/>
                <w:sz w:val="16"/>
                <w:szCs w:val="16"/>
                <w:b w:val="1"/>
                <w:bCs w:val="1"/>
                <w:color w:val="auto"/>
              </w:rPr>
              <w:t>Diluted earnings per share</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7.78</w:t>
            </w:r>
          </w:p>
        </w:tc>
        <w:tc>
          <w:tcPr>
            <w:tcW w:w="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3.75</w:t>
            </w:r>
          </w:p>
        </w:tc>
        <w:tc>
          <w:tcPr>
            <w:tcW w:w="0" w:type="dxa"/>
            <w:vAlign w:val="bottom"/>
          </w:tcPr>
          <w:p>
            <w:pPr>
              <w:spacing w:after="0"/>
              <w:rPr>
                <w:sz w:val="1"/>
                <w:szCs w:val="1"/>
                <w:color w:val="auto"/>
              </w:rPr>
            </w:pPr>
          </w:p>
        </w:tc>
      </w:tr>
      <w:tr>
        <w:trPr>
          <w:trHeight w:val="20"/>
        </w:trPr>
        <w:tc>
          <w:tcPr>
            <w:tcW w:w="8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Diluted earnings per share excludes the following weighted average potential common shares, as the effect would be antidilutive, as computed under the treasury stock method:</w:t>
      </w:r>
    </w:p>
    <w:p>
      <w:pPr>
        <w:spacing w:after="0" w:line="136" w:lineRule="exact"/>
        <w:rPr>
          <w:sz w:val="20"/>
          <w:szCs w:val="20"/>
          <w:color w:val="auto"/>
        </w:rPr>
      </w:pPr>
    </w:p>
    <w:p>
      <w:pPr>
        <w:ind w:left="956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160" w:type="dxa"/>
            <w:vAlign w:val="bottom"/>
          </w:tcPr>
          <w:p>
            <w:pPr>
              <w:spacing w:after="0"/>
              <w:rPr>
                <w:sz w:val="16"/>
                <w:szCs w:val="16"/>
                <w:color w:val="auto"/>
              </w:rPr>
            </w:pPr>
          </w:p>
        </w:tc>
        <w:tc>
          <w:tcPr>
            <w:tcW w:w="1540" w:type="dxa"/>
            <w:vAlign w:val="bottom"/>
            <w:tcBorders>
              <w:bottom w:val="single" w:sz="8" w:color="auto"/>
            </w:tcBorders>
          </w:tcPr>
          <w:p>
            <w:pPr>
              <w:ind w:left="840"/>
              <w:spacing w:after="0"/>
              <w:rPr>
                <w:sz w:val="20"/>
                <w:szCs w:val="20"/>
                <w:color w:val="auto"/>
              </w:rPr>
            </w:pPr>
            <w:r>
              <w:rPr>
                <w:rFonts w:ascii="Arial" w:cs="Arial" w:eastAsia="Arial" w:hAnsi="Arial"/>
                <w:sz w:val="14"/>
                <w:szCs w:val="14"/>
                <w:b w:val="1"/>
                <w:bCs w:val="1"/>
                <w:color w:val="auto"/>
              </w:rPr>
              <w:t>March 31</w:t>
            </w:r>
          </w:p>
        </w:tc>
        <w:tc>
          <w:tcPr>
            <w:tcW w:w="720" w:type="dxa"/>
            <w:vAlign w:val="bottom"/>
            <w:tcBorders>
              <w:bottom w:val="single" w:sz="8" w:color="auto"/>
            </w:tcBorders>
          </w:tcPr>
          <w:p>
            <w:pPr>
              <w:spacing w:after="0"/>
              <w:rPr>
                <w:sz w:val="16"/>
                <w:szCs w:val="16"/>
                <w:color w:val="auto"/>
              </w:rPr>
            </w:pPr>
          </w:p>
        </w:tc>
      </w:tr>
      <w:tr>
        <w:trPr>
          <w:trHeight w:val="258"/>
        </w:trPr>
        <w:tc>
          <w:tcPr>
            <w:tcW w:w="9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540" w:type="dxa"/>
            <w:vAlign w:val="bottom"/>
            <w:tcBorders>
              <w:bottom w:val="single" w:sz="8" w:color="auto"/>
            </w:tcBorders>
          </w:tcPr>
          <w:p>
            <w:pPr>
              <w:jc w:val="right"/>
              <w:ind w:right="745"/>
              <w:spacing w:after="0"/>
              <w:rPr>
                <w:sz w:val="20"/>
                <w:szCs w:val="20"/>
                <w:color w:val="auto"/>
              </w:rPr>
            </w:pPr>
            <w:r>
              <w:rPr>
                <w:rFonts w:ascii="Arial" w:cs="Arial" w:eastAsia="Arial" w:hAnsi="Arial"/>
                <w:sz w:val="14"/>
                <w:szCs w:val="14"/>
                <w:b w:val="1"/>
                <w:bCs w:val="1"/>
                <w:color w:val="auto"/>
              </w:rPr>
              <w:t>2018</w:t>
            </w:r>
          </w:p>
        </w:tc>
        <w:tc>
          <w:tcPr>
            <w:tcW w:w="720" w:type="dxa"/>
            <w:vAlign w:val="bottom"/>
            <w:tcBorders>
              <w:bottom w:val="single" w:sz="8" w:color="auto"/>
            </w:tcBorders>
          </w:tcPr>
          <w:p>
            <w:pPr>
              <w:jc w:val="right"/>
              <w:ind w:right="263"/>
              <w:spacing w:after="0"/>
              <w:rPr>
                <w:sz w:val="20"/>
                <w:szCs w:val="20"/>
                <w:color w:val="auto"/>
              </w:rPr>
            </w:pPr>
            <w:r>
              <w:rPr>
                <w:rFonts w:ascii="Arial" w:cs="Arial" w:eastAsia="Arial" w:hAnsi="Arial"/>
                <w:sz w:val="14"/>
                <w:szCs w:val="14"/>
                <w:color w:val="auto"/>
              </w:rPr>
              <w:t>2017</w:t>
            </w:r>
          </w:p>
        </w:tc>
      </w:tr>
      <w:tr>
        <w:trPr>
          <w:trHeight w:val="250"/>
        </w:trPr>
        <w:tc>
          <w:tcPr>
            <w:tcW w:w="9160" w:type="dxa"/>
            <w:vAlign w:val="bottom"/>
          </w:tcPr>
          <w:p>
            <w:pPr>
              <w:ind w:left="180"/>
              <w:spacing w:after="0"/>
              <w:rPr>
                <w:sz w:val="20"/>
                <w:szCs w:val="20"/>
                <w:color w:val="auto"/>
              </w:rPr>
            </w:pPr>
            <w:r>
              <w:rPr>
                <w:rFonts w:ascii="Arial" w:cs="Arial" w:eastAsia="Arial" w:hAnsi="Arial"/>
                <w:sz w:val="16"/>
                <w:szCs w:val="16"/>
                <w:color w:val="auto"/>
              </w:rPr>
              <w:t>Weighted average restricted stock</w:t>
            </w:r>
          </w:p>
        </w:tc>
        <w:tc>
          <w:tcPr>
            <w:tcW w:w="1540" w:type="dxa"/>
            <w:vAlign w:val="bottom"/>
          </w:tcPr>
          <w:p>
            <w:pPr>
              <w:ind w:left="860"/>
              <w:spacing w:after="0"/>
              <w:rPr>
                <w:sz w:val="20"/>
                <w:szCs w:val="20"/>
                <w:color w:val="auto"/>
              </w:rPr>
            </w:pPr>
            <w:r>
              <w:rPr>
                <w:rFonts w:ascii="Arial" w:cs="Arial" w:eastAsia="Arial" w:hAnsi="Arial"/>
                <w:sz w:val="16"/>
                <w:szCs w:val="16"/>
                <w:b w:val="1"/>
                <w:bCs w:val="1"/>
                <w:color w:val="auto"/>
              </w:rPr>
              <w:t>28</w:t>
            </w:r>
          </w:p>
        </w:tc>
        <w:tc>
          <w:tcPr>
            <w:tcW w:w="720" w:type="dxa"/>
            <w:vAlign w:val="bottom"/>
          </w:tcPr>
          <w:p>
            <w:pPr>
              <w:jc w:val="right"/>
              <w:ind w:right="23"/>
              <w:spacing w:after="0"/>
              <w:rPr>
                <w:sz w:val="20"/>
                <w:szCs w:val="20"/>
                <w:color w:val="auto"/>
              </w:rPr>
            </w:pPr>
            <w:r>
              <w:rPr>
                <w:rFonts w:ascii="Arial" w:cs="Arial" w:eastAsia="Arial" w:hAnsi="Arial"/>
                <w:sz w:val="16"/>
                <w:szCs w:val="16"/>
                <w:color w:val="auto"/>
              </w:rPr>
              <w:t>28</w:t>
            </w:r>
          </w:p>
        </w:tc>
      </w:tr>
    </w:tbl>
    <w:p>
      <w:pPr>
        <w:spacing w:after="0" w:line="167" w:lineRule="exact"/>
        <w:rPr>
          <w:sz w:val="20"/>
          <w:szCs w:val="20"/>
          <w:color w:val="auto"/>
        </w:rPr>
      </w:pPr>
    </w:p>
    <w:p>
      <w:pPr>
        <w:jc w:val="both"/>
        <w:ind w:right="260"/>
        <w:spacing w:after="0" w:line="229" w:lineRule="auto"/>
        <w:rPr>
          <w:sz w:val="20"/>
          <w:szCs w:val="20"/>
          <w:color w:val="auto"/>
        </w:rPr>
      </w:pPr>
      <w:r>
        <w:rPr>
          <w:rFonts w:ascii="Arial" w:cs="Arial" w:eastAsia="Arial" w:hAnsi="Arial"/>
          <w:sz w:val="18"/>
          <w:szCs w:val="18"/>
          <w:color w:val="auto"/>
        </w:rPr>
        <w:t>The diluted earnings per share amounts for the three months ended March 31, 2018 and March 31, 2017 exclude the effects of 104,000 and 102,000 stock options outstanding, as their inclusion would have been antidilutive due to a market condition. The diluted earnings per share amounts for the three months ended March 31, 2018 and</w:t>
      </w:r>
    </w:p>
    <w:p>
      <w:pPr>
        <w:sectPr>
          <w:pgSz w:w="11900" w:h="16838" w:orient="portrait"/>
          <w:cols w:equalWidth="0" w:num="1">
            <w:col w:w="11420"/>
          </w:cols>
          <w:pgMar w:left="240" w:top="733" w:right="239"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420"/>
          </w:cols>
          <w:pgMar w:left="240" w:top="733" w:right="239" w:bottom="1440" w:gutter="0" w:footer="0" w:header="0"/>
          <w:type w:val="continuous"/>
        </w:sectPr>
      </w:pPr>
    </w:p>
    <w:bookmarkStart w:id="22" w:name="page23"/>
    <w:bookmarkEnd w:id="22"/>
    <w:p>
      <w:pPr>
        <w:ind w:right="40"/>
        <w:spacing w:after="0" w:line="235" w:lineRule="auto"/>
        <w:rPr>
          <w:sz w:val="20"/>
          <w:szCs w:val="20"/>
          <w:color w:val="auto"/>
        </w:rPr>
      </w:pPr>
      <w:r>
        <w:rPr>
          <w:rFonts w:ascii="Arial" w:cs="Arial" w:eastAsia="Arial" w:hAnsi="Arial"/>
          <w:sz w:val="18"/>
          <w:szCs w:val="18"/>
          <w:color w:val="auto"/>
        </w:rPr>
        <w:t>March 31, 2017 exclude the effects of 5,250 and 5,450 restricted stock awards, respectively, as their inclusion would have been antidilutive due to a performance condition.</w:t>
      </w:r>
    </w:p>
    <w:p>
      <w:pPr>
        <w:spacing w:after="0" w:line="135" w:lineRule="exact"/>
        <w:rPr>
          <w:sz w:val="20"/>
          <w:szCs w:val="20"/>
          <w:color w:val="auto"/>
        </w:rPr>
      </w:pPr>
    </w:p>
    <w:p>
      <w:pPr>
        <w:ind w:right="680"/>
        <w:spacing w:after="0" w:line="235" w:lineRule="auto"/>
        <w:rPr>
          <w:sz w:val="20"/>
          <w:szCs w:val="20"/>
          <w:color w:val="auto"/>
        </w:rPr>
      </w:pPr>
      <w:r>
        <w:rPr>
          <w:rFonts w:ascii="Arial" w:cs="Arial" w:eastAsia="Arial" w:hAnsi="Arial"/>
          <w:sz w:val="18"/>
          <w:szCs w:val="18"/>
          <w:color w:val="auto"/>
        </w:rPr>
        <w:t>In the three months ended March 31, 2018, and March 31, 2017, the Company declared regular dividends totaling $2.66 and $2.54 per common share, respectively.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PENSION AND POSTRETIREMENT PLANS</w:t>
      </w:r>
    </w:p>
    <w:p>
      <w:pPr>
        <w:spacing w:after="0" w:line="166" w:lineRule="exact"/>
        <w:rPr>
          <w:sz w:val="20"/>
          <w:szCs w:val="20"/>
          <w:color w:val="auto"/>
        </w:rPr>
      </w:pPr>
    </w:p>
    <w:p>
      <w:pPr>
        <w:ind w:right="160"/>
        <w:spacing w:after="0" w:line="229" w:lineRule="auto"/>
        <w:rPr>
          <w:sz w:val="20"/>
          <w:szCs w:val="20"/>
          <w:color w:val="auto"/>
        </w:rPr>
      </w:pPr>
      <w:r>
        <w:rPr>
          <w:rFonts w:ascii="Arial" w:cs="Arial" w:eastAsia="Arial" w:hAnsi="Arial"/>
          <w:sz w:val="18"/>
          <w:szCs w:val="18"/>
          <w:color w:val="auto"/>
        </w:rPr>
        <w:t>In the first quarter of 2018, the Company adopted new guidance which requires the presentation of service cost in the same line item as other compensation costs arising from services by employees during the period, while the other components of the net periodic benefit are recognized in non-operating pension and postretirement benefit income in the Company's Condensed Consolidated Statement of Operations.</w:t>
      </w:r>
    </w:p>
    <w:p>
      <w:pPr>
        <w:spacing w:after="0" w:line="137" w:lineRule="exact"/>
        <w:rPr>
          <w:sz w:val="20"/>
          <w:szCs w:val="20"/>
          <w:color w:val="auto"/>
        </w:rPr>
      </w:pPr>
    </w:p>
    <w:p>
      <w:pPr>
        <w:ind w:right="80"/>
        <w:spacing w:after="0" w:line="225" w:lineRule="auto"/>
        <w:rPr>
          <w:sz w:val="20"/>
          <w:szCs w:val="20"/>
          <w:color w:val="auto"/>
        </w:rPr>
      </w:pPr>
      <w:r>
        <w:rPr>
          <w:rFonts w:ascii="Arial" w:cs="Arial" w:eastAsia="Arial" w:hAnsi="Arial"/>
          <w:sz w:val="18"/>
          <w:szCs w:val="18"/>
          <w:color w:val="auto"/>
        </w:rPr>
        <w:t>On March 22, 2018, the Company eliminated the accrual of pension benefits for certain Kaplan University employees related to their future service. As a result, the Company remeasured the accumulated and projected benefit obligation of the pension plan as of March 22, 2018, and the Company recorded a curtailment gain in the first quarter of 2018. The new measurement basis was used for the recognition of the Company's pension benefit following the remeasurement. The curtailment gain on the Kaplan University transaction is included in the gain on the Kaplan University transaction and reported in Other income, net on the Condensed Consolidated Statement of Operations.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Defined Benefit Plans. </w:t>
      </w:r>
      <w:r>
        <w:rPr>
          <w:rFonts w:ascii="Arial" w:cs="Arial" w:eastAsia="Arial" w:hAnsi="Arial"/>
          <w:sz w:val="18"/>
          <w:szCs w:val="18"/>
          <w:color w:val="auto"/>
        </w:rPr>
        <w:t>The total benefit arising from the Company’s defined benefit pension plans consists of the following components: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5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2017</w:t>
            </w:r>
          </w:p>
        </w:tc>
      </w:tr>
      <w:tr>
        <w:trPr>
          <w:trHeight w:val="250"/>
        </w:trPr>
        <w:tc>
          <w:tcPr>
            <w:tcW w:w="8580" w:type="dxa"/>
            <w:vAlign w:val="bottom"/>
          </w:tcPr>
          <w:p>
            <w:pPr>
              <w:ind w:left="40"/>
              <w:spacing w:after="0"/>
              <w:rPr>
                <w:sz w:val="20"/>
                <w:szCs w:val="20"/>
                <w:color w:val="auto"/>
              </w:rPr>
            </w:pPr>
            <w:r>
              <w:rPr>
                <w:rFonts w:ascii="Arial" w:cs="Arial" w:eastAsia="Arial" w:hAnsi="Arial"/>
                <w:sz w:val="16"/>
                <w:szCs w:val="16"/>
                <w:color w:val="auto"/>
              </w:rPr>
              <w:t>Service cost</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Pr>
          <w:p>
            <w:pPr>
              <w:jc w:val="right"/>
              <w:ind w:right="61"/>
              <w:spacing w:after="0"/>
              <w:rPr>
                <w:sz w:val="20"/>
                <w:szCs w:val="20"/>
                <w:color w:val="auto"/>
              </w:rPr>
            </w:pPr>
            <w:r>
              <w:rPr>
                <w:rFonts w:ascii="Arial" w:cs="Arial" w:eastAsia="Arial" w:hAnsi="Arial"/>
                <w:sz w:val="16"/>
                <w:szCs w:val="16"/>
                <w:b w:val="1"/>
                <w:bCs w:val="1"/>
                <w:color w:val="auto"/>
              </w:rPr>
              <w:t>4,940</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4,914</w:t>
            </w:r>
          </w:p>
        </w:tc>
      </w:tr>
      <w:tr>
        <w:trPr>
          <w:trHeight w:val="270"/>
        </w:trPr>
        <w:tc>
          <w:tcPr>
            <w:tcW w:w="858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240" w:type="dxa"/>
            <w:vAlign w:val="bottom"/>
          </w:tcPr>
          <w:p>
            <w:pPr>
              <w:spacing w:after="0"/>
              <w:rPr>
                <w:sz w:val="23"/>
                <w:szCs w:val="23"/>
                <w:color w:val="auto"/>
              </w:rPr>
            </w:pPr>
          </w:p>
        </w:tc>
        <w:tc>
          <w:tcPr>
            <w:tcW w:w="1160" w:type="dxa"/>
            <w:vAlign w:val="bottom"/>
          </w:tcPr>
          <w:p>
            <w:pPr>
              <w:jc w:val="right"/>
              <w:ind w:right="61"/>
              <w:spacing w:after="0"/>
              <w:rPr>
                <w:sz w:val="20"/>
                <w:szCs w:val="20"/>
                <w:color w:val="auto"/>
              </w:rPr>
            </w:pPr>
            <w:r>
              <w:rPr>
                <w:rFonts w:ascii="Arial" w:cs="Arial" w:eastAsia="Arial" w:hAnsi="Arial"/>
                <w:sz w:val="16"/>
                <w:szCs w:val="16"/>
                <w:b w:val="1"/>
                <w:bCs w:val="1"/>
                <w:color w:val="auto"/>
              </w:rPr>
              <w:t>11,255</w:t>
            </w:r>
          </w:p>
        </w:tc>
        <w:tc>
          <w:tcPr>
            <w:tcW w:w="40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11,986</w:t>
            </w:r>
          </w:p>
        </w:tc>
      </w:tr>
      <w:tr>
        <w:trPr>
          <w:trHeight w:val="270"/>
        </w:trPr>
        <w:tc>
          <w:tcPr>
            <w:tcW w:w="8580" w:type="dxa"/>
            <w:vAlign w:val="bottom"/>
          </w:tcPr>
          <w:p>
            <w:pPr>
              <w:ind w:left="40"/>
              <w:spacing w:after="0"/>
              <w:rPr>
                <w:sz w:val="20"/>
                <w:szCs w:val="20"/>
                <w:color w:val="auto"/>
              </w:rPr>
            </w:pPr>
            <w:r>
              <w:rPr>
                <w:rFonts w:ascii="Arial" w:cs="Arial" w:eastAsia="Arial" w:hAnsi="Arial"/>
                <w:sz w:val="16"/>
                <w:szCs w:val="16"/>
                <w:color w:val="auto"/>
              </w:rPr>
              <w:t>Expected return on assets</w:t>
            </w:r>
          </w:p>
        </w:tc>
        <w:tc>
          <w:tcPr>
            <w:tcW w:w="240" w:type="dxa"/>
            <w:vAlign w:val="bottom"/>
          </w:tcPr>
          <w:p>
            <w:pPr>
              <w:spacing w:after="0"/>
              <w:rPr>
                <w:sz w:val="23"/>
                <w:szCs w:val="23"/>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b w:val="1"/>
                <w:bCs w:val="1"/>
                <w:color w:val="auto"/>
              </w:rPr>
              <w:t>(32,486)</w:t>
            </w:r>
          </w:p>
        </w:tc>
        <w:tc>
          <w:tcPr>
            <w:tcW w:w="4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(30,337)</w:t>
            </w:r>
          </w:p>
        </w:tc>
      </w:tr>
      <w:tr>
        <w:trPr>
          <w:trHeight w:val="270"/>
        </w:trPr>
        <w:tc>
          <w:tcPr>
            <w:tcW w:w="8580" w:type="dxa"/>
            <w:vAlign w:val="bottom"/>
          </w:tcPr>
          <w:p>
            <w:pPr>
              <w:ind w:left="40"/>
              <w:spacing w:after="0"/>
              <w:rPr>
                <w:sz w:val="20"/>
                <w:szCs w:val="20"/>
                <w:color w:val="auto"/>
              </w:rPr>
            </w:pPr>
            <w:r>
              <w:rPr>
                <w:rFonts w:ascii="Arial" w:cs="Arial" w:eastAsia="Arial" w:hAnsi="Arial"/>
                <w:sz w:val="16"/>
                <w:szCs w:val="16"/>
                <w:color w:val="auto"/>
              </w:rPr>
              <w:t>Amortization of prior service cost</w:t>
            </w:r>
          </w:p>
        </w:tc>
        <w:tc>
          <w:tcPr>
            <w:tcW w:w="240" w:type="dxa"/>
            <w:vAlign w:val="bottom"/>
          </w:tcPr>
          <w:p>
            <w:pPr>
              <w:spacing w:after="0"/>
              <w:rPr>
                <w:sz w:val="23"/>
                <w:szCs w:val="23"/>
                <w:color w:val="auto"/>
              </w:rPr>
            </w:pPr>
          </w:p>
        </w:tc>
        <w:tc>
          <w:tcPr>
            <w:tcW w:w="1160" w:type="dxa"/>
            <w:vAlign w:val="bottom"/>
          </w:tcPr>
          <w:p>
            <w:pPr>
              <w:jc w:val="right"/>
              <w:ind w:right="61"/>
              <w:spacing w:after="0"/>
              <w:rPr>
                <w:sz w:val="20"/>
                <w:szCs w:val="20"/>
                <w:color w:val="auto"/>
              </w:rPr>
            </w:pPr>
            <w:r>
              <w:rPr>
                <w:rFonts w:ascii="Arial" w:cs="Arial" w:eastAsia="Arial" w:hAnsi="Arial"/>
                <w:sz w:val="16"/>
                <w:szCs w:val="16"/>
                <w:b w:val="1"/>
                <w:bCs w:val="1"/>
                <w:color w:val="auto"/>
              </w:rPr>
              <w:t>42</w:t>
            </w:r>
          </w:p>
        </w:tc>
        <w:tc>
          <w:tcPr>
            <w:tcW w:w="40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43</w:t>
            </w:r>
          </w:p>
        </w:tc>
      </w:tr>
      <w:tr>
        <w:trPr>
          <w:trHeight w:val="283"/>
        </w:trPr>
        <w:tc>
          <w:tcPr>
            <w:tcW w:w="8580" w:type="dxa"/>
            <w:vAlign w:val="bottom"/>
          </w:tcPr>
          <w:p>
            <w:pPr>
              <w:ind w:left="40"/>
              <w:spacing w:after="0"/>
              <w:rPr>
                <w:sz w:val="20"/>
                <w:szCs w:val="20"/>
                <w:color w:val="auto"/>
              </w:rPr>
            </w:pPr>
            <w:r>
              <w:rPr>
                <w:rFonts w:ascii="Arial" w:cs="Arial" w:eastAsia="Arial" w:hAnsi="Arial"/>
                <w:sz w:val="16"/>
                <w:szCs w:val="16"/>
                <w:color w:val="auto"/>
              </w:rPr>
              <w:t>Recognized actuarial gain</w:t>
            </w: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(1,046)</w:t>
            </w: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(1,294)</w:t>
            </w:r>
          </w:p>
        </w:tc>
      </w:tr>
      <w:tr>
        <w:trPr>
          <w:trHeight w:val="251"/>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Net Periodic Benefit</w:t>
            </w:r>
          </w:p>
        </w:tc>
        <w:tc>
          <w:tcPr>
            <w:tcW w:w="240" w:type="dxa"/>
            <w:vAlign w:val="bottom"/>
          </w:tcPr>
          <w:p>
            <w:pPr>
              <w:spacing w:after="0"/>
              <w:rPr>
                <w:sz w:val="21"/>
                <w:szCs w:val="21"/>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b w:val="1"/>
                <w:bCs w:val="1"/>
                <w:color w:val="auto"/>
              </w:rPr>
              <w:t>(17,295)</w:t>
            </w: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(14,688)</w:t>
            </w:r>
          </w:p>
        </w:tc>
      </w:tr>
      <w:tr>
        <w:trPr>
          <w:trHeight w:val="283"/>
        </w:trPr>
        <w:tc>
          <w:tcPr>
            <w:tcW w:w="8580" w:type="dxa"/>
            <w:vAlign w:val="bottom"/>
          </w:tcPr>
          <w:p>
            <w:pPr>
              <w:ind w:left="40"/>
              <w:spacing w:after="0"/>
              <w:rPr>
                <w:sz w:val="20"/>
                <w:szCs w:val="20"/>
                <w:color w:val="auto"/>
              </w:rPr>
            </w:pPr>
            <w:r>
              <w:rPr>
                <w:rFonts w:ascii="Arial" w:cs="Arial" w:eastAsia="Arial" w:hAnsi="Arial"/>
                <w:sz w:val="16"/>
                <w:szCs w:val="16"/>
                <w:color w:val="auto"/>
              </w:rPr>
              <w:t>Curtailment gain</w:t>
            </w: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(806)</w:t>
            </w: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r>
      <w:tr>
        <w:trPr>
          <w:trHeight w:val="267"/>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Total Benefit</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(18,101)</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(14,688)</w:t>
            </w:r>
          </w:p>
        </w:tc>
      </w:tr>
      <w:tr>
        <w:trPr>
          <w:trHeight w:val="20"/>
        </w:trPr>
        <w:tc>
          <w:tcPr>
            <w:tcW w:w="8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total cost arising from the Company’s Supplemental Executive Retirement Plan (SERP) consists of the following components: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5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2017</w:t>
            </w:r>
          </w:p>
        </w:tc>
      </w:tr>
      <w:tr>
        <w:trPr>
          <w:trHeight w:val="250"/>
        </w:trPr>
        <w:tc>
          <w:tcPr>
            <w:tcW w:w="8580" w:type="dxa"/>
            <w:vAlign w:val="bottom"/>
          </w:tcPr>
          <w:p>
            <w:pPr>
              <w:ind w:left="40"/>
              <w:spacing w:after="0"/>
              <w:rPr>
                <w:sz w:val="20"/>
                <w:szCs w:val="20"/>
                <w:color w:val="auto"/>
              </w:rPr>
            </w:pPr>
            <w:r>
              <w:rPr>
                <w:rFonts w:ascii="Arial" w:cs="Arial" w:eastAsia="Arial" w:hAnsi="Arial"/>
                <w:sz w:val="16"/>
                <w:szCs w:val="16"/>
                <w:color w:val="auto"/>
              </w:rPr>
              <w:t>Service cost</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Pr>
          <w:p>
            <w:pPr>
              <w:jc w:val="right"/>
              <w:ind w:right="42"/>
              <w:spacing w:after="0"/>
              <w:rPr>
                <w:sz w:val="20"/>
                <w:szCs w:val="20"/>
                <w:color w:val="auto"/>
              </w:rPr>
            </w:pPr>
            <w:r>
              <w:rPr>
                <w:rFonts w:ascii="Arial" w:cs="Arial" w:eastAsia="Arial" w:hAnsi="Arial"/>
                <w:sz w:val="16"/>
                <w:szCs w:val="16"/>
                <w:b w:val="1"/>
                <w:bCs w:val="1"/>
                <w:color w:val="auto"/>
              </w:rPr>
              <w:t>205</w:t>
            </w:r>
          </w:p>
        </w:tc>
        <w:tc>
          <w:tcPr>
            <w:tcW w:w="4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214</w:t>
            </w:r>
          </w:p>
        </w:tc>
      </w:tr>
      <w:tr>
        <w:trPr>
          <w:trHeight w:val="270"/>
        </w:trPr>
        <w:tc>
          <w:tcPr>
            <w:tcW w:w="858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240" w:type="dxa"/>
            <w:vAlign w:val="bottom"/>
          </w:tcPr>
          <w:p>
            <w:pPr>
              <w:spacing w:after="0"/>
              <w:rPr>
                <w:sz w:val="23"/>
                <w:szCs w:val="23"/>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b w:val="1"/>
                <w:bCs w:val="1"/>
                <w:color w:val="auto"/>
              </w:rPr>
              <w:t>966</w:t>
            </w:r>
          </w:p>
        </w:tc>
        <w:tc>
          <w:tcPr>
            <w:tcW w:w="42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1,058</w:t>
            </w:r>
          </w:p>
        </w:tc>
      </w:tr>
      <w:tr>
        <w:trPr>
          <w:trHeight w:val="270"/>
        </w:trPr>
        <w:tc>
          <w:tcPr>
            <w:tcW w:w="8580" w:type="dxa"/>
            <w:vAlign w:val="bottom"/>
          </w:tcPr>
          <w:p>
            <w:pPr>
              <w:ind w:left="40"/>
              <w:spacing w:after="0"/>
              <w:rPr>
                <w:sz w:val="20"/>
                <w:szCs w:val="20"/>
                <w:color w:val="auto"/>
              </w:rPr>
            </w:pPr>
            <w:r>
              <w:rPr>
                <w:rFonts w:ascii="Arial" w:cs="Arial" w:eastAsia="Arial" w:hAnsi="Arial"/>
                <w:sz w:val="16"/>
                <w:szCs w:val="16"/>
                <w:color w:val="auto"/>
              </w:rPr>
              <w:t>Amortization of prior service cost</w:t>
            </w:r>
          </w:p>
        </w:tc>
        <w:tc>
          <w:tcPr>
            <w:tcW w:w="240" w:type="dxa"/>
            <w:vAlign w:val="bottom"/>
          </w:tcPr>
          <w:p>
            <w:pPr>
              <w:spacing w:after="0"/>
              <w:rPr>
                <w:sz w:val="23"/>
                <w:szCs w:val="23"/>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b w:val="1"/>
                <w:bCs w:val="1"/>
                <w:color w:val="auto"/>
              </w:rPr>
              <w:t>78</w:t>
            </w:r>
          </w:p>
        </w:tc>
        <w:tc>
          <w:tcPr>
            <w:tcW w:w="42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114</w:t>
            </w:r>
          </w:p>
        </w:tc>
      </w:tr>
      <w:tr>
        <w:trPr>
          <w:trHeight w:val="283"/>
        </w:trPr>
        <w:tc>
          <w:tcPr>
            <w:tcW w:w="8580" w:type="dxa"/>
            <w:vAlign w:val="bottom"/>
          </w:tcPr>
          <w:p>
            <w:pPr>
              <w:ind w:left="40"/>
              <w:spacing w:after="0"/>
              <w:rPr>
                <w:sz w:val="20"/>
                <w:szCs w:val="20"/>
                <w:color w:val="auto"/>
              </w:rPr>
            </w:pPr>
            <w:r>
              <w:rPr>
                <w:rFonts w:ascii="Arial" w:cs="Arial" w:eastAsia="Arial" w:hAnsi="Arial"/>
                <w:sz w:val="16"/>
                <w:szCs w:val="16"/>
                <w:color w:val="auto"/>
              </w:rPr>
              <w:t>Recognized actuarial loss</w:t>
            </w: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601</w:t>
            </w:r>
          </w:p>
        </w:tc>
        <w:tc>
          <w:tcPr>
            <w:tcW w:w="4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444</w:t>
            </w:r>
          </w:p>
        </w:tc>
      </w:tr>
      <w:tr>
        <w:trPr>
          <w:trHeight w:val="267"/>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Net Periodic Cost</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1,850</w:t>
            </w:r>
          </w:p>
        </w:tc>
        <w:tc>
          <w:tcPr>
            <w:tcW w:w="4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1,830</w:t>
            </w:r>
          </w:p>
        </w:tc>
      </w:tr>
      <w:tr>
        <w:trPr>
          <w:trHeight w:val="20"/>
        </w:trPr>
        <w:tc>
          <w:tcPr>
            <w:tcW w:w="8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right="400"/>
        <w:spacing w:after="0" w:line="238" w:lineRule="auto"/>
        <w:rPr>
          <w:sz w:val="20"/>
          <w:szCs w:val="20"/>
          <w:color w:val="auto"/>
        </w:rPr>
      </w:pPr>
      <w:r>
        <w:rPr>
          <w:rFonts w:ascii="Arial" w:cs="Arial" w:eastAsia="Arial" w:hAnsi="Arial"/>
          <w:sz w:val="18"/>
          <w:szCs w:val="18"/>
          <w:b w:val="1"/>
          <w:bCs w:val="1"/>
          <w:color w:val="auto"/>
        </w:rPr>
        <w:t xml:space="preserve">Defined Benefit Plan Assets. </w:t>
      </w:r>
      <w:r>
        <w:rPr>
          <w:rFonts w:ascii="Arial" w:cs="Arial" w:eastAsia="Arial" w:hAnsi="Arial"/>
          <w:sz w:val="18"/>
          <w:szCs w:val="18"/>
          <w:color w:val="auto"/>
        </w:rPr>
        <w:t>The Company’s defined benefit pension obligations are funded by a portfolio made up of a U.S. stock index</w:t>
      </w:r>
      <w:r>
        <w:rPr>
          <w:rFonts w:ascii="Arial" w:cs="Arial" w:eastAsia="Arial" w:hAnsi="Arial"/>
          <w:sz w:val="18"/>
          <w:szCs w:val="18"/>
          <w:b w:val="1"/>
          <w:bCs w:val="1"/>
          <w:color w:val="auto"/>
        </w:rPr>
        <w:t xml:space="preserve"> </w:t>
      </w:r>
      <w:r>
        <w:rPr>
          <w:rFonts w:ascii="Arial" w:cs="Arial" w:eastAsia="Arial" w:hAnsi="Arial"/>
          <w:sz w:val="18"/>
          <w:szCs w:val="18"/>
          <w:color w:val="auto"/>
        </w:rPr>
        <w:t>fund, a relatively small number of stocks and high-quality fixed-income securities that are held by a third-party trustee. The assets of the Company’s pension plan were allocated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480" w:type="dxa"/>
            <w:vAlign w:val="bottom"/>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As of</w:t>
            </w:r>
          </w:p>
        </w:tc>
        <w:tc>
          <w:tcPr>
            <w:tcW w:w="1220" w:type="dxa"/>
            <w:vAlign w:val="bottom"/>
            <w:tcBorders>
              <w:bottom w:val="single" w:sz="8" w:color="auto"/>
            </w:tcBorders>
          </w:tcPr>
          <w:p>
            <w:pPr>
              <w:spacing w:after="0"/>
              <w:rPr>
                <w:sz w:val="17"/>
                <w:szCs w:val="17"/>
                <w:color w:val="auto"/>
              </w:rPr>
            </w:pPr>
          </w:p>
        </w:tc>
      </w:tr>
      <w:tr>
        <w:trPr>
          <w:trHeight w:val="337"/>
        </w:trPr>
        <w:tc>
          <w:tcPr>
            <w:tcW w:w="8480" w:type="dxa"/>
            <w:vAlign w:val="bottom"/>
          </w:tcPr>
          <w:p>
            <w:pPr>
              <w:spacing w:after="0"/>
              <w:rPr>
                <w:sz w:val="24"/>
                <w:szCs w:val="24"/>
                <w:color w:val="auto"/>
              </w:rPr>
            </w:pPr>
          </w:p>
        </w:tc>
        <w:tc>
          <w:tcPr>
            <w:tcW w:w="1720" w:type="dxa"/>
            <w:vAlign w:val="bottom"/>
          </w:tcPr>
          <w:p>
            <w:pPr>
              <w:jc w:val="right"/>
              <w:ind w:right="622"/>
              <w:spacing w:after="0"/>
              <w:rPr>
                <w:sz w:val="20"/>
                <w:szCs w:val="20"/>
                <w:color w:val="auto"/>
              </w:rPr>
            </w:pPr>
            <w:r>
              <w:rPr>
                <w:rFonts w:ascii="Arial" w:cs="Arial" w:eastAsia="Arial" w:hAnsi="Arial"/>
                <w:sz w:val="14"/>
                <w:szCs w:val="14"/>
                <w:b w:val="1"/>
                <w:bCs w:val="1"/>
                <w:color w:val="auto"/>
              </w:rPr>
              <w:t>March 31,</w:t>
            </w:r>
          </w:p>
        </w:tc>
        <w:tc>
          <w:tcPr>
            <w:tcW w:w="1220" w:type="dxa"/>
            <w:vAlign w:val="bottom"/>
          </w:tcPr>
          <w:p>
            <w:pPr>
              <w:jc w:val="right"/>
              <w:ind w:right="202"/>
              <w:spacing w:after="0"/>
              <w:rPr>
                <w:sz w:val="20"/>
                <w:szCs w:val="20"/>
                <w:color w:val="auto"/>
              </w:rPr>
            </w:pPr>
            <w:r>
              <w:rPr>
                <w:rFonts w:ascii="Arial" w:cs="Arial" w:eastAsia="Arial" w:hAnsi="Arial"/>
                <w:sz w:val="14"/>
                <w:szCs w:val="14"/>
                <w:color w:val="auto"/>
              </w:rPr>
              <w:t>December 31,</w:t>
            </w:r>
          </w:p>
        </w:tc>
      </w:tr>
      <w:tr>
        <w:trPr>
          <w:trHeight w:val="196"/>
        </w:trPr>
        <w:tc>
          <w:tcPr>
            <w:tcW w:w="84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782"/>
              <w:spacing w:after="0"/>
              <w:rPr>
                <w:sz w:val="20"/>
                <w:szCs w:val="20"/>
                <w:color w:val="auto"/>
              </w:rPr>
            </w:pPr>
            <w:r>
              <w:rPr>
                <w:rFonts w:ascii="Arial" w:cs="Arial" w:eastAsia="Arial" w:hAnsi="Arial"/>
                <w:sz w:val="14"/>
                <w:szCs w:val="14"/>
                <w:b w:val="1"/>
                <w:bCs w:val="1"/>
                <w:color w:val="auto"/>
              </w:rPr>
              <w:t>2018</w:t>
            </w:r>
          </w:p>
        </w:tc>
        <w:tc>
          <w:tcPr>
            <w:tcW w:w="122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color w:val="auto"/>
              </w:rPr>
              <w:t>2017</w:t>
            </w:r>
          </w:p>
        </w:tc>
      </w:tr>
      <w:tr>
        <w:trPr>
          <w:trHeight w:val="250"/>
        </w:trPr>
        <w:tc>
          <w:tcPr>
            <w:tcW w:w="8480" w:type="dxa"/>
            <w:vAlign w:val="bottom"/>
          </w:tcPr>
          <w:p>
            <w:pPr>
              <w:ind w:left="40"/>
              <w:spacing w:after="0"/>
              <w:rPr>
                <w:sz w:val="20"/>
                <w:szCs w:val="20"/>
                <w:color w:val="auto"/>
              </w:rPr>
            </w:pPr>
            <w:r>
              <w:rPr>
                <w:rFonts w:ascii="Arial" w:cs="Arial" w:eastAsia="Arial" w:hAnsi="Arial"/>
                <w:sz w:val="16"/>
                <w:szCs w:val="16"/>
                <w:color w:val="auto"/>
              </w:rPr>
              <w:t>U.S. equities</w:t>
            </w:r>
          </w:p>
        </w:tc>
        <w:tc>
          <w:tcPr>
            <w:tcW w:w="1720" w:type="dxa"/>
            <w:vAlign w:val="bottom"/>
          </w:tcPr>
          <w:p>
            <w:pPr>
              <w:jc w:val="right"/>
              <w:ind w:right="262"/>
              <w:spacing w:after="0"/>
              <w:rPr>
                <w:sz w:val="20"/>
                <w:szCs w:val="20"/>
                <w:color w:val="auto"/>
              </w:rPr>
            </w:pPr>
            <w:r>
              <w:rPr>
                <w:rFonts w:ascii="Arial" w:cs="Arial" w:eastAsia="Arial" w:hAnsi="Arial"/>
                <w:sz w:val="16"/>
                <w:szCs w:val="16"/>
                <w:b w:val="1"/>
                <w:bCs w:val="1"/>
                <w:color w:val="auto"/>
              </w:rPr>
              <w:t>49%</w:t>
            </w:r>
          </w:p>
        </w:tc>
        <w:tc>
          <w:tcPr>
            <w:tcW w:w="122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270"/>
        </w:trPr>
        <w:tc>
          <w:tcPr>
            <w:tcW w:w="8480" w:type="dxa"/>
            <w:vAlign w:val="bottom"/>
          </w:tcPr>
          <w:p>
            <w:pPr>
              <w:ind w:left="40"/>
              <w:spacing w:after="0"/>
              <w:rPr>
                <w:sz w:val="20"/>
                <w:szCs w:val="20"/>
                <w:color w:val="auto"/>
              </w:rPr>
            </w:pPr>
            <w:r>
              <w:rPr>
                <w:rFonts w:ascii="Arial" w:cs="Arial" w:eastAsia="Arial" w:hAnsi="Arial"/>
                <w:sz w:val="16"/>
                <w:szCs w:val="16"/>
                <w:color w:val="auto"/>
              </w:rPr>
              <w:t>U.S. stock index fund</w:t>
            </w:r>
          </w:p>
        </w:tc>
        <w:tc>
          <w:tcPr>
            <w:tcW w:w="1720" w:type="dxa"/>
            <w:vAlign w:val="bottom"/>
          </w:tcPr>
          <w:p>
            <w:pPr>
              <w:jc w:val="right"/>
              <w:ind w:right="262"/>
              <w:spacing w:after="0"/>
              <w:rPr>
                <w:sz w:val="20"/>
                <w:szCs w:val="20"/>
                <w:color w:val="auto"/>
              </w:rPr>
            </w:pPr>
            <w:r>
              <w:rPr>
                <w:rFonts w:ascii="Arial" w:cs="Arial" w:eastAsia="Arial" w:hAnsi="Arial"/>
                <w:sz w:val="16"/>
                <w:szCs w:val="16"/>
                <w:b w:val="1"/>
                <w:bCs w:val="1"/>
                <w:color w:val="auto"/>
              </w:rPr>
              <w:t>30%</w:t>
            </w:r>
          </w:p>
        </w:tc>
        <w:tc>
          <w:tcPr>
            <w:tcW w:w="122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70"/>
        </w:trPr>
        <w:tc>
          <w:tcPr>
            <w:tcW w:w="8480" w:type="dxa"/>
            <w:vAlign w:val="bottom"/>
          </w:tcPr>
          <w:p>
            <w:pPr>
              <w:ind w:left="40"/>
              <w:spacing w:after="0"/>
              <w:rPr>
                <w:sz w:val="20"/>
                <w:szCs w:val="20"/>
                <w:color w:val="auto"/>
              </w:rPr>
            </w:pPr>
            <w:r>
              <w:rPr>
                <w:rFonts w:ascii="Arial" w:cs="Arial" w:eastAsia="Arial" w:hAnsi="Arial"/>
                <w:sz w:val="16"/>
                <w:szCs w:val="16"/>
                <w:color w:val="auto"/>
              </w:rPr>
              <w:t>U.S. fixed income</w:t>
            </w:r>
          </w:p>
        </w:tc>
        <w:tc>
          <w:tcPr>
            <w:tcW w:w="1720" w:type="dxa"/>
            <w:vAlign w:val="bottom"/>
          </w:tcPr>
          <w:p>
            <w:pPr>
              <w:jc w:val="right"/>
              <w:ind w:right="262"/>
              <w:spacing w:after="0"/>
              <w:rPr>
                <w:sz w:val="20"/>
                <w:szCs w:val="20"/>
                <w:color w:val="auto"/>
              </w:rPr>
            </w:pPr>
            <w:r>
              <w:rPr>
                <w:rFonts w:ascii="Arial" w:cs="Arial" w:eastAsia="Arial" w:hAnsi="Arial"/>
                <w:sz w:val="16"/>
                <w:szCs w:val="16"/>
                <w:b w:val="1"/>
                <w:bCs w:val="1"/>
                <w:color w:val="auto"/>
              </w:rPr>
              <w:t>12%</w:t>
            </w:r>
          </w:p>
        </w:tc>
        <w:tc>
          <w:tcPr>
            <w:tcW w:w="122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83"/>
        </w:trPr>
        <w:tc>
          <w:tcPr>
            <w:tcW w:w="8480" w:type="dxa"/>
            <w:vAlign w:val="bottom"/>
          </w:tcPr>
          <w:p>
            <w:pPr>
              <w:ind w:left="40"/>
              <w:spacing w:after="0"/>
              <w:rPr>
                <w:sz w:val="20"/>
                <w:szCs w:val="20"/>
                <w:color w:val="auto"/>
              </w:rPr>
            </w:pPr>
            <w:r>
              <w:rPr>
                <w:rFonts w:ascii="Arial" w:cs="Arial" w:eastAsia="Arial" w:hAnsi="Arial"/>
                <w:sz w:val="16"/>
                <w:szCs w:val="16"/>
                <w:color w:val="auto"/>
              </w:rPr>
              <w:t>International equities</w:t>
            </w:r>
          </w:p>
        </w:tc>
        <w:tc>
          <w:tcPr>
            <w:tcW w:w="172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b w:val="1"/>
                <w:bCs w:val="1"/>
                <w:color w:val="auto"/>
              </w:rPr>
              <w:t>9%</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r>
      <w:tr>
        <w:trPr>
          <w:trHeight w:val="264"/>
        </w:trPr>
        <w:tc>
          <w:tcPr>
            <w:tcW w:w="8480" w:type="dxa"/>
            <w:vAlign w:val="bottom"/>
          </w:tcPr>
          <w:p>
            <w:pPr>
              <w:spacing w:after="0"/>
              <w:rPr>
                <w:sz w:val="22"/>
                <w:szCs w:val="22"/>
                <w:color w:val="auto"/>
              </w:rPr>
            </w:pPr>
          </w:p>
        </w:tc>
        <w:tc>
          <w:tcPr>
            <w:tcW w:w="172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b w:val="1"/>
                <w:bCs w:val="1"/>
                <w:color w:val="auto"/>
              </w:rPr>
              <w:t>100%</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r>
      <w:tr>
        <w:trPr>
          <w:trHeight w:val="20"/>
        </w:trPr>
        <w:tc>
          <w:tcPr>
            <w:tcW w:w="848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300"/>
        <w:spacing w:after="0" w:line="224" w:lineRule="auto"/>
        <w:rPr>
          <w:sz w:val="20"/>
          <w:szCs w:val="20"/>
          <w:color w:val="auto"/>
        </w:rPr>
      </w:pPr>
      <w:r>
        <w:rPr>
          <w:rFonts w:ascii="Arial" w:cs="Arial" w:eastAsia="Arial" w:hAnsi="Arial"/>
          <w:sz w:val="18"/>
          <w:szCs w:val="18"/>
          <w:color w:val="auto"/>
        </w:rPr>
        <w:t>The Company manages approximately 45% of the pension assets internally, of which the majority is invested in a U.S. stock index fund with the remaining investments in Berkshire Hathaway stock and short-term fixed income securities. The remaining 55% of plan assets are managed by two investment companies. The goal for the investments is to produce moderate long-term growth in the value of these assets, while protecting them against large decreases in value. Both investment managers may invest in a combination of equity and fixed-income securities and cash. The managers are not permitted to invest in securities of the Company or in alternative investments. The investment managers cannot invest more than 20% of the assets at the time of purchase in the</w:t>
      </w:r>
    </w:p>
    <w:p>
      <w:pPr>
        <w:sectPr>
          <w:pgSz w:w="11900" w:h="16838" w:orient="portrait"/>
          <w:cols w:equalWidth="0" w:num="1">
            <w:col w:w="11420"/>
          </w:cols>
          <w:pgMar w:left="240" w:top="719" w:right="239"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420"/>
          </w:cols>
          <w:pgMar w:left="240" w:top="719" w:right="2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color w:val="auto"/>
        </w:rPr>
        <w:t>stock of Berkshire Hathaway or more than 10% of the assets in the securities of any other single issuer, except for obligations of the</w:t>
      </w:r>
    </w:p>
    <w:p>
      <w:pPr>
        <w:jc w:val="both"/>
        <w:ind w:right="180"/>
        <w:spacing w:after="0" w:line="229" w:lineRule="auto"/>
        <w:rPr>
          <w:sz w:val="20"/>
          <w:szCs w:val="20"/>
          <w:color w:val="auto"/>
        </w:rPr>
      </w:pPr>
      <w:r>
        <w:rPr>
          <w:rFonts w:ascii="Arial" w:cs="Arial" w:eastAsia="Arial" w:hAnsi="Arial"/>
          <w:sz w:val="18"/>
          <w:szCs w:val="18"/>
          <w:color w:val="auto"/>
        </w:rPr>
        <w:t>U.S. Government, without receiving prior approval from the Plan administrator. As of March 31, 2018, the investment managers can invest no more than 23% of the assets they manage in specified international exchanges, at the time the investment is made, and no less than 10% of the assets could be invested in fixed-income securities.</w:t>
      </w:r>
    </w:p>
    <w:p>
      <w:pPr>
        <w:spacing w:after="0" w:line="137" w:lineRule="exact"/>
        <w:rPr>
          <w:sz w:val="20"/>
          <w:szCs w:val="20"/>
          <w:color w:val="auto"/>
        </w:rPr>
      </w:pPr>
    </w:p>
    <w:p>
      <w:pPr>
        <w:ind w:right="720"/>
        <w:spacing w:after="0" w:line="229" w:lineRule="auto"/>
        <w:rPr>
          <w:sz w:val="20"/>
          <w:szCs w:val="20"/>
          <w:color w:val="auto"/>
        </w:rPr>
      </w:pPr>
      <w:r>
        <w:rPr>
          <w:rFonts w:ascii="Arial" w:cs="Arial" w:eastAsia="Arial" w:hAnsi="Arial"/>
          <w:sz w:val="18"/>
          <w:szCs w:val="18"/>
          <w:color w:val="auto"/>
        </w:rPr>
        <w:t>In determining the expected rate of return on plan assets, the Company considers the relative weighting of plan assets, the historical performance of total plan assets and individual asset classes and economic and other indicators of future performance. In addition, the Company may consult with and consider the input of financial and other professionals in developing appropriate return benchmarks.</w:t>
      </w:r>
    </w:p>
    <w:p>
      <w:pPr>
        <w:spacing w:after="0" w:line="137" w:lineRule="exact"/>
        <w:rPr>
          <w:sz w:val="20"/>
          <w:szCs w:val="20"/>
          <w:color w:val="auto"/>
        </w:rPr>
      </w:pPr>
    </w:p>
    <w:p>
      <w:pPr>
        <w:ind w:right="120"/>
        <w:spacing w:after="0" w:line="224" w:lineRule="auto"/>
        <w:rPr>
          <w:sz w:val="20"/>
          <w:szCs w:val="20"/>
          <w:color w:val="auto"/>
        </w:rPr>
      </w:pPr>
      <w:r>
        <w:rPr>
          <w:rFonts w:ascii="Arial" w:cs="Arial" w:eastAsia="Arial" w:hAnsi="Arial"/>
          <w:sz w:val="18"/>
          <w:szCs w:val="18"/>
          <w:color w:val="auto"/>
        </w:rPr>
        <w:t>The Company evaluated its defined benefit pension plan asset portfolio for the existence of significant concentrations (defined as greater than 10% of plan assets) of credit risk as of March 31, 2018. Types of concentrations that were evaluated include, but are not limited to, investment concentrations in a single entity, type of industry, foreign country and individual fund. At March 31, 2018 and December 31, 2017, the pension plan held investments in one common stock and one U.S. stock index fund that exceeded 10% of total plan assets. These investments were valued at $1,052.8 million and $1,079.3 million at March 31, 2018 and December 31, 2017, respectively, or approximately 45% and 46%, respectively, of total plan assets.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Other Postretirement Plans. </w:t>
      </w:r>
      <w:r>
        <w:rPr>
          <w:rFonts w:ascii="Arial" w:cs="Arial" w:eastAsia="Arial" w:hAnsi="Arial"/>
          <w:sz w:val="18"/>
          <w:szCs w:val="18"/>
          <w:color w:val="auto"/>
        </w:rPr>
        <w:t>The total cost arising from the Company’s other postretirement plans consists of the following components: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5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2017</w:t>
            </w:r>
          </w:p>
        </w:tc>
      </w:tr>
      <w:tr>
        <w:trPr>
          <w:trHeight w:val="250"/>
        </w:trPr>
        <w:tc>
          <w:tcPr>
            <w:tcW w:w="8580" w:type="dxa"/>
            <w:vAlign w:val="bottom"/>
          </w:tcPr>
          <w:p>
            <w:pPr>
              <w:ind w:left="40"/>
              <w:spacing w:after="0"/>
              <w:rPr>
                <w:sz w:val="20"/>
                <w:szCs w:val="20"/>
                <w:color w:val="auto"/>
              </w:rPr>
            </w:pPr>
            <w:r>
              <w:rPr>
                <w:rFonts w:ascii="Arial" w:cs="Arial" w:eastAsia="Arial" w:hAnsi="Arial"/>
                <w:sz w:val="16"/>
                <w:szCs w:val="16"/>
                <w:color w:val="auto"/>
              </w:rPr>
              <w:t>Service cost</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Pr>
          <w:p>
            <w:pPr>
              <w:jc w:val="right"/>
              <w:ind w:right="62"/>
              <w:spacing w:after="0"/>
              <w:rPr>
                <w:sz w:val="20"/>
                <w:szCs w:val="20"/>
                <w:color w:val="auto"/>
              </w:rPr>
            </w:pPr>
            <w:r>
              <w:rPr>
                <w:rFonts w:ascii="Arial" w:cs="Arial" w:eastAsia="Arial" w:hAnsi="Arial"/>
                <w:sz w:val="16"/>
                <w:szCs w:val="16"/>
                <w:b w:val="1"/>
                <w:bCs w:val="1"/>
                <w:color w:val="auto"/>
              </w:rPr>
              <w:t>268</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257</w:t>
            </w:r>
          </w:p>
        </w:tc>
      </w:tr>
      <w:tr>
        <w:trPr>
          <w:trHeight w:val="270"/>
        </w:trPr>
        <w:tc>
          <w:tcPr>
            <w:tcW w:w="858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240" w:type="dxa"/>
            <w:vAlign w:val="bottom"/>
          </w:tcPr>
          <w:p>
            <w:pPr>
              <w:spacing w:after="0"/>
              <w:rPr>
                <w:sz w:val="23"/>
                <w:szCs w:val="23"/>
                <w:color w:val="auto"/>
              </w:rPr>
            </w:pPr>
          </w:p>
        </w:tc>
        <w:tc>
          <w:tcPr>
            <w:tcW w:w="1160" w:type="dxa"/>
            <w:vAlign w:val="bottom"/>
          </w:tcPr>
          <w:p>
            <w:pPr>
              <w:jc w:val="right"/>
              <w:ind w:right="62"/>
              <w:spacing w:after="0"/>
              <w:rPr>
                <w:sz w:val="20"/>
                <w:szCs w:val="20"/>
                <w:color w:val="auto"/>
              </w:rPr>
            </w:pPr>
            <w:r>
              <w:rPr>
                <w:rFonts w:ascii="Arial" w:cs="Arial" w:eastAsia="Arial" w:hAnsi="Arial"/>
                <w:sz w:val="16"/>
                <w:szCs w:val="16"/>
                <w:b w:val="1"/>
                <w:bCs w:val="1"/>
                <w:color w:val="auto"/>
              </w:rPr>
              <w:t>170</w:t>
            </w:r>
          </w:p>
        </w:tc>
        <w:tc>
          <w:tcPr>
            <w:tcW w:w="40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195</w:t>
            </w:r>
          </w:p>
        </w:tc>
      </w:tr>
      <w:tr>
        <w:trPr>
          <w:trHeight w:val="270"/>
        </w:trPr>
        <w:tc>
          <w:tcPr>
            <w:tcW w:w="8580" w:type="dxa"/>
            <w:vAlign w:val="bottom"/>
          </w:tcPr>
          <w:p>
            <w:pPr>
              <w:ind w:left="40"/>
              <w:spacing w:after="0"/>
              <w:rPr>
                <w:sz w:val="20"/>
                <w:szCs w:val="20"/>
                <w:color w:val="auto"/>
              </w:rPr>
            </w:pPr>
            <w:r>
              <w:rPr>
                <w:rFonts w:ascii="Arial" w:cs="Arial" w:eastAsia="Arial" w:hAnsi="Arial"/>
                <w:sz w:val="16"/>
                <w:szCs w:val="16"/>
                <w:color w:val="auto"/>
              </w:rPr>
              <w:t>Amortization of prior service credit</w:t>
            </w:r>
          </w:p>
        </w:tc>
        <w:tc>
          <w:tcPr>
            <w:tcW w:w="240" w:type="dxa"/>
            <w:vAlign w:val="bottom"/>
          </w:tcPr>
          <w:p>
            <w:pPr>
              <w:spacing w:after="0"/>
              <w:rPr>
                <w:sz w:val="23"/>
                <w:szCs w:val="23"/>
                <w:color w:val="auto"/>
              </w:rPr>
            </w:pPr>
          </w:p>
        </w:tc>
        <w:tc>
          <w:tcPr>
            <w:tcW w:w="1160" w:type="dxa"/>
            <w:vAlign w:val="bottom"/>
          </w:tcPr>
          <w:p>
            <w:pPr>
              <w:jc w:val="right"/>
              <w:ind w:right="2"/>
              <w:spacing w:after="0"/>
              <w:rPr>
                <w:sz w:val="20"/>
                <w:szCs w:val="20"/>
                <w:color w:val="auto"/>
              </w:rPr>
            </w:pPr>
            <w:r>
              <w:rPr>
                <w:rFonts w:ascii="Arial" w:cs="Arial" w:eastAsia="Arial" w:hAnsi="Arial"/>
                <w:sz w:val="16"/>
                <w:szCs w:val="16"/>
                <w:b w:val="1"/>
                <w:bCs w:val="1"/>
                <w:color w:val="auto"/>
              </w:rPr>
              <w:t>(44)</w:t>
            </w:r>
          </w:p>
        </w:tc>
        <w:tc>
          <w:tcPr>
            <w:tcW w:w="4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83"/>
        </w:trPr>
        <w:tc>
          <w:tcPr>
            <w:tcW w:w="8580" w:type="dxa"/>
            <w:vAlign w:val="bottom"/>
          </w:tcPr>
          <w:p>
            <w:pPr>
              <w:ind w:left="40"/>
              <w:spacing w:after="0"/>
              <w:rPr>
                <w:sz w:val="20"/>
                <w:szCs w:val="20"/>
                <w:color w:val="auto"/>
              </w:rPr>
            </w:pPr>
            <w:r>
              <w:rPr>
                <w:rFonts w:ascii="Arial" w:cs="Arial" w:eastAsia="Arial" w:hAnsi="Arial"/>
                <w:sz w:val="16"/>
                <w:szCs w:val="16"/>
                <w:color w:val="auto"/>
              </w:rPr>
              <w:t>Recognized actuarial gain</w:t>
            </w: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(922)</w:t>
            </w: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(973)</w:t>
            </w:r>
          </w:p>
        </w:tc>
      </w:tr>
      <w:tr>
        <w:trPr>
          <w:trHeight w:val="267"/>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Net Periodic Benefit</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(528)</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(558)</w:t>
            </w:r>
          </w:p>
        </w:tc>
      </w:tr>
      <w:tr>
        <w:trPr>
          <w:trHeight w:val="20"/>
        </w:trPr>
        <w:tc>
          <w:tcPr>
            <w:tcW w:w="8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OTHER NON-OPERATING INCOME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 summary of non-operating income is as follows:</w:t>
      </w:r>
    </w:p>
    <w:p>
      <w:pPr>
        <w:spacing w:after="0" w:line="145" w:lineRule="exact"/>
        <w:rPr>
          <w:sz w:val="20"/>
          <w:szCs w:val="20"/>
          <w:color w:val="auto"/>
        </w:rPr>
      </w:pPr>
    </w:p>
    <w:p>
      <w:pPr>
        <w:ind w:left="952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9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800" w:type="dxa"/>
            <w:vAlign w:val="bottom"/>
            <w:tcBorders>
              <w:bottom w:val="single" w:sz="8" w:color="auto"/>
            </w:tcBorders>
          </w:tcPr>
          <w:p>
            <w:pPr>
              <w:spacing w:after="0"/>
              <w:rPr>
                <w:sz w:val="16"/>
                <w:szCs w:val="16"/>
                <w:color w:val="auto"/>
              </w:rPr>
            </w:pPr>
          </w:p>
        </w:tc>
      </w:tr>
      <w:tr>
        <w:trPr>
          <w:trHeight w:val="258"/>
        </w:trPr>
        <w:tc>
          <w:tcPr>
            <w:tcW w:w="8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3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2018</w:t>
            </w:r>
          </w:p>
        </w:tc>
        <w:tc>
          <w:tcPr>
            <w:tcW w:w="4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2017</w:t>
            </w:r>
          </w:p>
        </w:tc>
      </w:tr>
      <w:tr>
        <w:trPr>
          <w:trHeight w:val="250"/>
        </w:trPr>
        <w:tc>
          <w:tcPr>
            <w:tcW w:w="8920" w:type="dxa"/>
            <w:vAlign w:val="bottom"/>
          </w:tcPr>
          <w:p>
            <w:pPr>
              <w:ind w:left="40"/>
              <w:spacing w:after="0"/>
              <w:rPr>
                <w:sz w:val="20"/>
                <w:szCs w:val="20"/>
                <w:color w:val="auto"/>
              </w:rPr>
            </w:pPr>
            <w:r>
              <w:rPr>
                <w:rFonts w:ascii="Arial" w:cs="Arial" w:eastAsia="Arial" w:hAnsi="Arial"/>
                <w:sz w:val="16"/>
                <w:szCs w:val="16"/>
                <w:color w:val="auto"/>
              </w:rPr>
              <w:t>Gain (loss) on sales of businesses</w:t>
            </w:r>
          </w:p>
        </w:tc>
        <w:tc>
          <w:tcPr>
            <w:tcW w:w="38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5,907</w:t>
            </w:r>
          </w:p>
        </w:tc>
        <w:tc>
          <w:tcPr>
            <w:tcW w:w="4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(342)</w:t>
            </w:r>
          </w:p>
        </w:tc>
      </w:tr>
      <w:tr>
        <w:trPr>
          <w:trHeight w:val="270"/>
        </w:trPr>
        <w:tc>
          <w:tcPr>
            <w:tcW w:w="8920" w:type="dxa"/>
            <w:vAlign w:val="bottom"/>
          </w:tcPr>
          <w:p>
            <w:pPr>
              <w:ind w:left="40"/>
              <w:spacing w:after="0"/>
              <w:rPr>
                <w:sz w:val="20"/>
                <w:szCs w:val="20"/>
                <w:color w:val="auto"/>
              </w:rPr>
            </w:pPr>
            <w:r>
              <w:rPr>
                <w:rFonts w:ascii="Arial" w:cs="Arial" w:eastAsia="Arial" w:hAnsi="Arial"/>
                <w:sz w:val="16"/>
                <w:szCs w:val="16"/>
                <w:color w:val="auto"/>
              </w:rPr>
              <w:t>Gain on sale of a cost method investment</w:t>
            </w:r>
          </w:p>
        </w:tc>
        <w:tc>
          <w:tcPr>
            <w:tcW w:w="38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2,845</w:t>
            </w:r>
          </w:p>
        </w:tc>
        <w:tc>
          <w:tcPr>
            <w:tcW w:w="4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8920" w:type="dxa"/>
            <w:vAlign w:val="bottom"/>
          </w:tcPr>
          <w:p>
            <w:pPr>
              <w:ind w:left="40"/>
              <w:spacing w:after="0"/>
              <w:rPr>
                <w:sz w:val="20"/>
                <w:szCs w:val="20"/>
                <w:color w:val="auto"/>
              </w:rPr>
            </w:pPr>
            <w:r>
              <w:rPr>
                <w:rFonts w:ascii="Arial" w:cs="Arial" w:eastAsia="Arial" w:hAnsi="Arial"/>
                <w:sz w:val="16"/>
                <w:szCs w:val="16"/>
                <w:color w:val="auto"/>
              </w:rPr>
              <w:t>Foreign currency gain, net</w:t>
            </w:r>
          </w:p>
        </w:tc>
        <w:tc>
          <w:tcPr>
            <w:tcW w:w="38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177</w:t>
            </w:r>
          </w:p>
        </w:tc>
        <w:tc>
          <w:tcPr>
            <w:tcW w:w="4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1,728</w:t>
            </w:r>
          </w:p>
        </w:tc>
      </w:tr>
      <w:tr>
        <w:trPr>
          <w:trHeight w:val="283"/>
        </w:trPr>
        <w:tc>
          <w:tcPr>
            <w:tcW w:w="8920" w:type="dxa"/>
            <w:vAlign w:val="bottom"/>
          </w:tcPr>
          <w:p>
            <w:pPr>
              <w:ind w:left="40"/>
              <w:spacing w:after="0"/>
              <w:rPr>
                <w:sz w:val="20"/>
                <w:szCs w:val="20"/>
                <w:color w:val="auto"/>
              </w:rPr>
            </w:pPr>
            <w:r>
              <w:rPr>
                <w:rFonts w:ascii="Arial" w:cs="Arial" w:eastAsia="Arial" w:hAnsi="Arial"/>
                <w:sz w:val="16"/>
                <w:szCs w:val="16"/>
                <w:color w:val="auto"/>
              </w:rPr>
              <w:t>Other, net</w:t>
            </w: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258</w:t>
            </w:r>
          </w:p>
        </w:tc>
        <w:tc>
          <w:tcPr>
            <w:tcW w:w="4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(537)</w:t>
            </w:r>
          </w:p>
        </w:tc>
      </w:tr>
      <w:tr>
        <w:trPr>
          <w:trHeight w:val="267"/>
        </w:trPr>
        <w:tc>
          <w:tcPr>
            <w:tcW w:w="8920" w:type="dxa"/>
            <w:vAlign w:val="bottom"/>
          </w:tcPr>
          <w:p>
            <w:pPr>
              <w:ind w:left="40"/>
              <w:spacing w:after="0"/>
              <w:rPr>
                <w:sz w:val="20"/>
                <w:szCs w:val="20"/>
                <w:color w:val="auto"/>
              </w:rPr>
            </w:pPr>
            <w:r>
              <w:rPr>
                <w:rFonts w:ascii="Arial" w:cs="Arial" w:eastAsia="Arial" w:hAnsi="Arial"/>
                <w:sz w:val="16"/>
                <w:szCs w:val="16"/>
                <w:b w:val="1"/>
                <w:bCs w:val="1"/>
                <w:color w:val="auto"/>
              </w:rPr>
              <w:t>Total Other Non-Operating Income</w:t>
            </w:r>
          </w:p>
        </w:tc>
        <w:tc>
          <w:tcPr>
            <w:tcW w:w="3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9,187</w:t>
            </w:r>
          </w:p>
        </w:tc>
        <w:tc>
          <w:tcPr>
            <w:tcW w:w="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849</w:t>
            </w:r>
          </w:p>
        </w:tc>
      </w:tr>
      <w:tr>
        <w:trPr>
          <w:trHeight w:val="20"/>
        </w:trPr>
        <w:tc>
          <w:tcPr>
            <w:tcW w:w="89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In the first quarter of 2018, the Company recorded a $5.9 million gain on the sale of two businesses in the education division, including a gain of $4.3 million on the Kaplan University transaction (see Note 2).</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701"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14. ACCUMULATED OTHER COMPREHENSIVE INCOME (LOSS)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other comprehensive income consists of the following components: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0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color w:val="auto"/>
              </w:rPr>
              <w:t>2017</w:t>
            </w: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50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ind w:right="121"/>
              <w:spacing w:after="0"/>
              <w:rPr>
                <w:sz w:val="20"/>
                <w:szCs w:val="20"/>
                <w:color w:val="auto"/>
              </w:rPr>
            </w:pPr>
            <w:r>
              <w:rPr>
                <w:rFonts w:ascii="Arial" w:cs="Arial" w:eastAsia="Arial" w:hAnsi="Arial"/>
                <w:sz w:val="14"/>
                <w:szCs w:val="14"/>
                <w:b w:val="1"/>
                <w:bCs w:val="1"/>
                <w:color w:val="auto"/>
              </w:rPr>
              <w:t>Before-Tax</w:t>
            </w:r>
          </w:p>
        </w:tc>
        <w:tc>
          <w:tcPr>
            <w:tcW w:w="240" w:type="dxa"/>
            <w:vAlign w:val="bottom"/>
          </w:tcPr>
          <w:p>
            <w:pPr>
              <w:spacing w:after="0"/>
              <w:rPr>
                <w:sz w:val="22"/>
                <w:szCs w:val="22"/>
                <w:color w:val="auto"/>
              </w:rPr>
            </w:pPr>
          </w:p>
        </w:tc>
        <w:tc>
          <w:tcPr>
            <w:tcW w:w="760" w:type="dxa"/>
            <w:vAlign w:val="bottom"/>
          </w:tcPr>
          <w:p>
            <w:pPr>
              <w:jc w:val="right"/>
              <w:ind w:right="142"/>
              <w:spacing w:after="0"/>
              <w:rPr>
                <w:sz w:val="20"/>
                <w:szCs w:val="20"/>
                <w:color w:val="auto"/>
              </w:rPr>
            </w:pPr>
            <w:r>
              <w:rPr>
                <w:rFonts w:ascii="Arial" w:cs="Arial" w:eastAsia="Arial" w:hAnsi="Arial"/>
                <w:sz w:val="14"/>
                <w:szCs w:val="14"/>
                <w:b w:val="1"/>
                <w:bCs w:val="1"/>
                <w:color w:val="auto"/>
              </w:rPr>
              <w:t>Income</w:t>
            </w:r>
          </w:p>
        </w:tc>
        <w:tc>
          <w:tcPr>
            <w:tcW w:w="220" w:type="dxa"/>
            <w:vAlign w:val="bottom"/>
          </w:tcPr>
          <w:p>
            <w:pPr>
              <w:spacing w:after="0"/>
              <w:rPr>
                <w:sz w:val="22"/>
                <w:szCs w:val="22"/>
                <w:color w:val="auto"/>
              </w:rPr>
            </w:pPr>
          </w:p>
        </w:tc>
        <w:tc>
          <w:tcPr>
            <w:tcW w:w="820" w:type="dxa"/>
            <w:vAlign w:val="bottom"/>
          </w:tcPr>
          <w:p>
            <w:pPr>
              <w:jc w:val="right"/>
              <w:ind w:right="101"/>
              <w:spacing w:after="0"/>
              <w:rPr>
                <w:sz w:val="20"/>
                <w:szCs w:val="20"/>
                <w:color w:val="auto"/>
              </w:rPr>
            </w:pPr>
            <w:r>
              <w:rPr>
                <w:rFonts w:ascii="Arial" w:cs="Arial" w:eastAsia="Arial" w:hAnsi="Arial"/>
                <w:sz w:val="14"/>
                <w:szCs w:val="14"/>
                <w:b w:val="1"/>
                <w:bCs w:val="1"/>
                <w:color w:val="auto"/>
              </w:rPr>
              <w:t>After-Tax</w:t>
            </w:r>
          </w:p>
        </w:tc>
        <w:tc>
          <w:tcPr>
            <w:tcW w:w="200" w:type="dxa"/>
            <w:vAlign w:val="bottom"/>
          </w:tcPr>
          <w:p>
            <w:pPr>
              <w:spacing w:after="0"/>
              <w:rPr>
                <w:sz w:val="22"/>
                <w:szCs w:val="22"/>
                <w:color w:val="auto"/>
              </w:rPr>
            </w:pPr>
          </w:p>
        </w:tc>
        <w:tc>
          <w:tcPr>
            <w:tcW w:w="960" w:type="dxa"/>
            <w:vAlign w:val="bottom"/>
          </w:tcPr>
          <w:p>
            <w:pPr>
              <w:jc w:val="right"/>
              <w:ind w:right="161"/>
              <w:spacing w:after="0"/>
              <w:rPr>
                <w:sz w:val="20"/>
                <w:szCs w:val="20"/>
                <w:color w:val="auto"/>
              </w:rPr>
            </w:pPr>
            <w:r>
              <w:rPr>
                <w:rFonts w:ascii="Arial" w:cs="Arial" w:eastAsia="Arial" w:hAnsi="Arial"/>
                <w:sz w:val="14"/>
                <w:szCs w:val="14"/>
                <w:color w:val="auto"/>
              </w:rPr>
              <w:t>Before-Tax</w:t>
            </w:r>
          </w:p>
        </w:tc>
        <w:tc>
          <w:tcPr>
            <w:tcW w:w="200" w:type="dxa"/>
            <w:vAlign w:val="bottom"/>
          </w:tcPr>
          <w:p>
            <w:pPr>
              <w:spacing w:after="0"/>
              <w:rPr>
                <w:sz w:val="22"/>
                <w:szCs w:val="22"/>
                <w:color w:val="auto"/>
              </w:rPr>
            </w:pPr>
          </w:p>
        </w:tc>
        <w:tc>
          <w:tcPr>
            <w:tcW w:w="780" w:type="dxa"/>
            <w:vAlign w:val="bottom"/>
          </w:tcPr>
          <w:p>
            <w:pPr>
              <w:jc w:val="center"/>
              <w:ind w:right="122"/>
              <w:spacing w:after="0"/>
              <w:rPr>
                <w:sz w:val="20"/>
                <w:szCs w:val="20"/>
                <w:color w:val="auto"/>
              </w:rPr>
            </w:pPr>
            <w:r>
              <w:rPr>
                <w:rFonts w:ascii="Arial" w:cs="Arial" w:eastAsia="Arial" w:hAnsi="Arial"/>
                <w:sz w:val="14"/>
                <w:szCs w:val="14"/>
                <w:color w:val="auto"/>
              </w:rPr>
              <w:t>Income</w:t>
            </w:r>
          </w:p>
        </w:tc>
        <w:tc>
          <w:tcPr>
            <w:tcW w:w="240" w:type="dxa"/>
            <w:vAlign w:val="bottom"/>
          </w:tcPr>
          <w:p>
            <w:pPr>
              <w:spacing w:after="0"/>
              <w:rPr>
                <w:sz w:val="22"/>
                <w:szCs w:val="22"/>
                <w:color w:val="auto"/>
              </w:rPr>
            </w:pPr>
          </w:p>
        </w:tc>
        <w:tc>
          <w:tcPr>
            <w:tcW w:w="860" w:type="dxa"/>
            <w:vAlign w:val="bottom"/>
          </w:tcPr>
          <w:p>
            <w:pPr>
              <w:jc w:val="right"/>
              <w:ind w:right="141"/>
              <w:spacing w:after="0"/>
              <w:rPr>
                <w:sz w:val="20"/>
                <w:szCs w:val="20"/>
                <w:color w:val="auto"/>
              </w:rPr>
            </w:pPr>
            <w:r>
              <w:rPr>
                <w:rFonts w:ascii="Arial" w:cs="Arial" w:eastAsia="Arial" w:hAnsi="Arial"/>
                <w:sz w:val="14"/>
                <w:szCs w:val="14"/>
                <w:color w:val="auto"/>
              </w:rPr>
              <w:t>After-Tax</w:t>
            </w:r>
          </w:p>
        </w:tc>
        <w:tc>
          <w:tcPr>
            <w:tcW w:w="0" w:type="dxa"/>
            <w:vAlign w:val="bottom"/>
          </w:tcPr>
          <w:p>
            <w:pPr>
              <w:spacing w:after="0"/>
              <w:rPr>
                <w:sz w:val="1"/>
                <w:szCs w:val="1"/>
                <w:color w:val="auto"/>
              </w:rPr>
            </w:pPr>
          </w:p>
        </w:tc>
      </w:tr>
      <w:tr>
        <w:trPr>
          <w:trHeight w:val="216"/>
        </w:trPr>
        <w:tc>
          <w:tcPr>
            <w:tcW w:w="5040" w:type="dxa"/>
            <w:vAlign w:val="bottom"/>
            <w:vMerge w:val="restart"/>
          </w:tcPr>
          <w:p>
            <w:pPr>
              <w:ind w:left="40"/>
              <w:spacing w:after="0"/>
              <w:rPr>
                <w:sz w:val="20"/>
                <w:szCs w:val="20"/>
                <w:color w:val="auto"/>
              </w:rPr>
            </w:pPr>
            <w:r>
              <w:rPr>
                <w:rFonts w:ascii="Arial" w:cs="Arial" w:eastAsia="Arial" w:hAnsi="Arial"/>
                <w:sz w:val="14"/>
                <w:szCs w:val="14"/>
                <w:color w:val="auto"/>
              </w:rPr>
              <w:t>(in thousands)</w:t>
            </w:r>
          </w:p>
        </w:tc>
        <w:tc>
          <w:tcPr>
            <w:tcW w:w="140" w:type="dxa"/>
            <w:vAlign w:val="bottom"/>
          </w:tcPr>
          <w:p>
            <w:pPr>
              <w:spacing w:after="0"/>
              <w:rPr>
                <w:sz w:val="18"/>
                <w:szCs w:val="18"/>
                <w:color w:val="auto"/>
              </w:rPr>
            </w:pPr>
          </w:p>
        </w:tc>
        <w:tc>
          <w:tcPr>
            <w:tcW w:w="960" w:type="dxa"/>
            <w:vAlign w:val="bottom"/>
          </w:tcPr>
          <w:p>
            <w:pPr>
              <w:jc w:val="right"/>
              <w:ind w:right="221"/>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8"/>
                <w:szCs w:val="18"/>
                <w:color w:val="auto"/>
              </w:rPr>
            </w:pPr>
          </w:p>
        </w:tc>
        <w:tc>
          <w:tcPr>
            <w:tcW w:w="760" w:type="dxa"/>
            <w:vAlign w:val="bottom"/>
          </w:tcPr>
          <w:p>
            <w:pPr>
              <w:jc w:val="right"/>
              <w:ind w:right="262"/>
              <w:spacing w:after="0"/>
              <w:rPr>
                <w:sz w:val="20"/>
                <w:szCs w:val="20"/>
                <w:color w:val="auto"/>
              </w:rPr>
            </w:pPr>
            <w:r>
              <w:rPr>
                <w:rFonts w:ascii="Arial" w:cs="Arial" w:eastAsia="Arial" w:hAnsi="Arial"/>
                <w:sz w:val="14"/>
                <w:szCs w:val="14"/>
                <w:b w:val="1"/>
                <w:bCs w:val="1"/>
                <w:color w:val="auto"/>
              </w:rPr>
              <w:t>Tax</w:t>
            </w:r>
          </w:p>
        </w:tc>
        <w:tc>
          <w:tcPr>
            <w:tcW w:w="220" w:type="dxa"/>
            <w:vAlign w:val="bottom"/>
          </w:tcPr>
          <w:p>
            <w:pPr>
              <w:spacing w:after="0"/>
              <w:rPr>
                <w:sz w:val="18"/>
                <w:szCs w:val="18"/>
                <w:color w:val="auto"/>
              </w:rPr>
            </w:pPr>
          </w:p>
        </w:tc>
        <w:tc>
          <w:tcPr>
            <w:tcW w:w="820" w:type="dxa"/>
            <w:vAlign w:val="bottom"/>
          </w:tcPr>
          <w:p>
            <w:pPr>
              <w:jc w:val="right"/>
              <w:ind w:right="141"/>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8"/>
                <w:szCs w:val="18"/>
                <w:color w:val="auto"/>
              </w:rPr>
            </w:pPr>
          </w:p>
        </w:tc>
        <w:tc>
          <w:tcPr>
            <w:tcW w:w="960" w:type="dxa"/>
            <w:vAlign w:val="bottom"/>
          </w:tcPr>
          <w:p>
            <w:pPr>
              <w:jc w:val="right"/>
              <w:ind w:right="261"/>
              <w:spacing w:after="0"/>
              <w:rPr>
                <w:sz w:val="20"/>
                <w:szCs w:val="20"/>
                <w:color w:val="auto"/>
              </w:rPr>
            </w:pPr>
            <w:r>
              <w:rPr>
                <w:rFonts w:ascii="Arial" w:cs="Arial" w:eastAsia="Arial" w:hAnsi="Arial"/>
                <w:sz w:val="14"/>
                <w:szCs w:val="14"/>
                <w:color w:val="auto"/>
              </w:rPr>
              <w:t>Amount</w:t>
            </w:r>
          </w:p>
        </w:tc>
        <w:tc>
          <w:tcPr>
            <w:tcW w:w="200" w:type="dxa"/>
            <w:vAlign w:val="bottom"/>
          </w:tcPr>
          <w:p>
            <w:pPr>
              <w:spacing w:after="0"/>
              <w:rPr>
                <w:sz w:val="18"/>
                <w:szCs w:val="18"/>
                <w:color w:val="auto"/>
              </w:rPr>
            </w:pPr>
          </w:p>
        </w:tc>
        <w:tc>
          <w:tcPr>
            <w:tcW w:w="780" w:type="dxa"/>
            <w:vAlign w:val="bottom"/>
          </w:tcPr>
          <w:p>
            <w:pPr>
              <w:jc w:val="center"/>
              <w:ind w:right="122"/>
              <w:spacing w:after="0"/>
              <w:rPr>
                <w:sz w:val="20"/>
                <w:szCs w:val="20"/>
                <w:color w:val="auto"/>
              </w:rPr>
            </w:pPr>
            <w:r>
              <w:rPr>
                <w:rFonts w:ascii="Arial" w:cs="Arial" w:eastAsia="Arial" w:hAnsi="Arial"/>
                <w:sz w:val="14"/>
                <w:szCs w:val="14"/>
                <w:color w:val="auto"/>
                <w:w w:val="94"/>
              </w:rPr>
              <w:t>Tax</w:t>
            </w:r>
          </w:p>
        </w:tc>
        <w:tc>
          <w:tcPr>
            <w:tcW w:w="240" w:type="dxa"/>
            <w:vAlign w:val="bottom"/>
          </w:tcPr>
          <w:p>
            <w:pPr>
              <w:spacing w:after="0"/>
              <w:rPr>
                <w:sz w:val="18"/>
                <w:szCs w:val="18"/>
                <w:color w:val="auto"/>
              </w:rPr>
            </w:pPr>
          </w:p>
        </w:tc>
        <w:tc>
          <w:tcPr>
            <w:tcW w:w="860" w:type="dxa"/>
            <w:vAlign w:val="bottom"/>
          </w:tcPr>
          <w:p>
            <w:pPr>
              <w:jc w:val="right"/>
              <w:ind w:right="181"/>
              <w:spacing w:after="0"/>
              <w:rPr>
                <w:sz w:val="20"/>
                <w:szCs w:val="20"/>
                <w:color w:val="auto"/>
              </w:rPr>
            </w:pPr>
            <w:r>
              <w:rPr>
                <w:rFonts w:ascii="Arial" w:cs="Arial" w:eastAsia="Arial" w:hAnsi="Arial"/>
                <w:sz w:val="14"/>
                <w:szCs w:val="14"/>
                <w:color w:val="auto"/>
              </w:rPr>
              <w:t>Amount</w:t>
            </w:r>
          </w:p>
        </w:tc>
        <w:tc>
          <w:tcPr>
            <w:tcW w:w="0" w:type="dxa"/>
            <w:vAlign w:val="bottom"/>
          </w:tcPr>
          <w:p>
            <w:pPr>
              <w:spacing w:after="0"/>
              <w:rPr>
                <w:sz w:val="1"/>
                <w:szCs w:val="1"/>
                <w:color w:val="auto"/>
              </w:rPr>
            </w:pPr>
          </w:p>
        </w:tc>
      </w:tr>
      <w:tr>
        <w:trPr>
          <w:trHeight w:val="60"/>
        </w:trPr>
        <w:tc>
          <w:tcPr>
            <w:tcW w:w="5040" w:type="dxa"/>
            <w:vAlign w:val="bottom"/>
            <w:tcBorders>
              <w:bottom w:val="single" w:sz="8" w:color="auto"/>
            </w:tcBorders>
            <w:vMerge w:val="continue"/>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5040" w:type="dxa"/>
            <w:vAlign w:val="bottom"/>
          </w:tcPr>
          <w:p>
            <w:pPr>
              <w:ind w:left="40"/>
              <w:spacing w:after="0"/>
              <w:rPr>
                <w:sz w:val="20"/>
                <w:szCs w:val="20"/>
                <w:color w:val="auto"/>
              </w:rPr>
            </w:pPr>
            <w:r>
              <w:rPr>
                <w:rFonts w:ascii="Arial" w:cs="Arial" w:eastAsia="Arial" w:hAnsi="Arial"/>
                <w:sz w:val="16"/>
                <w:szCs w:val="16"/>
                <w:color w:val="auto"/>
              </w:rPr>
              <w:t>Foreign currency translation adjustments:</w:t>
            </w: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040" w:type="dxa"/>
            <w:vAlign w:val="bottom"/>
          </w:tcPr>
          <w:p>
            <w:pPr>
              <w:ind w:left="180"/>
              <w:spacing w:after="0"/>
              <w:rPr>
                <w:sz w:val="20"/>
                <w:szCs w:val="20"/>
                <w:color w:val="auto"/>
              </w:rPr>
            </w:pPr>
            <w:r>
              <w:rPr>
                <w:rFonts w:ascii="Arial" w:cs="Arial" w:eastAsia="Arial" w:hAnsi="Arial"/>
                <w:sz w:val="16"/>
                <w:szCs w:val="16"/>
                <w:color w:val="auto"/>
              </w:rPr>
              <w:t>Translation adjustments arising during the period</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81"/>
              <w:spacing w:after="0"/>
              <w:rPr>
                <w:sz w:val="20"/>
                <w:szCs w:val="20"/>
                <w:color w:val="auto"/>
              </w:rPr>
            </w:pPr>
            <w:r>
              <w:rPr>
                <w:rFonts w:ascii="Arial" w:cs="Arial" w:eastAsia="Arial" w:hAnsi="Arial"/>
                <w:sz w:val="16"/>
                <w:szCs w:val="16"/>
                <w:b w:val="1"/>
                <w:bCs w:val="1"/>
                <w:color w:val="auto"/>
              </w:rPr>
              <w:t>11,564</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ind w:right="42"/>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61"/>
              <w:spacing w:after="0"/>
              <w:rPr>
                <w:sz w:val="20"/>
                <w:szCs w:val="20"/>
                <w:color w:val="auto"/>
              </w:rPr>
            </w:pPr>
            <w:r>
              <w:rPr>
                <w:rFonts w:ascii="Arial" w:cs="Arial" w:eastAsia="Arial" w:hAnsi="Arial"/>
                <w:sz w:val="16"/>
                <w:szCs w:val="16"/>
                <w:b w:val="1"/>
                <w:bCs w:val="1"/>
                <w:color w:val="auto"/>
              </w:rPr>
              <w:t>11,564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01"/>
              <w:spacing w:after="0"/>
              <w:rPr>
                <w:sz w:val="20"/>
                <w:szCs w:val="20"/>
                <w:color w:val="auto"/>
              </w:rPr>
            </w:pPr>
            <w:r>
              <w:rPr>
                <w:rFonts w:ascii="Arial" w:cs="Arial" w:eastAsia="Arial" w:hAnsi="Arial"/>
                <w:sz w:val="16"/>
                <w:szCs w:val="16"/>
                <w:color w:val="auto"/>
              </w:rPr>
              <w:t>13,668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13,668</w:t>
            </w:r>
          </w:p>
        </w:tc>
        <w:tc>
          <w:tcPr>
            <w:tcW w:w="0" w:type="dxa"/>
            <w:vAlign w:val="bottom"/>
          </w:tcPr>
          <w:p>
            <w:pPr>
              <w:spacing w:after="0"/>
              <w:rPr>
                <w:sz w:val="1"/>
                <w:szCs w:val="1"/>
                <w:color w:val="auto"/>
              </w:rPr>
            </w:pPr>
          </w:p>
        </w:tc>
      </w:tr>
      <w:tr>
        <w:trPr>
          <w:trHeight w:val="270"/>
        </w:trPr>
        <w:tc>
          <w:tcPr>
            <w:tcW w:w="5040" w:type="dxa"/>
            <w:vAlign w:val="bottom"/>
          </w:tcPr>
          <w:p>
            <w:pPr>
              <w:ind w:left="40"/>
              <w:spacing w:after="0"/>
              <w:rPr>
                <w:sz w:val="20"/>
                <w:szCs w:val="20"/>
                <w:color w:val="auto"/>
              </w:rPr>
            </w:pPr>
            <w:r>
              <w:rPr>
                <w:rFonts w:ascii="Arial" w:cs="Arial" w:eastAsia="Arial" w:hAnsi="Arial"/>
                <w:sz w:val="16"/>
                <w:szCs w:val="16"/>
                <w:color w:val="auto"/>
              </w:rPr>
              <w:t>Unrealized gains on available-for-sale securities:</w:t>
            </w:r>
          </w:p>
        </w:tc>
        <w:tc>
          <w:tcPr>
            <w:tcW w:w="1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40" w:type="dxa"/>
            <w:vAlign w:val="bottom"/>
          </w:tcPr>
          <w:p>
            <w:pPr>
              <w:ind w:left="180"/>
              <w:spacing w:after="0"/>
              <w:rPr>
                <w:sz w:val="20"/>
                <w:szCs w:val="20"/>
                <w:color w:val="auto"/>
              </w:rPr>
            </w:pPr>
            <w:r>
              <w:rPr>
                <w:rFonts w:ascii="Arial" w:cs="Arial" w:eastAsia="Arial" w:hAnsi="Arial"/>
                <w:sz w:val="16"/>
                <w:szCs w:val="16"/>
                <w:color w:val="auto"/>
              </w:rPr>
              <w:t>Unrealized gains for the period, net</w:t>
            </w:r>
          </w:p>
        </w:tc>
        <w:tc>
          <w:tcPr>
            <w:tcW w:w="140" w:type="dxa"/>
            <w:vAlign w:val="bottom"/>
          </w:tcPr>
          <w:p>
            <w:pPr>
              <w:spacing w:after="0"/>
              <w:rPr>
                <w:sz w:val="23"/>
                <w:szCs w:val="23"/>
                <w:color w:val="auto"/>
              </w:rPr>
            </w:pPr>
          </w:p>
        </w:tc>
        <w:tc>
          <w:tcPr>
            <w:tcW w:w="96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3"/>
                <w:szCs w:val="23"/>
                <w:color w:val="auto"/>
              </w:rPr>
            </w:pPr>
          </w:p>
        </w:tc>
        <w:tc>
          <w:tcPr>
            <w:tcW w:w="760" w:type="dxa"/>
            <w:vAlign w:val="bottom"/>
          </w:tcPr>
          <w:p>
            <w:pPr>
              <w:jc w:val="right"/>
              <w:ind w:right="42"/>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3"/>
                <w:szCs w:val="23"/>
                <w:color w:val="auto"/>
              </w:rPr>
            </w:pPr>
          </w:p>
        </w:tc>
        <w:tc>
          <w:tcPr>
            <w:tcW w:w="82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23"/>
                <w:szCs w:val="23"/>
                <w:color w:val="auto"/>
              </w:rPr>
            </w:pPr>
          </w:p>
        </w:tc>
        <w:tc>
          <w:tcPr>
            <w:tcW w:w="960" w:type="dxa"/>
            <w:vAlign w:val="bottom"/>
          </w:tcPr>
          <w:p>
            <w:pPr>
              <w:jc w:val="right"/>
              <w:ind w:right="101"/>
              <w:spacing w:after="0"/>
              <w:rPr>
                <w:sz w:val="20"/>
                <w:szCs w:val="20"/>
                <w:color w:val="auto"/>
              </w:rPr>
            </w:pPr>
            <w:r>
              <w:rPr>
                <w:rFonts w:ascii="Arial" w:cs="Arial" w:eastAsia="Arial" w:hAnsi="Arial"/>
                <w:sz w:val="16"/>
                <w:szCs w:val="16"/>
                <w:color w:val="auto"/>
              </w:rPr>
              <w:t>9,558</w:t>
            </w:r>
          </w:p>
        </w:tc>
        <w:tc>
          <w:tcPr>
            <w:tcW w:w="200" w:type="dxa"/>
            <w:vAlign w:val="bottom"/>
          </w:tcPr>
          <w:p>
            <w:pPr>
              <w:spacing w:after="0"/>
              <w:rPr>
                <w:sz w:val="23"/>
                <w:szCs w:val="23"/>
                <w:color w:val="auto"/>
              </w:rPr>
            </w:pPr>
          </w:p>
        </w:tc>
        <w:tc>
          <w:tcPr>
            <w:tcW w:w="780" w:type="dxa"/>
            <w:vAlign w:val="bottom"/>
          </w:tcPr>
          <w:p>
            <w:pPr>
              <w:jc w:val="right"/>
              <w:ind w:right="2"/>
              <w:spacing w:after="0"/>
              <w:rPr>
                <w:sz w:val="20"/>
                <w:szCs w:val="20"/>
                <w:color w:val="auto"/>
              </w:rPr>
            </w:pPr>
            <w:r>
              <w:rPr>
                <w:rFonts w:ascii="Arial" w:cs="Arial" w:eastAsia="Arial" w:hAnsi="Arial"/>
                <w:sz w:val="16"/>
                <w:szCs w:val="16"/>
                <w:color w:val="auto"/>
              </w:rPr>
              <w:t>(3,823)</w:t>
            </w:r>
          </w:p>
        </w:tc>
        <w:tc>
          <w:tcPr>
            <w:tcW w:w="240" w:type="dxa"/>
            <w:vAlign w:val="bottom"/>
          </w:tcPr>
          <w:p>
            <w:pPr>
              <w:spacing w:after="0"/>
              <w:rPr>
                <w:sz w:val="23"/>
                <w:szCs w:val="23"/>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5,735</w:t>
            </w:r>
          </w:p>
        </w:tc>
        <w:tc>
          <w:tcPr>
            <w:tcW w:w="0" w:type="dxa"/>
            <w:vAlign w:val="bottom"/>
          </w:tcPr>
          <w:p>
            <w:pPr>
              <w:spacing w:after="0"/>
              <w:rPr>
                <w:sz w:val="1"/>
                <w:szCs w:val="1"/>
                <w:color w:val="auto"/>
              </w:rPr>
            </w:pPr>
          </w:p>
        </w:tc>
      </w:tr>
      <w:tr>
        <w:trPr>
          <w:trHeight w:val="270"/>
        </w:trPr>
        <w:tc>
          <w:tcPr>
            <w:tcW w:w="5040" w:type="dxa"/>
            <w:vAlign w:val="bottom"/>
          </w:tcPr>
          <w:p>
            <w:pPr>
              <w:ind w:left="40"/>
              <w:spacing w:after="0"/>
              <w:rPr>
                <w:sz w:val="20"/>
                <w:szCs w:val="20"/>
                <w:color w:val="auto"/>
              </w:rPr>
            </w:pPr>
            <w:r>
              <w:rPr>
                <w:rFonts w:ascii="Arial" w:cs="Arial" w:eastAsia="Arial" w:hAnsi="Arial"/>
                <w:sz w:val="16"/>
                <w:szCs w:val="16"/>
                <w:color w:val="auto"/>
              </w:rPr>
              <w:t>Pension and other postretirement plans:</w:t>
            </w:r>
          </w:p>
        </w:tc>
        <w:tc>
          <w:tcPr>
            <w:tcW w:w="1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40" w:type="dxa"/>
            <w:vAlign w:val="bottom"/>
          </w:tcPr>
          <w:p>
            <w:pPr>
              <w:ind w:left="180"/>
              <w:spacing w:after="0"/>
              <w:rPr>
                <w:sz w:val="20"/>
                <w:szCs w:val="20"/>
                <w:color w:val="auto"/>
              </w:rPr>
            </w:pPr>
            <w:r>
              <w:rPr>
                <w:rFonts w:ascii="Arial" w:cs="Arial" w:eastAsia="Arial" w:hAnsi="Arial"/>
                <w:sz w:val="16"/>
                <w:szCs w:val="16"/>
                <w:color w:val="auto"/>
              </w:rPr>
              <w:t>Amortization of net prior service cost included in net income</w:t>
            </w:r>
          </w:p>
        </w:tc>
        <w:tc>
          <w:tcPr>
            <w:tcW w:w="140" w:type="dxa"/>
            <w:vAlign w:val="bottom"/>
          </w:tcPr>
          <w:p>
            <w:pPr>
              <w:spacing w:after="0"/>
              <w:rPr>
                <w:sz w:val="23"/>
                <w:szCs w:val="23"/>
                <w:color w:val="auto"/>
              </w:rPr>
            </w:pPr>
          </w:p>
        </w:tc>
        <w:tc>
          <w:tcPr>
            <w:tcW w:w="960" w:type="dxa"/>
            <w:vAlign w:val="bottom"/>
          </w:tcPr>
          <w:p>
            <w:pPr>
              <w:jc w:val="right"/>
              <w:ind w:right="81"/>
              <w:spacing w:after="0"/>
              <w:rPr>
                <w:sz w:val="20"/>
                <w:szCs w:val="20"/>
                <w:color w:val="auto"/>
              </w:rPr>
            </w:pPr>
            <w:r>
              <w:rPr>
                <w:rFonts w:ascii="Arial" w:cs="Arial" w:eastAsia="Arial" w:hAnsi="Arial"/>
                <w:sz w:val="16"/>
                <w:szCs w:val="16"/>
                <w:b w:val="1"/>
                <w:bCs w:val="1"/>
                <w:color w:val="auto"/>
              </w:rPr>
              <w:t>76</w:t>
            </w: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(21)</w:t>
            </w:r>
          </w:p>
        </w:tc>
        <w:tc>
          <w:tcPr>
            <w:tcW w:w="220" w:type="dxa"/>
            <w:vAlign w:val="bottom"/>
          </w:tcPr>
          <w:p>
            <w:pPr>
              <w:spacing w:after="0"/>
              <w:rPr>
                <w:sz w:val="23"/>
                <w:szCs w:val="23"/>
                <w:color w:val="auto"/>
              </w:rPr>
            </w:pPr>
          </w:p>
        </w:tc>
        <w:tc>
          <w:tcPr>
            <w:tcW w:w="820" w:type="dxa"/>
            <w:vAlign w:val="bottom"/>
          </w:tcPr>
          <w:p>
            <w:pPr>
              <w:jc w:val="right"/>
              <w:ind w:right="61"/>
              <w:spacing w:after="0"/>
              <w:rPr>
                <w:sz w:val="20"/>
                <w:szCs w:val="20"/>
                <w:color w:val="auto"/>
              </w:rPr>
            </w:pPr>
            <w:r>
              <w:rPr>
                <w:rFonts w:ascii="Arial" w:cs="Arial" w:eastAsia="Arial" w:hAnsi="Arial"/>
                <w:sz w:val="16"/>
                <w:szCs w:val="16"/>
                <w:b w:val="1"/>
                <w:bCs w:val="1"/>
                <w:color w:val="auto"/>
              </w:rPr>
              <w:t>55</w:t>
            </w:r>
          </w:p>
        </w:tc>
        <w:tc>
          <w:tcPr>
            <w:tcW w:w="200" w:type="dxa"/>
            <w:vAlign w:val="bottom"/>
          </w:tcPr>
          <w:p>
            <w:pPr>
              <w:spacing w:after="0"/>
              <w:rPr>
                <w:sz w:val="23"/>
                <w:szCs w:val="23"/>
                <w:color w:val="auto"/>
              </w:rPr>
            </w:pPr>
          </w:p>
        </w:tc>
        <w:tc>
          <w:tcPr>
            <w:tcW w:w="960" w:type="dxa"/>
            <w:vAlign w:val="bottom"/>
          </w:tcPr>
          <w:p>
            <w:pPr>
              <w:jc w:val="right"/>
              <w:ind w:right="101"/>
              <w:spacing w:after="0"/>
              <w:rPr>
                <w:sz w:val="20"/>
                <w:szCs w:val="20"/>
                <w:color w:val="auto"/>
              </w:rPr>
            </w:pPr>
            <w:r>
              <w:rPr>
                <w:rFonts w:ascii="Arial" w:cs="Arial" w:eastAsia="Arial" w:hAnsi="Arial"/>
                <w:sz w:val="16"/>
                <w:szCs w:val="16"/>
                <w:color w:val="auto"/>
              </w:rPr>
              <w:t>120</w:t>
            </w:r>
          </w:p>
        </w:tc>
        <w:tc>
          <w:tcPr>
            <w:tcW w:w="200" w:type="dxa"/>
            <w:vAlign w:val="bottom"/>
          </w:tcPr>
          <w:p>
            <w:pPr>
              <w:spacing w:after="0"/>
              <w:rPr>
                <w:sz w:val="23"/>
                <w:szCs w:val="23"/>
                <w:color w:val="auto"/>
              </w:rPr>
            </w:pPr>
          </w:p>
        </w:tc>
        <w:tc>
          <w:tcPr>
            <w:tcW w:w="780" w:type="dxa"/>
            <w:vAlign w:val="bottom"/>
          </w:tcPr>
          <w:p>
            <w:pPr>
              <w:jc w:val="right"/>
              <w:ind w:right="2"/>
              <w:spacing w:after="0"/>
              <w:rPr>
                <w:sz w:val="20"/>
                <w:szCs w:val="20"/>
                <w:color w:val="auto"/>
              </w:rPr>
            </w:pPr>
            <w:r>
              <w:rPr>
                <w:rFonts w:ascii="Arial" w:cs="Arial" w:eastAsia="Arial" w:hAnsi="Arial"/>
                <w:sz w:val="16"/>
                <w:szCs w:val="16"/>
                <w:color w:val="auto"/>
              </w:rPr>
              <w:t>(48)</w:t>
            </w:r>
          </w:p>
        </w:tc>
        <w:tc>
          <w:tcPr>
            <w:tcW w:w="240" w:type="dxa"/>
            <w:vAlign w:val="bottom"/>
          </w:tcPr>
          <w:p>
            <w:pPr>
              <w:spacing w:after="0"/>
              <w:rPr>
                <w:sz w:val="23"/>
                <w:szCs w:val="23"/>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83"/>
        </w:trPr>
        <w:tc>
          <w:tcPr>
            <w:tcW w:w="5040" w:type="dxa"/>
            <w:vAlign w:val="bottom"/>
          </w:tcPr>
          <w:p>
            <w:pPr>
              <w:ind w:left="180"/>
              <w:spacing w:after="0"/>
              <w:rPr>
                <w:sz w:val="20"/>
                <w:szCs w:val="20"/>
                <w:color w:val="auto"/>
              </w:rPr>
            </w:pPr>
            <w:r>
              <w:rPr>
                <w:rFonts w:ascii="Arial" w:cs="Arial" w:eastAsia="Arial" w:hAnsi="Arial"/>
                <w:sz w:val="16"/>
                <w:szCs w:val="16"/>
                <w:color w:val="auto"/>
              </w:rPr>
              <w:t>Amortization of net actuarial gain included in net income</w:t>
            </w: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(1,367)</w:t>
            </w: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369</w:t>
            </w: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(998)</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(1,823)</w:t>
            </w: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729</w:t>
            </w: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(1,094)</w:t>
            </w:r>
          </w:p>
        </w:tc>
        <w:tc>
          <w:tcPr>
            <w:tcW w:w="0" w:type="dxa"/>
            <w:vAlign w:val="bottom"/>
          </w:tcPr>
          <w:p>
            <w:pPr>
              <w:spacing w:after="0"/>
              <w:rPr>
                <w:sz w:val="1"/>
                <w:szCs w:val="1"/>
                <w:color w:val="auto"/>
              </w:rPr>
            </w:pPr>
          </w:p>
        </w:tc>
      </w:tr>
      <w:tr>
        <w:trPr>
          <w:trHeight w:val="264"/>
        </w:trPr>
        <w:tc>
          <w:tcPr>
            <w:tcW w:w="50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(1,291)</w:t>
            </w: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348</w:t>
            </w: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(943)</w:t>
            </w: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(1,703)</w:t>
            </w:r>
          </w:p>
        </w:tc>
        <w:tc>
          <w:tcPr>
            <w:tcW w:w="2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681</w:t>
            </w: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(1,022)</w:t>
            </w:r>
          </w:p>
        </w:tc>
        <w:tc>
          <w:tcPr>
            <w:tcW w:w="0" w:type="dxa"/>
            <w:vAlign w:val="bottom"/>
          </w:tcPr>
          <w:p>
            <w:pPr>
              <w:spacing w:after="0"/>
              <w:rPr>
                <w:sz w:val="1"/>
                <w:szCs w:val="1"/>
                <w:color w:val="auto"/>
              </w:rPr>
            </w:pPr>
          </w:p>
        </w:tc>
      </w:tr>
      <w:tr>
        <w:trPr>
          <w:trHeight w:val="251"/>
        </w:trPr>
        <w:tc>
          <w:tcPr>
            <w:tcW w:w="5040" w:type="dxa"/>
            <w:vAlign w:val="bottom"/>
          </w:tcPr>
          <w:p>
            <w:pPr>
              <w:ind w:left="40"/>
              <w:spacing w:after="0"/>
              <w:rPr>
                <w:sz w:val="20"/>
                <w:szCs w:val="20"/>
                <w:color w:val="auto"/>
              </w:rPr>
            </w:pPr>
            <w:r>
              <w:rPr>
                <w:rFonts w:ascii="Arial" w:cs="Arial" w:eastAsia="Arial" w:hAnsi="Arial"/>
                <w:sz w:val="16"/>
                <w:szCs w:val="16"/>
                <w:color w:val="auto"/>
              </w:rPr>
              <w:t>Cash flow hedge:</w:t>
            </w: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5040" w:type="dxa"/>
            <w:vAlign w:val="bottom"/>
          </w:tcPr>
          <w:p>
            <w:pPr>
              <w:ind w:left="180"/>
              <w:spacing w:after="0"/>
              <w:rPr>
                <w:sz w:val="20"/>
                <w:szCs w:val="20"/>
                <w:color w:val="auto"/>
              </w:rPr>
            </w:pPr>
            <w:r>
              <w:rPr>
                <w:rFonts w:ascii="Arial" w:cs="Arial" w:eastAsia="Arial" w:hAnsi="Arial"/>
                <w:sz w:val="16"/>
                <w:szCs w:val="16"/>
                <w:color w:val="auto"/>
              </w:rPr>
              <w:t>Gain (loss) for the period</w:t>
            </w: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236</w:t>
            </w: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(45)</w:t>
            </w: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191</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(124)</w:t>
            </w: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25</w:t>
            </w: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67"/>
        </w:trPr>
        <w:tc>
          <w:tcPr>
            <w:tcW w:w="5040" w:type="dxa"/>
            <w:vAlign w:val="bottom"/>
          </w:tcPr>
          <w:p>
            <w:pPr>
              <w:ind w:left="40"/>
              <w:spacing w:after="0"/>
              <w:rPr>
                <w:sz w:val="20"/>
                <w:szCs w:val="20"/>
                <w:color w:val="auto"/>
              </w:rPr>
            </w:pPr>
            <w:r>
              <w:rPr>
                <w:rFonts w:ascii="Arial" w:cs="Arial" w:eastAsia="Arial" w:hAnsi="Arial"/>
                <w:sz w:val="16"/>
                <w:szCs w:val="16"/>
                <w:b w:val="1"/>
                <w:bCs w:val="1"/>
                <w:color w:val="auto"/>
              </w:rPr>
              <w:t>Other Comprehensive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10,509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303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10,812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21,399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(3,117)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18,282</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accumulated balances related to each component of other comprehensive income (loss)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jc w:val="center"/>
              <w:ind w:right="107"/>
              <w:spacing w:after="0"/>
              <w:rPr>
                <w:sz w:val="20"/>
                <w:szCs w:val="20"/>
                <w:color w:val="auto"/>
              </w:rPr>
            </w:pPr>
            <w:r>
              <w:rPr>
                <w:rFonts w:ascii="Arial" w:cs="Arial" w:eastAsia="Arial" w:hAnsi="Arial"/>
                <w:sz w:val="14"/>
                <w:szCs w:val="14"/>
                <w:b w:val="1"/>
                <w:bCs w:val="1"/>
                <w:color w:val="auto"/>
              </w:rPr>
              <w:t>Cumulative</w:t>
            </w: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jc w:val="center"/>
              <w:ind w:right="87"/>
              <w:spacing w:after="0"/>
              <w:rPr>
                <w:sz w:val="20"/>
                <w:szCs w:val="20"/>
                <w:color w:val="auto"/>
              </w:rPr>
            </w:pPr>
            <w:r>
              <w:rPr>
                <w:rFonts w:ascii="Arial" w:cs="Arial" w:eastAsia="Arial" w:hAnsi="Arial"/>
                <w:sz w:val="14"/>
                <w:szCs w:val="14"/>
                <w:b w:val="1"/>
                <w:bCs w:val="1"/>
                <w:color w:val="auto"/>
              </w:rPr>
              <w:t>Unrealized Gain</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2"/>
        </w:trPr>
        <w:tc>
          <w:tcPr>
            <w:tcW w:w="3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jc w:val="center"/>
              <w:ind w:right="127"/>
              <w:spacing w:after="0"/>
              <w:rPr>
                <w:sz w:val="20"/>
                <w:szCs w:val="20"/>
                <w:color w:val="auto"/>
              </w:rPr>
            </w:pPr>
            <w:r>
              <w:rPr>
                <w:rFonts w:ascii="Arial" w:cs="Arial" w:eastAsia="Arial" w:hAnsi="Arial"/>
                <w:sz w:val="14"/>
                <w:szCs w:val="14"/>
                <w:b w:val="1"/>
                <w:bCs w:val="1"/>
                <w:color w:val="auto"/>
              </w:rPr>
              <w:t>Foreign</w:t>
            </w: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jc w:val="center"/>
              <w:ind w:right="87"/>
              <w:spacing w:after="0"/>
              <w:rPr>
                <w:sz w:val="20"/>
                <w:szCs w:val="20"/>
                <w:color w:val="auto"/>
              </w:rPr>
            </w:pPr>
            <w:r>
              <w:rPr>
                <w:rFonts w:ascii="Arial" w:cs="Arial" w:eastAsia="Arial" w:hAnsi="Arial"/>
                <w:sz w:val="14"/>
                <w:szCs w:val="14"/>
                <w:b w:val="1"/>
                <w:bCs w:val="1"/>
                <w:color w:val="auto"/>
              </w:rPr>
              <w:t>on Pensions</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center"/>
              <w:ind w:right="66"/>
              <w:spacing w:after="0"/>
              <w:rPr>
                <w:sz w:val="20"/>
                <w:szCs w:val="20"/>
                <w:color w:val="auto"/>
              </w:rPr>
            </w:pPr>
            <w:r>
              <w:rPr>
                <w:rFonts w:ascii="Arial" w:cs="Arial" w:eastAsia="Arial" w:hAnsi="Arial"/>
                <w:sz w:val="14"/>
                <w:szCs w:val="14"/>
                <w:b w:val="1"/>
                <w:bCs w:val="1"/>
                <w:color w:val="auto"/>
              </w:rPr>
              <w:t>Accumulated</w:t>
            </w:r>
          </w:p>
        </w:tc>
      </w:tr>
      <w:tr>
        <w:trPr>
          <w:trHeight w:val="162"/>
        </w:trPr>
        <w:tc>
          <w:tcPr>
            <w:tcW w:w="3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jc w:val="center"/>
              <w:ind w:right="127"/>
              <w:spacing w:after="0"/>
              <w:rPr>
                <w:sz w:val="20"/>
                <w:szCs w:val="20"/>
                <w:color w:val="auto"/>
              </w:rPr>
            </w:pPr>
            <w:r>
              <w:rPr>
                <w:rFonts w:ascii="Arial" w:cs="Arial" w:eastAsia="Arial" w:hAnsi="Arial"/>
                <w:sz w:val="14"/>
                <w:szCs w:val="14"/>
                <w:b w:val="1"/>
                <w:bCs w:val="1"/>
                <w:color w:val="auto"/>
              </w:rPr>
              <w:t>Currency</w:t>
            </w:r>
          </w:p>
        </w:tc>
        <w:tc>
          <w:tcPr>
            <w:tcW w:w="260" w:type="dxa"/>
            <w:vAlign w:val="bottom"/>
          </w:tcPr>
          <w:p>
            <w:pPr>
              <w:spacing w:after="0"/>
              <w:rPr>
                <w:sz w:val="14"/>
                <w:szCs w:val="14"/>
                <w:color w:val="auto"/>
              </w:rPr>
            </w:pPr>
          </w:p>
        </w:tc>
        <w:tc>
          <w:tcPr>
            <w:tcW w:w="1340" w:type="dxa"/>
            <w:vAlign w:val="bottom"/>
          </w:tcPr>
          <w:p>
            <w:pPr>
              <w:jc w:val="center"/>
              <w:ind w:right="86"/>
              <w:spacing w:after="0"/>
              <w:rPr>
                <w:sz w:val="20"/>
                <w:szCs w:val="20"/>
                <w:color w:val="auto"/>
              </w:rPr>
            </w:pPr>
            <w:r>
              <w:rPr>
                <w:rFonts w:ascii="Arial" w:cs="Arial" w:eastAsia="Arial" w:hAnsi="Arial"/>
                <w:sz w:val="14"/>
                <w:szCs w:val="14"/>
                <w:b w:val="1"/>
                <w:bCs w:val="1"/>
                <w:color w:val="auto"/>
              </w:rPr>
              <w:t>Unrealized Gain</w:t>
            </w:r>
          </w:p>
        </w:tc>
        <w:tc>
          <w:tcPr>
            <w:tcW w:w="240" w:type="dxa"/>
            <w:vAlign w:val="bottom"/>
          </w:tcPr>
          <w:p>
            <w:pPr>
              <w:spacing w:after="0"/>
              <w:rPr>
                <w:sz w:val="14"/>
                <w:szCs w:val="14"/>
                <w:color w:val="auto"/>
              </w:rPr>
            </w:pPr>
          </w:p>
        </w:tc>
        <w:tc>
          <w:tcPr>
            <w:tcW w:w="1340" w:type="dxa"/>
            <w:vAlign w:val="bottom"/>
          </w:tcPr>
          <w:p>
            <w:pPr>
              <w:jc w:val="center"/>
              <w:ind w:right="67"/>
              <w:spacing w:after="0"/>
              <w:rPr>
                <w:sz w:val="20"/>
                <w:szCs w:val="20"/>
                <w:color w:val="auto"/>
              </w:rPr>
            </w:pPr>
            <w:r>
              <w:rPr>
                <w:rFonts w:ascii="Arial" w:cs="Arial" w:eastAsia="Arial" w:hAnsi="Arial"/>
                <w:sz w:val="14"/>
                <w:szCs w:val="14"/>
                <w:b w:val="1"/>
                <w:bCs w:val="1"/>
                <w:color w:val="auto"/>
              </w:rPr>
              <w:t>and Other</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center"/>
              <w:ind w:right="66"/>
              <w:spacing w:after="0"/>
              <w:rPr>
                <w:sz w:val="20"/>
                <w:szCs w:val="20"/>
                <w:color w:val="auto"/>
              </w:rPr>
            </w:pPr>
            <w:r>
              <w:rPr>
                <w:rFonts w:ascii="Arial" w:cs="Arial" w:eastAsia="Arial" w:hAnsi="Arial"/>
                <w:sz w:val="14"/>
                <w:szCs w:val="14"/>
                <w:b w:val="1"/>
                <w:bCs w:val="1"/>
                <w:color w:val="auto"/>
              </w:rPr>
              <w:t>Other</w:t>
            </w:r>
          </w:p>
        </w:tc>
      </w:tr>
      <w:tr>
        <w:trPr>
          <w:trHeight w:val="162"/>
        </w:trPr>
        <w:tc>
          <w:tcPr>
            <w:tcW w:w="3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jc w:val="center"/>
              <w:ind w:right="127"/>
              <w:spacing w:after="0"/>
              <w:rPr>
                <w:sz w:val="20"/>
                <w:szCs w:val="20"/>
                <w:color w:val="auto"/>
              </w:rPr>
            </w:pPr>
            <w:r>
              <w:rPr>
                <w:rFonts w:ascii="Arial" w:cs="Arial" w:eastAsia="Arial" w:hAnsi="Arial"/>
                <w:sz w:val="14"/>
                <w:szCs w:val="14"/>
                <w:b w:val="1"/>
                <w:bCs w:val="1"/>
                <w:color w:val="auto"/>
              </w:rPr>
              <w:t>Translation</w:t>
            </w:r>
          </w:p>
        </w:tc>
        <w:tc>
          <w:tcPr>
            <w:tcW w:w="260" w:type="dxa"/>
            <w:vAlign w:val="bottom"/>
          </w:tcPr>
          <w:p>
            <w:pPr>
              <w:spacing w:after="0"/>
              <w:rPr>
                <w:sz w:val="14"/>
                <w:szCs w:val="14"/>
                <w:color w:val="auto"/>
              </w:rPr>
            </w:pPr>
          </w:p>
        </w:tc>
        <w:tc>
          <w:tcPr>
            <w:tcW w:w="1340" w:type="dxa"/>
            <w:vAlign w:val="bottom"/>
          </w:tcPr>
          <w:p>
            <w:pPr>
              <w:jc w:val="center"/>
              <w:ind w:right="86"/>
              <w:spacing w:after="0"/>
              <w:rPr>
                <w:sz w:val="20"/>
                <w:szCs w:val="20"/>
                <w:color w:val="auto"/>
              </w:rPr>
            </w:pPr>
            <w:r>
              <w:rPr>
                <w:rFonts w:ascii="Arial" w:cs="Arial" w:eastAsia="Arial" w:hAnsi="Arial"/>
                <w:sz w:val="14"/>
                <w:szCs w:val="14"/>
                <w:b w:val="1"/>
                <w:bCs w:val="1"/>
                <w:color w:val="auto"/>
              </w:rPr>
              <w:t>on Available-for-</w:t>
            </w:r>
          </w:p>
        </w:tc>
        <w:tc>
          <w:tcPr>
            <w:tcW w:w="240" w:type="dxa"/>
            <w:vAlign w:val="bottom"/>
          </w:tcPr>
          <w:p>
            <w:pPr>
              <w:spacing w:after="0"/>
              <w:rPr>
                <w:sz w:val="14"/>
                <w:szCs w:val="14"/>
                <w:color w:val="auto"/>
              </w:rPr>
            </w:pPr>
          </w:p>
        </w:tc>
        <w:tc>
          <w:tcPr>
            <w:tcW w:w="1340" w:type="dxa"/>
            <w:vAlign w:val="bottom"/>
          </w:tcPr>
          <w:p>
            <w:pPr>
              <w:jc w:val="center"/>
              <w:ind w:right="87"/>
              <w:spacing w:after="0"/>
              <w:rPr>
                <w:sz w:val="20"/>
                <w:szCs w:val="20"/>
                <w:color w:val="auto"/>
              </w:rPr>
            </w:pPr>
            <w:r>
              <w:rPr>
                <w:rFonts w:ascii="Arial" w:cs="Arial" w:eastAsia="Arial" w:hAnsi="Arial"/>
                <w:sz w:val="14"/>
                <w:szCs w:val="14"/>
                <w:b w:val="1"/>
                <w:bCs w:val="1"/>
                <w:color w:val="auto"/>
              </w:rPr>
              <w:t>Postretirement</w:t>
            </w: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rPr>
              <w:t>Cash Flow</w:t>
            </w:r>
          </w:p>
        </w:tc>
        <w:tc>
          <w:tcPr>
            <w:tcW w:w="220" w:type="dxa"/>
            <w:vAlign w:val="bottom"/>
          </w:tcPr>
          <w:p>
            <w:pPr>
              <w:spacing w:after="0"/>
              <w:rPr>
                <w:sz w:val="14"/>
                <w:szCs w:val="14"/>
                <w:color w:val="auto"/>
              </w:rPr>
            </w:pPr>
          </w:p>
        </w:tc>
        <w:tc>
          <w:tcPr>
            <w:tcW w:w="1320" w:type="dxa"/>
            <w:vAlign w:val="bottom"/>
          </w:tcPr>
          <w:p>
            <w:pPr>
              <w:jc w:val="center"/>
              <w:ind w:right="86"/>
              <w:spacing w:after="0"/>
              <w:rPr>
                <w:sz w:val="20"/>
                <w:szCs w:val="20"/>
                <w:color w:val="auto"/>
              </w:rPr>
            </w:pPr>
            <w:r>
              <w:rPr>
                <w:rFonts w:ascii="Arial" w:cs="Arial" w:eastAsia="Arial" w:hAnsi="Arial"/>
                <w:sz w:val="14"/>
                <w:szCs w:val="14"/>
                <w:b w:val="1"/>
                <w:bCs w:val="1"/>
                <w:color w:val="auto"/>
              </w:rPr>
              <w:t>Comprehensive</w:t>
            </w:r>
          </w:p>
        </w:tc>
      </w:tr>
      <w:tr>
        <w:trPr>
          <w:trHeight w:val="196"/>
        </w:trPr>
        <w:tc>
          <w:tcPr>
            <w:tcW w:w="34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net of taxes)</w:t>
            </w:r>
          </w:p>
        </w:tc>
        <w:tc>
          <w:tcPr>
            <w:tcW w:w="1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127"/>
              <w:spacing w:after="0"/>
              <w:rPr>
                <w:sz w:val="20"/>
                <w:szCs w:val="20"/>
                <w:color w:val="auto"/>
              </w:rPr>
            </w:pPr>
            <w:r>
              <w:rPr>
                <w:rFonts w:ascii="Arial" w:cs="Arial" w:eastAsia="Arial" w:hAnsi="Arial"/>
                <w:sz w:val="14"/>
                <w:szCs w:val="14"/>
                <w:b w:val="1"/>
                <w:bCs w:val="1"/>
                <w:color w:val="auto"/>
              </w:rPr>
              <w:t>Adjustment</w:t>
            </w:r>
          </w:p>
        </w:tc>
        <w:tc>
          <w:tcPr>
            <w:tcW w:w="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86"/>
              <w:spacing w:after="0"/>
              <w:rPr>
                <w:sz w:val="20"/>
                <w:szCs w:val="20"/>
                <w:color w:val="auto"/>
              </w:rPr>
            </w:pPr>
            <w:r>
              <w:rPr>
                <w:rFonts w:ascii="Arial" w:cs="Arial" w:eastAsia="Arial" w:hAnsi="Arial"/>
                <w:sz w:val="14"/>
                <w:szCs w:val="14"/>
                <w:b w:val="1"/>
                <w:bCs w:val="1"/>
                <w:color w:val="auto"/>
              </w:rPr>
              <w:t>Sale Securities</w:t>
            </w: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87"/>
              <w:spacing w:after="0"/>
              <w:rPr>
                <w:sz w:val="20"/>
                <w:szCs w:val="20"/>
                <w:color w:val="auto"/>
              </w:rPr>
            </w:pPr>
            <w:r>
              <w:rPr>
                <w:rFonts w:ascii="Arial" w:cs="Arial" w:eastAsia="Arial" w:hAnsi="Arial"/>
                <w:sz w:val="14"/>
                <w:szCs w:val="14"/>
                <w:b w:val="1"/>
                <w:bCs w:val="1"/>
                <w:color w:val="auto"/>
              </w:rPr>
              <w:t>Plans</w:t>
            </w: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ind w:right="143"/>
              <w:spacing w:after="0"/>
              <w:rPr>
                <w:sz w:val="20"/>
                <w:szCs w:val="20"/>
                <w:color w:val="auto"/>
              </w:rPr>
            </w:pPr>
            <w:r>
              <w:rPr>
                <w:rFonts w:ascii="Arial" w:cs="Arial" w:eastAsia="Arial" w:hAnsi="Arial"/>
                <w:sz w:val="14"/>
                <w:szCs w:val="14"/>
                <w:b w:val="1"/>
                <w:bCs w:val="1"/>
                <w:color w:val="auto"/>
              </w:rPr>
              <w:t>Hedge</w:t>
            </w: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66"/>
              <w:spacing w:after="0"/>
              <w:rPr>
                <w:sz w:val="20"/>
                <w:szCs w:val="20"/>
                <w:color w:val="auto"/>
              </w:rPr>
            </w:pPr>
            <w:r>
              <w:rPr>
                <w:rFonts w:ascii="Arial" w:cs="Arial" w:eastAsia="Arial" w:hAnsi="Arial"/>
                <w:sz w:val="14"/>
                <w:szCs w:val="14"/>
                <w:b w:val="1"/>
                <w:bCs w:val="1"/>
                <w:color w:val="auto"/>
              </w:rPr>
              <w:t>Income</w:t>
            </w:r>
          </w:p>
        </w:tc>
      </w:tr>
      <w:tr>
        <w:trPr>
          <w:trHeight w:val="250"/>
        </w:trPr>
        <w:tc>
          <w:tcPr>
            <w:tcW w:w="3440" w:type="dxa"/>
            <w:vAlign w:val="bottom"/>
          </w:tcPr>
          <w:p>
            <w:pPr>
              <w:ind w:left="40"/>
              <w:spacing w:after="0"/>
              <w:rPr>
                <w:sz w:val="20"/>
                <w:szCs w:val="20"/>
                <w:color w:val="auto"/>
              </w:rPr>
            </w:pPr>
            <w:r>
              <w:rPr>
                <w:rFonts w:ascii="Arial" w:cs="Arial" w:eastAsia="Arial" w:hAnsi="Arial"/>
                <w:sz w:val="16"/>
                <w:szCs w:val="16"/>
                <w:color w:val="auto"/>
              </w:rPr>
              <w:t>Balance as of December 31, 2017</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7"/>
              <w:spacing w:after="0"/>
              <w:rPr>
                <w:sz w:val="20"/>
                <w:szCs w:val="20"/>
                <w:color w:val="auto"/>
              </w:rPr>
            </w:pPr>
            <w:r>
              <w:rPr>
                <w:rFonts w:ascii="Arial" w:cs="Arial" w:eastAsia="Arial" w:hAnsi="Arial"/>
                <w:sz w:val="16"/>
                <w:szCs w:val="16"/>
                <w:color w:val="auto"/>
              </w:rPr>
              <w:t>6,314</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46"/>
              <w:spacing w:after="0"/>
              <w:rPr>
                <w:sz w:val="20"/>
                <w:szCs w:val="20"/>
                <w:color w:val="auto"/>
              </w:rPr>
            </w:pPr>
            <w:r>
              <w:rPr>
                <w:rFonts w:ascii="Arial" w:cs="Arial" w:eastAsia="Arial" w:hAnsi="Arial"/>
                <w:sz w:val="16"/>
                <w:szCs w:val="16"/>
                <w:color w:val="auto"/>
              </w:rPr>
              <w:t>194,889</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47"/>
              <w:spacing w:after="0"/>
              <w:rPr>
                <w:sz w:val="20"/>
                <w:szCs w:val="20"/>
                <w:color w:val="auto"/>
              </w:rPr>
            </w:pPr>
            <w:r>
              <w:rPr>
                <w:rFonts w:ascii="Arial" w:cs="Arial" w:eastAsia="Arial" w:hAnsi="Arial"/>
                <w:sz w:val="16"/>
                <w:szCs w:val="16"/>
                <w:color w:val="auto"/>
              </w:rPr>
              <w:t>334,536</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3"/>
              <w:spacing w:after="0"/>
              <w:rPr>
                <w:sz w:val="20"/>
                <w:szCs w:val="20"/>
                <w:color w:val="auto"/>
              </w:rPr>
            </w:pPr>
            <w:r>
              <w:rPr>
                <w:rFonts w:ascii="Arial" w:cs="Arial" w:eastAsia="Arial" w:hAnsi="Arial"/>
                <w:sz w:val="16"/>
                <w:szCs w:val="16"/>
                <w:color w:val="auto"/>
              </w:rPr>
              <w:t>(184)</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6"/>
              <w:spacing w:after="0"/>
              <w:rPr>
                <w:sz w:val="20"/>
                <w:szCs w:val="20"/>
                <w:color w:val="auto"/>
              </w:rPr>
            </w:pPr>
            <w:r>
              <w:rPr>
                <w:rFonts w:ascii="Arial" w:cs="Arial" w:eastAsia="Arial" w:hAnsi="Arial"/>
                <w:sz w:val="16"/>
                <w:szCs w:val="16"/>
                <w:color w:val="auto"/>
              </w:rPr>
              <w:t>535,555</w:t>
            </w:r>
          </w:p>
        </w:tc>
      </w:tr>
    </w:tbl>
    <w:p>
      <w:pPr>
        <w:spacing w:after="0" w:line="28" w:lineRule="exact"/>
        <w:rPr>
          <w:sz w:val="20"/>
          <w:szCs w:val="20"/>
          <w:color w:val="auto"/>
        </w:rPr>
      </w:pPr>
    </w:p>
    <w:p>
      <w:pPr>
        <w:sectPr>
          <w:pgSz w:w="11900" w:h="16838" w:orient="portrait"/>
          <w:cols w:equalWidth="0" w:num="1">
            <w:col w:w="11420"/>
          </w:cols>
          <w:pgMar w:left="240" w:top="697" w:right="239" w:bottom="1440" w:gutter="0" w:footer="0" w:header="0"/>
        </w:sectPr>
      </w:pPr>
    </w:p>
    <w:p>
      <w:pPr>
        <w:ind w:left="260" w:right="80" w:hanging="80"/>
        <w:spacing w:after="0" w:line="266" w:lineRule="auto"/>
        <w:rPr>
          <w:sz w:val="20"/>
          <w:szCs w:val="20"/>
          <w:color w:val="auto"/>
        </w:rPr>
      </w:pPr>
      <w:r>
        <w:rPr>
          <w:rFonts w:ascii="Arial" w:cs="Arial" w:eastAsia="Arial" w:hAnsi="Arial"/>
          <w:sz w:val="16"/>
          <w:szCs w:val="16"/>
          <w:b w:val="1"/>
          <w:bCs w:val="1"/>
          <w:color w:val="auto"/>
        </w:rPr>
        <w:t>Reclassification of unrealized gains on available-for-sale-securities to retained earnings as a result of adoption of new guidance</w:t>
      </w:r>
    </w:p>
    <w:p>
      <w:pPr>
        <w:spacing w:after="0" w:line="36"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Other comprehensive income before reclassifications</w:t>
      </w:r>
    </w:p>
    <w:p>
      <w:pPr>
        <w:spacing w:after="0" w:line="59" w:lineRule="exact"/>
        <w:rPr>
          <w:sz w:val="20"/>
          <w:szCs w:val="20"/>
          <w:color w:val="auto"/>
        </w:rPr>
      </w:pPr>
    </w:p>
    <w:p>
      <w:pPr>
        <w:ind w:left="260" w:right="420" w:hanging="80"/>
        <w:spacing w:after="0" w:line="286" w:lineRule="auto"/>
        <w:rPr>
          <w:sz w:val="20"/>
          <w:szCs w:val="20"/>
          <w:color w:val="auto"/>
        </w:rPr>
      </w:pPr>
      <w:r>
        <w:rPr>
          <w:rFonts w:ascii="Arial" w:cs="Arial" w:eastAsia="Arial" w:hAnsi="Arial"/>
          <w:sz w:val="16"/>
          <w:szCs w:val="16"/>
          <w:b w:val="1"/>
          <w:bCs w:val="1"/>
          <w:color w:val="auto"/>
        </w:rPr>
        <w:t>Net amount reclassified from accumulated other comprehensive income (loss)</w:t>
      </w:r>
    </w:p>
    <w:p>
      <w:pPr>
        <w:spacing w:after="0" w:line="34" w:lineRule="exact"/>
        <w:rPr>
          <w:sz w:val="20"/>
          <w:szCs w:val="20"/>
          <w:color w:val="auto"/>
        </w:rPr>
      </w:pPr>
    </w:p>
    <w:p>
      <w:pPr>
        <w:ind w:left="40" w:right="560" w:firstLine="135"/>
        <w:spacing w:after="0" w:line="427" w:lineRule="auto"/>
        <w:rPr>
          <w:sz w:val="20"/>
          <w:szCs w:val="20"/>
          <w:color w:val="auto"/>
        </w:rPr>
      </w:pPr>
      <w:r>
        <w:rPr>
          <w:rFonts w:ascii="Arial" w:cs="Arial" w:eastAsia="Arial" w:hAnsi="Arial"/>
          <w:sz w:val="16"/>
          <w:szCs w:val="16"/>
          <w:b w:val="1"/>
          <w:bCs w:val="1"/>
          <w:color w:val="auto"/>
        </w:rPr>
        <w:t>Other comprehensive income (loss), net of tax Balance as of March 31, 2018</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40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540" w:type="dxa"/>
            <w:vAlign w:val="bottom"/>
          </w:tcPr>
          <w:p>
            <w:pPr>
              <w:spacing w:after="0"/>
              <w:rPr>
                <w:sz w:val="18"/>
                <w:szCs w:val="18"/>
                <w:color w:val="auto"/>
              </w:rPr>
            </w:pPr>
          </w:p>
        </w:tc>
        <w:tc>
          <w:tcPr>
            <w:tcW w:w="1600" w:type="dxa"/>
            <w:vAlign w:val="bottom"/>
          </w:tcPr>
          <w:p>
            <w:pPr>
              <w:jc w:val="right"/>
              <w:ind w:right="519"/>
              <w:spacing w:after="0"/>
              <w:rPr>
                <w:sz w:val="20"/>
                <w:szCs w:val="20"/>
                <w:color w:val="auto"/>
              </w:rPr>
            </w:pPr>
            <w:r>
              <w:rPr>
                <w:rFonts w:ascii="Arial" w:cs="Arial" w:eastAsia="Arial" w:hAnsi="Arial"/>
                <w:sz w:val="16"/>
                <w:szCs w:val="16"/>
                <w:b w:val="1"/>
                <w:bCs w:val="1"/>
                <w:color w:val="auto"/>
              </w:rPr>
              <w:t>(194,889)</w:t>
            </w:r>
          </w:p>
        </w:tc>
        <w:tc>
          <w:tcPr>
            <w:tcW w:w="10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18"/>
                <w:szCs w:val="18"/>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(194,889)</w:t>
            </w:r>
          </w:p>
        </w:tc>
      </w:tr>
      <w:tr>
        <w:trPr>
          <w:trHeight w:val="270"/>
        </w:trPr>
        <w:tc>
          <w:tcPr>
            <w:tcW w:w="40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11,564</w:t>
            </w:r>
          </w:p>
        </w:tc>
        <w:tc>
          <w:tcPr>
            <w:tcW w:w="540" w:type="dxa"/>
            <w:vAlign w:val="bottom"/>
          </w:tcPr>
          <w:p>
            <w:pPr>
              <w:spacing w:after="0"/>
              <w:rPr>
                <w:sz w:val="23"/>
                <w:szCs w:val="23"/>
                <w:color w:val="auto"/>
              </w:rPr>
            </w:pPr>
          </w:p>
        </w:tc>
        <w:tc>
          <w:tcPr>
            <w:tcW w:w="1600" w:type="dxa"/>
            <w:vAlign w:val="bottom"/>
          </w:tcPr>
          <w:p>
            <w:pPr>
              <w:jc w:val="right"/>
              <w:ind w:right="57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23"/>
                <w:szCs w:val="23"/>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b w:val="1"/>
                <w:bCs w:val="1"/>
                <w:color w:val="auto"/>
              </w:rPr>
              <w:t>189</w:t>
            </w:r>
          </w:p>
        </w:tc>
        <w:tc>
          <w:tcPr>
            <w:tcW w:w="50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b w:val="1"/>
                <w:bCs w:val="1"/>
                <w:color w:val="auto"/>
              </w:rPr>
              <w:t>11,753</w:t>
            </w:r>
          </w:p>
        </w:tc>
      </w:tr>
      <w:tr>
        <w:trPr>
          <w:trHeight w:val="445"/>
        </w:trPr>
        <w:tc>
          <w:tcPr>
            <w:tcW w:w="4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5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(943)</w:t>
            </w:r>
          </w:p>
        </w:tc>
        <w:tc>
          <w:tcPr>
            <w:tcW w:w="4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w:t>
            </w:r>
          </w:p>
        </w:tc>
        <w:tc>
          <w:tcPr>
            <w:tcW w:w="5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(941)</w:t>
            </w:r>
          </w:p>
        </w:tc>
      </w:tr>
      <w:tr>
        <w:trPr>
          <w:trHeight w:val="264"/>
        </w:trPr>
        <w:tc>
          <w:tcPr>
            <w:tcW w:w="4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11,564</w:t>
            </w:r>
          </w:p>
        </w:tc>
        <w:tc>
          <w:tcPr>
            <w:tcW w:w="54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(943)</w:t>
            </w:r>
          </w:p>
        </w:tc>
        <w:tc>
          <w:tcPr>
            <w:tcW w:w="4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191</w:t>
            </w:r>
          </w:p>
        </w:tc>
        <w:tc>
          <w:tcPr>
            <w:tcW w:w="5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10,812</w:t>
            </w:r>
          </w:p>
        </w:tc>
      </w:tr>
      <w:tr>
        <w:trPr>
          <w:trHeight w:val="264"/>
        </w:trPr>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17,878</w:t>
            </w:r>
          </w:p>
        </w:tc>
        <w:tc>
          <w:tcPr>
            <w:tcW w:w="5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w:t>
            </w:r>
          </w:p>
        </w:tc>
        <w:tc>
          <w:tcPr>
            <w:tcW w:w="16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   $</w:t>
            </w: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333,593</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6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7</w:t>
            </w:r>
          </w:p>
        </w:tc>
        <w:tc>
          <w:tcPr>
            <w:tcW w:w="5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351,478</w:t>
            </w: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47" w:lineRule="exact"/>
        <w:rPr>
          <w:sz w:val="20"/>
          <w:szCs w:val="20"/>
          <w:color w:val="auto"/>
        </w:rPr>
      </w:pPr>
    </w:p>
    <w:p>
      <w:pPr>
        <w:sectPr>
          <w:pgSz w:w="11900" w:h="16838" w:orient="portrait"/>
          <w:cols w:equalWidth="0" w:num="2">
            <w:col w:w="4300" w:space="60"/>
            <w:col w:w="7060"/>
          </w:cols>
          <w:pgMar w:left="240" w:top="697" w:right="239" w:bottom="1440" w:gutter="0" w:footer="0" w:header="0"/>
          <w:type w:val="continuous"/>
        </w:sectPr>
      </w:pPr>
    </w:p>
    <w:p>
      <w:pPr>
        <w:spacing w:after="0"/>
        <w:rPr>
          <w:sz w:val="20"/>
          <w:szCs w:val="20"/>
          <w:color w:val="auto"/>
        </w:rPr>
      </w:pPr>
      <w:r>
        <w:rPr>
          <w:rFonts w:ascii="Arial" w:cs="Arial" w:eastAsia="Arial" w:hAnsi="Arial"/>
          <w:sz w:val="18"/>
          <w:szCs w:val="18"/>
          <w:color w:val="auto"/>
        </w:rPr>
        <w:t>The amounts and line items of reclassifications out of Accumulated Other Comprehensive Income (Loss) are as follows: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1940" w:type="dxa"/>
            <w:vAlign w:val="bottom"/>
            <w:gridSpan w:val="2"/>
          </w:tcPr>
          <w:p>
            <w:pPr>
              <w:jc w:val="right"/>
              <w:ind w:right="208"/>
              <w:spacing w:after="0"/>
              <w:rPr>
                <w:sz w:val="20"/>
                <w:szCs w:val="20"/>
                <w:color w:val="auto"/>
              </w:rPr>
            </w:pPr>
            <w:r>
              <w:rPr>
                <w:rFonts w:ascii="Arial" w:cs="Arial" w:eastAsia="Arial" w:hAnsi="Arial"/>
                <w:sz w:val="14"/>
                <w:szCs w:val="14"/>
                <w:b w:val="1"/>
                <w:bCs w:val="1"/>
                <w:color w:val="auto"/>
              </w:rPr>
              <w:t>Three Months Ended</w:t>
            </w:r>
          </w:p>
        </w:tc>
        <w:tc>
          <w:tcPr>
            <w:tcW w:w="3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96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March 31</w:t>
            </w:r>
          </w:p>
        </w:tc>
        <w:tc>
          <w:tcPr>
            <w:tcW w:w="3520" w:type="dxa"/>
            <w:vAlign w:val="bottom"/>
            <w:vMerge w:val="restart"/>
          </w:tcPr>
          <w:p>
            <w:pPr>
              <w:jc w:val="center"/>
              <w:ind w:left="28"/>
              <w:spacing w:after="0"/>
              <w:rPr>
                <w:sz w:val="20"/>
                <w:szCs w:val="20"/>
                <w:color w:val="auto"/>
              </w:rPr>
            </w:pPr>
            <w:r>
              <w:rPr>
                <w:rFonts w:ascii="Arial" w:cs="Arial" w:eastAsia="Arial" w:hAnsi="Arial"/>
                <w:sz w:val="14"/>
                <w:szCs w:val="14"/>
                <w:b w:val="1"/>
                <w:bCs w:val="1"/>
                <w:color w:val="auto"/>
              </w:rPr>
              <w:t>Affected Line Item in the Condensed</w:t>
            </w:r>
          </w:p>
        </w:tc>
        <w:tc>
          <w:tcPr>
            <w:tcW w:w="0" w:type="dxa"/>
            <w:vAlign w:val="bottom"/>
          </w:tcPr>
          <w:p>
            <w:pPr>
              <w:spacing w:after="0"/>
              <w:rPr>
                <w:sz w:val="1"/>
                <w:szCs w:val="1"/>
                <w:color w:val="auto"/>
              </w:rPr>
            </w:pPr>
          </w:p>
        </w:tc>
      </w:tr>
      <w:tr>
        <w:trPr>
          <w:trHeight w:val="67"/>
        </w:trPr>
        <w:tc>
          <w:tcPr>
            <w:tcW w:w="59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80" w:type="dxa"/>
            <w:vAlign w:val="bottom"/>
          </w:tcPr>
          <w:p>
            <w:pPr>
              <w:spacing w:after="0"/>
              <w:rPr>
                <w:sz w:val="5"/>
                <w:szCs w:val="5"/>
                <w:color w:val="auto"/>
              </w:rPr>
            </w:pPr>
          </w:p>
        </w:tc>
        <w:tc>
          <w:tcPr>
            <w:tcW w:w="3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5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12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2017</w:t>
            </w:r>
          </w:p>
        </w:tc>
        <w:tc>
          <w:tcPr>
            <w:tcW w:w="352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b w:val="1"/>
                <w:bCs w:val="1"/>
                <w:color w:val="auto"/>
              </w:rPr>
              <w:t>Consolidated Statement of Operations</w:t>
            </w:r>
          </w:p>
        </w:tc>
        <w:tc>
          <w:tcPr>
            <w:tcW w:w="0" w:type="dxa"/>
            <w:vAlign w:val="bottom"/>
          </w:tcPr>
          <w:p>
            <w:pPr>
              <w:spacing w:after="0"/>
              <w:rPr>
                <w:sz w:val="1"/>
                <w:szCs w:val="1"/>
                <w:color w:val="auto"/>
              </w:rPr>
            </w:pPr>
          </w:p>
        </w:tc>
      </w:tr>
    </w:tbl>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960" w:type="dxa"/>
            <w:vAlign w:val="bottom"/>
          </w:tcPr>
          <w:p>
            <w:pPr>
              <w:ind w:left="40"/>
              <w:spacing w:after="0"/>
              <w:rPr>
                <w:sz w:val="20"/>
                <w:szCs w:val="20"/>
                <w:color w:val="auto"/>
              </w:rPr>
            </w:pPr>
            <w:r>
              <w:rPr>
                <w:rFonts w:ascii="Arial" w:cs="Arial" w:eastAsia="Arial" w:hAnsi="Arial"/>
                <w:sz w:val="16"/>
                <w:szCs w:val="16"/>
                <w:b w:val="1"/>
                <w:bCs w:val="1"/>
                <w:color w:val="auto"/>
              </w:rPr>
              <w:t>Pension and Other Postretirement Plans:</w:t>
            </w: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960" w:type="dxa"/>
            <w:vAlign w:val="bottom"/>
          </w:tcPr>
          <w:p>
            <w:pPr>
              <w:ind w:left="180"/>
              <w:spacing w:after="0"/>
              <w:rPr>
                <w:sz w:val="20"/>
                <w:szCs w:val="20"/>
                <w:color w:val="auto"/>
              </w:rPr>
            </w:pPr>
            <w:r>
              <w:rPr>
                <w:rFonts w:ascii="Arial" w:cs="Arial" w:eastAsia="Arial" w:hAnsi="Arial"/>
                <w:sz w:val="16"/>
                <w:szCs w:val="16"/>
                <w:color w:val="auto"/>
              </w:rPr>
              <w:t>Amortization of net prior service cost</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720" w:type="dxa"/>
            <w:vAlign w:val="bottom"/>
          </w:tcPr>
          <w:p>
            <w:pPr>
              <w:jc w:val="right"/>
              <w:ind w:right="59"/>
              <w:spacing w:after="0"/>
              <w:rPr>
                <w:sz w:val="20"/>
                <w:szCs w:val="20"/>
                <w:color w:val="auto"/>
              </w:rPr>
            </w:pPr>
            <w:r>
              <w:rPr>
                <w:rFonts w:ascii="Arial" w:cs="Arial" w:eastAsia="Arial" w:hAnsi="Arial"/>
                <w:sz w:val="16"/>
                <w:szCs w:val="16"/>
                <w:b w:val="1"/>
                <w:bCs w:val="1"/>
                <w:color w:val="auto"/>
              </w:rPr>
              <w:t>76</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120</w:t>
            </w:r>
          </w:p>
        </w:tc>
        <w:tc>
          <w:tcPr>
            <w:tcW w:w="1860" w:type="dxa"/>
            <w:vAlign w:val="bottom"/>
          </w:tcPr>
          <w:p>
            <w:pPr>
              <w:ind w:left="14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83"/>
        </w:trPr>
        <w:tc>
          <w:tcPr>
            <w:tcW w:w="5960" w:type="dxa"/>
            <w:vAlign w:val="bottom"/>
          </w:tcPr>
          <w:p>
            <w:pPr>
              <w:ind w:left="180"/>
              <w:spacing w:after="0"/>
              <w:rPr>
                <w:sz w:val="20"/>
                <w:szCs w:val="20"/>
                <w:color w:val="auto"/>
              </w:rPr>
            </w:pPr>
            <w:r>
              <w:rPr>
                <w:rFonts w:ascii="Arial" w:cs="Arial" w:eastAsia="Arial" w:hAnsi="Arial"/>
                <w:sz w:val="16"/>
                <w:szCs w:val="16"/>
                <w:color w:val="auto"/>
              </w:rPr>
              <w:t>Amortization of net actuarial gain</w:t>
            </w: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(1,367)</w:t>
            </w:r>
          </w:p>
        </w:tc>
        <w:tc>
          <w:tcPr>
            <w:tcW w:w="3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(1,823)</w:t>
            </w:r>
          </w:p>
        </w:tc>
        <w:tc>
          <w:tcPr>
            <w:tcW w:w="1860" w:type="dxa"/>
            <w:vAlign w:val="bottom"/>
          </w:tcPr>
          <w:p>
            <w:pPr>
              <w:ind w:left="14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58"/>
        </w:trPr>
        <w:tc>
          <w:tcPr>
            <w:tcW w:w="59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b w:val="1"/>
                <w:bCs w:val="1"/>
                <w:color w:val="auto"/>
              </w:rPr>
              <w:t>(1,291)</w:t>
            </w:r>
          </w:p>
        </w:tc>
        <w:tc>
          <w:tcPr>
            <w:tcW w:w="3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(1,703)</w:t>
            </w:r>
          </w:p>
        </w:tc>
        <w:tc>
          <w:tcPr>
            <w:tcW w:w="1860" w:type="dxa"/>
            <w:vAlign w:val="bottom"/>
          </w:tcPr>
          <w:p>
            <w:pPr>
              <w:ind w:left="140"/>
              <w:spacing w:after="0"/>
              <w:rPr>
                <w:sz w:val="20"/>
                <w:szCs w:val="20"/>
                <w:color w:val="auto"/>
              </w:rPr>
            </w:pPr>
            <w:r>
              <w:rPr>
                <w:rFonts w:ascii="Arial" w:cs="Arial" w:eastAsia="Arial" w:hAnsi="Arial"/>
                <w:sz w:val="14"/>
                <w:szCs w:val="14"/>
                <w:color w:val="auto"/>
              </w:rPr>
              <w:t>Before tax</w:t>
            </w:r>
          </w:p>
        </w:tc>
        <w:tc>
          <w:tcPr>
            <w:tcW w:w="0" w:type="dxa"/>
            <w:vAlign w:val="bottom"/>
          </w:tcPr>
          <w:p>
            <w:pPr>
              <w:spacing w:after="0"/>
              <w:rPr>
                <w:sz w:val="1"/>
                <w:szCs w:val="1"/>
                <w:color w:val="auto"/>
              </w:rPr>
            </w:pPr>
          </w:p>
        </w:tc>
      </w:tr>
      <w:tr>
        <w:trPr>
          <w:trHeight w:val="276"/>
        </w:trPr>
        <w:tc>
          <w:tcPr>
            <w:tcW w:w="59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348</w:t>
            </w:r>
          </w:p>
        </w:tc>
        <w:tc>
          <w:tcPr>
            <w:tcW w:w="3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681</w:t>
            </w:r>
          </w:p>
        </w:tc>
        <w:tc>
          <w:tcPr>
            <w:tcW w:w="1860" w:type="dxa"/>
            <w:vAlign w:val="bottom"/>
          </w:tcPr>
          <w:p>
            <w:pPr>
              <w:ind w:left="140"/>
              <w:spacing w:after="0"/>
              <w:rPr>
                <w:sz w:val="20"/>
                <w:szCs w:val="20"/>
                <w:color w:val="auto"/>
              </w:rPr>
            </w:pPr>
            <w:r>
              <w:rPr>
                <w:rFonts w:ascii="Arial" w:cs="Arial" w:eastAsia="Arial" w:hAnsi="Arial"/>
                <w:sz w:val="14"/>
                <w:szCs w:val="14"/>
                <w:color w:val="auto"/>
              </w:rPr>
              <w:t>Provision for Income Taxes</w:t>
            </w:r>
          </w:p>
        </w:tc>
        <w:tc>
          <w:tcPr>
            <w:tcW w:w="0" w:type="dxa"/>
            <w:vAlign w:val="bottom"/>
          </w:tcPr>
          <w:p>
            <w:pPr>
              <w:spacing w:after="0"/>
              <w:rPr>
                <w:sz w:val="1"/>
                <w:szCs w:val="1"/>
                <w:color w:val="auto"/>
              </w:rPr>
            </w:pPr>
          </w:p>
        </w:tc>
      </w:tr>
      <w:tr>
        <w:trPr>
          <w:trHeight w:val="263"/>
        </w:trPr>
        <w:tc>
          <w:tcPr>
            <w:tcW w:w="59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(943)</w:t>
            </w:r>
          </w:p>
        </w:tc>
        <w:tc>
          <w:tcPr>
            <w:tcW w:w="3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(1,022)</w:t>
            </w:r>
          </w:p>
        </w:tc>
        <w:tc>
          <w:tcPr>
            <w:tcW w:w="1860" w:type="dxa"/>
            <w:vAlign w:val="bottom"/>
          </w:tcPr>
          <w:p>
            <w:pPr>
              <w:ind w:left="140"/>
              <w:spacing w:after="0"/>
              <w:rPr>
                <w:sz w:val="20"/>
                <w:szCs w:val="20"/>
                <w:color w:val="auto"/>
              </w:rPr>
            </w:pPr>
            <w:r>
              <w:rPr>
                <w:rFonts w:ascii="Arial" w:cs="Arial" w:eastAsia="Arial" w:hAnsi="Arial"/>
                <w:sz w:val="14"/>
                <w:szCs w:val="14"/>
                <w:color w:val="auto"/>
              </w:rPr>
              <w:t>Net of Tax</w:t>
            </w:r>
          </w:p>
        </w:tc>
        <w:tc>
          <w:tcPr>
            <w:tcW w:w="0" w:type="dxa"/>
            <w:vAlign w:val="bottom"/>
          </w:tcPr>
          <w:p>
            <w:pPr>
              <w:spacing w:after="0"/>
              <w:rPr>
                <w:sz w:val="1"/>
                <w:szCs w:val="1"/>
                <w:color w:val="auto"/>
              </w:rPr>
            </w:pPr>
          </w:p>
        </w:tc>
      </w:tr>
      <w:tr>
        <w:trPr>
          <w:trHeight w:val="251"/>
        </w:trPr>
        <w:tc>
          <w:tcPr>
            <w:tcW w:w="5960" w:type="dxa"/>
            <w:vAlign w:val="bottom"/>
          </w:tcPr>
          <w:p>
            <w:pPr>
              <w:ind w:left="40"/>
              <w:spacing w:after="0"/>
              <w:rPr>
                <w:sz w:val="20"/>
                <w:szCs w:val="20"/>
                <w:color w:val="auto"/>
              </w:rPr>
            </w:pPr>
            <w:r>
              <w:rPr>
                <w:rFonts w:ascii="Arial" w:cs="Arial" w:eastAsia="Arial" w:hAnsi="Arial"/>
                <w:sz w:val="16"/>
                <w:szCs w:val="16"/>
                <w:b w:val="1"/>
                <w:bCs w:val="1"/>
                <w:color w:val="auto"/>
              </w:rPr>
              <w:t>Cash Flow Hedge</w:t>
            </w: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5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jc w:val="right"/>
              <w:ind w:right="59"/>
              <w:spacing w:after="0"/>
              <w:rPr>
                <w:sz w:val="20"/>
                <w:szCs w:val="20"/>
                <w:color w:val="auto"/>
              </w:rPr>
            </w:pPr>
            <w:r>
              <w:rPr>
                <w:rFonts w:ascii="Arial" w:cs="Arial" w:eastAsia="Arial" w:hAnsi="Arial"/>
                <w:sz w:val="16"/>
                <w:szCs w:val="16"/>
                <w:b w:val="1"/>
                <w:bCs w:val="1"/>
                <w:color w:val="auto"/>
              </w:rPr>
              <w:t>3</w:t>
            </w:r>
          </w:p>
        </w:tc>
        <w:tc>
          <w:tcPr>
            <w:tcW w:w="300" w:type="dxa"/>
            <w:vAlign w:val="bottom"/>
          </w:tcPr>
          <w:p>
            <w:pPr>
              <w:spacing w:after="0"/>
              <w:rPr>
                <w:sz w:val="24"/>
                <w:szCs w:val="24"/>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31</w:t>
            </w:r>
          </w:p>
        </w:tc>
        <w:tc>
          <w:tcPr>
            <w:tcW w:w="1860" w:type="dxa"/>
            <w:vAlign w:val="bottom"/>
          </w:tcPr>
          <w:p>
            <w:pPr>
              <w:ind w:left="140"/>
              <w:spacing w:after="0"/>
              <w:rPr>
                <w:sz w:val="20"/>
                <w:szCs w:val="20"/>
                <w:color w:val="auto"/>
              </w:rPr>
            </w:pPr>
            <w:r>
              <w:rPr>
                <w:rFonts w:ascii="Arial" w:cs="Arial" w:eastAsia="Arial" w:hAnsi="Arial"/>
                <w:sz w:val="14"/>
                <w:szCs w:val="14"/>
                <w:color w:val="auto"/>
              </w:rPr>
              <w:t>Interest expense</w:t>
            </w:r>
          </w:p>
        </w:tc>
        <w:tc>
          <w:tcPr>
            <w:tcW w:w="0" w:type="dxa"/>
            <w:vAlign w:val="bottom"/>
          </w:tcPr>
          <w:p>
            <w:pPr>
              <w:spacing w:after="0"/>
              <w:rPr>
                <w:sz w:val="1"/>
                <w:szCs w:val="1"/>
                <w:color w:val="auto"/>
              </w:rPr>
            </w:pPr>
          </w:p>
        </w:tc>
      </w:tr>
      <w:tr>
        <w:trPr>
          <w:trHeight w:val="276"/>
        </w:trPr>
        <w:tc>
          <w:tcPr>
            <w:tcW w:w="59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w:t>
            </w:r>
          </w:p>
        </w:tc>
        <w:tc>
          <w:tcPr>
            <w:tcW w:w="3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860" w:type="dxa"/>
            <w:vAlign w:val="bottom"/>
          </w:tcPr>
          <w:p>
            <w:pPr>
              <w:ind w:left="140"/>
              <w:spacing w:after="0"/>
              <w:rPr>
                <w:sz w:val="20"/>
                <w:szCs w:val="20"/>
                <w:color w:val="auto"/>
              </w:rPr>
            </w:pPr>
            <w:r>
              <w:rPr>
                <w:rFonts w:ascii="Arial" w:cs="Arial" w:eastAsia="Arial" w:hAnsi="Arial"/>
                <w:sz w:val="14"/>
                <w:szCs w:val="14"/>
                <w:color w:val="auto"/>
              </w:rPr>
              <w:t>Provision for Income Taxes</w:t>
            </w:r>
          </w:p>
        </w:tc>
        <w:tc>
          <w:tcPr>
            <w:tcW w:w="0" w:type="dxa"/>
            <w:vAlign w:val="bottom"/>
          </w:tcPr>
          <w:p>
            <w:pPr>
              <w:spacing w:after="0"/>
              <w:rPr>
                <w:sz w:val="1"/>
                <w:szCs w:val="1"/>
                <w:color w:val="auto"/>
              </w:rPr>
            </w:pPr>
          </w:p>
        </w:tc>
      </w:tr>
      <w:tr>
        <w:trPr>
          <w:trHeight w:val="264"/>
        </w:trPr>
        <w:tc>
          <w:tcPr>
            <w:tcW w:w="59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w:t>
            </w:r>
          </w:p>
        </w:tc>
        <w:tc>
          <w:tcPr>
            <w:tcW w:w="3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25</w:t>
            </w:r>
          </w:p>
        </w:tc>
        <w:tc>
          <w:tcPr>
            <w:tcW w:w="1860" w:type="dxa"/>
            <w:vAlign w:val="bottom"/>
          </w:tcPr>
          <w:p>
            <w:pPr>
              <w:ind w:left="140"/>
              <w:spacing w:after="0"/>
              <w:rPr>
                <w:sz w:val="20"/>
                <w:szCs w:val="20"/>
                <w:color w:val="auto"/>
              </w:rPr>
            </w:pPr>
            <w:r>
              <w:rPr>
                <w:rFonts w:ascii="Arial" w:cs="Arial" w:eastAsia="Arial" w:hAnsi="Arial"/>
                <w:sz w:val="14"/>
                <w:szCs w:val="14"/>
                <w:color w:val="auto"/>
              </w:rPr>
              <w:t>Net of Tax</w:t>
            </w:r>
          </w:p>
        </w:tc>
        <w:tc>
          <w:tcPr>
            <w:tcW w:w="0" w:type="dxa"/>
            <w:vAlign w:val="bottom"/>
          </w:tcPr>
          <w:p>
            <w:pPr>
              <w:spacing w:after="0"/>
              <w:rPr>
                <w:sz w:val="1"/>
                <w:szCs w:val="1"/>
                <w:color w:val="auto"/>
              </w:rPr>
            </w:pPr>
          </w:p>
        </w:tc>
      </w:tr>
      <w:tr>
        <w:trPr>
          <w:trHeight w:val="270"/>
        </w:trPr>
        <w:tc>
          <w:tcPr>
            <w:tcW w:w="5960" w:type="dxa"/>
            <w:vAlign w:val="bottom"/>
          </w:tcPr>
          <w:p>
            <w:pPr>
              <w:ind w:left="40"/>
              <w:spacing w:after="0"/>
              <w:rPr>
                <w:sz w:val="20"/>
                <w:szCs w:val="20"/>
                <w:color w:val="auto"/>
              </w:rPr>
            </w:pPr>
            <w:r>
              <w:rPr>
                <w:rFonts w:ascii="Arial" w:cs="Arial" w:eastAsia="Arial" w:hAnsi="Arial"/>
                <w:sz w:val="16"/>
                <w:szCs w:val="16"/>
                <w:b w:val="1"/>
                <w:bCs w:val="1"/>
                <w:color w:val="auto"/>
              </w:rPr>
              <w:t>Total reclassification for the period</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(941)</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(997)</w:t>
            </w:r>
          </w:p>
        </w:tc>
        <w:tc>
          <w:tcPr>
            <w:tcW w:w="1860" w:type="dxa"/>
            <w:vAlign w:val="bottom"/>
          </w:tcPr>
          <w:p>
            <w:pPr>
              <w:ind w:left="140"/>
              <w:spacing w:after="0"/>
              <w:rPr>
                <w:sz w:val="20"/>
                <w:szCs w:val="20"/>
                <w:color w:val="auto"/>
              </w:rPr>
            </w:pPr>
            <w:r>
              <w:rPr>
                <w:rFonts w:ascii="Arial" w:cs="Arial" w:eastAsia="Arial" w:hAnsi="Arial"/>
                <w:sz w:val="14"/>
                <w:szCs w:val="14"/>
                <w:color w:val="auto"/>
              </w:rPr>
              <w:t>Net of Tax</w:t>
            </w: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4"/>
                <w:szCs w:val="14"/>
                <w:color w:val="auto"/>
              </w:rPr>
              <w:t>____________</w:t>
            </w: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59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420" w:right="120" w:hanging="412"/>
        <w:spacing w:after="0" w:line="239" w:lineRule="auto"/>
        <w:tabs>
          <w:tab w:leader="none" w:pos="4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These accumulated other comprehensive income components are components of net periodic pension and postretirement plan cost (see Note 12) and are included in non-operating pension and postretirement benefit income in the Company's Condensed Consolidated Statements of Operations.</w:t>
      </w:r>
    </w:p>
    <w:p>
      <w:pPr>
        <w:sectPr>
          <w:pgSz w:w="11900" w:h="16838" w:orient="portrait"/>
          <w:cols w:equalWidth="0" w:num="1">
            <w:col w:w="11420"/>
          </w:cols>
          <w:pgMar w:left="240" w:top="697" w:right="239" w:bottom="1440" w:gutter="0" w:footer="0" w:header="0"/>
          <w:type w:val="continuous"/>
        </w:sect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420"/>
          </w:cols>
          <w:pgMar w:left="240" w:top="697" w:right="2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15. CONTINGENCIES</w:t>
      </w:r>
    </w:p>
    <w:p>
      <w:pPr>
        <w:spacing w:after="0" w:line="144" w:lineRule="exact"/>
        <w:rPr>
          <w:sz w:val="20"/>
          <w:szCs w:val="20"/>
          <w:color w:val="auto"/>
        </w:rPr>
      </w:pPr>
    </w:p>
    <w:p>
      <w:pPr>
        <w:ind w:right="220"/>
        <w:spacing w:after="0" w:line="225" w:lineRule="auto"/>
        <w:rPr>
          <w:sz w:val="20"/>
          <w:szCs w:val="20"/>
          <w:color w:val="auto"/>
        </w:rPr>
      </w:pPr>
      <w:r>
        <w:rPr>
          <w:rFonts w:ascii="Arial" w:cs="Arial" w:eastAsia="Arial" w:hAnsi="Arial"/>
          <w:sz w:val="18"/>
          <w:szCs w:val="18"/>
          <w:b w:val="1"/>
          <w:bCs w:val="1"/>
          <w:color w:val="auto"/>
        </w:rPr>
        <w:t>Litigation, Legal and Other Matters</w:t>
      </w:r>
      <w:r>
        <w:rPr>
          <w:rFonts w:ascii="Arial" w:cs="Arial" w:eastAsia="Arial" w:hAnsi="Arial"/>
          <w:sz w:val="18"/>
          <w:szCs w:val="18"/>
          <w:color w:val="auto"/>
        </w:rPr>
        <w:t>. The Company and its subsidiaries are subject to complaints and administrative proceedings and are</w:t>
      </w:r>
      <w:r>
        <w:rPr>
          <w:rFonts w:ascii="Arial" w:cs="Arial" w:eastAsia="Arial" w:hAnsi="Arial"/>
          <w:sz w:val="18"/>
          <w:szCs w:val="18"/>
          <w:b w:val="1"/>
          <w:bCs w:val="1"/>
          <w:color w:val="auto"/>
        </w:rPr>
        <w:t xml:space="preserve"> </w:t>
      </w:r>
      <w:r>
        <w:rPr>
          <w:rFonts w:ascii="Arial" w:cs="Arial" w:eastAsia="Arial" w:hAnsi="Arial"/>
          <w:sz w:val="18"/>
          <w:szCs w:val="18"/>
          <w:color w:val="auto"/>
        </w:rPr>
        <w:t>defendants in various civil lawsuits that have arisen in the ordinary course of their businesses, including contract disputes; actions alleging negligence, libel, defamation, invasion of privacy; trademark, copyright and patent infringement; U.S. False Claims Act (False Claims Act) violations; violations of applicable wage and hour laws; and statutory or common law claims involving current and former students and employees. Although the outcomes of the legal claims and proceedings against the Company cannot be predicted with certainty, based on currently available information, management believes that there are no existing claims or proceedings that are likely to have a material effect on the Company’s business, financial condition, results of operations or cash flows. However, based on currently available information, management believes it is reasonably possible that future losses from existing and threatened legal, regulatory and other proceedings in excess of the amounts recorded could reach approximately $30 million.</w:t>
      </w:r>
    </w:p>
    <w:p>
      <w:pPr>
        <w:spacing w:after="0" w:line="139"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color w:val="auto"/>
        </w:rPr>
        <w:t>Her Majesty’s Revenue and Customs (HMRC), a department of the U.K. government responsible for the collection of taxes, has raised assessments against the Kaplan U.K. Pathways business for Value Added Tax (VAT) relating to 2018 and earlier years, which have been paid by Kaplan. Kaplan has challenged these assessments and the case is currently on appeal to a tax tribunal with a hearing expected later in 2018 or 2019. The Company believes it has met all requirements under U.K. VAT law and expects to recover the £12.0 million receivable related to the assessments that have been paid. If the Company does not prevail in this case, a pre-tax charge of £12.0 million will be recorded to operating expense in the Company’s statement of operations.</w:t>
      </w:r>
    </w:p>
    <w:p>
      <w:pPr>
        <w:spacing w:after="0" w:line="115" w:lineRule="exact"/>
        <w:rPr>
          <w:sz w:val="20"/>
          <w:szCs w:val="20"/>
          <w:color w:val="auto"/>
        </w:rPr>
      </w:pPr>
    </w:p>
    <w:p>
      <w:pPr>
        <w:ind w:right="40"/>
        <w:spacing w:after="0" w:line="228" w:lineRule="auto"/>
        <w:rPr>
          <w:sz w:val="20"/>
          <w:szCs w:val="20"/>
          <w:color w:val="auto"/>
        </w:rPr>
      </w:pPr>
      <w:r>
        <w:rPr>
          <w:rFonts w:ascii="Arial" w:cs="Arial" w:eastAsia="Arial" w:hAnsi="Arial"/>
          <w:sz w:val="18"/>
          <w:szCs w:val="18"/>
          <w:b w:val="1"/>
          <w:bCs w:val="1"/>
          <w:color w:val="auto"/>
        </w:rPr>
        <w:t xml:space="preserve">Department of Education (ED) Program Reviews. </w:t>
      </w:r>
      <w:r>
        <w:rPr>
          <w:rFonts w:ascii="Arial" w:cs="Arial" w:eastAsia="Arial" w:hAnsi="Arial"/>
          <w:sz w:val="18"/>
          <w:szCs w:val="18"/>
          <w:color w:val="auto"/>
        </w:rPr>
        <w:t>The ED has undertaken program reviews at various KHE locations. On February 23,</w:t>
      </w:r>
      <w:r>
        <w:rPr>
          <w:rFonts w:ascii="Arial" w:cs="Arial" w:eastAsia="Arial" w:hAnsi="Arial"/>
          <w:sz w:val="18"/>
          <w:szCs w:val="18"/>
          <w:b w:val="1"/>
          <w:bCs w:val="1"/>
          <w:color w:val="auto"/>
        </w:rPr>
        <w:t xml:space="preserve"> </w:t>
      </w:r>
      <w:r>
        <w:rPr>
          <w:rFonts w:ascii="Arial" w:cs="Arial" w:eastAsia="Arial" w:hAnsi="Arial"/>
          <w:sz w:val="18"/>
          <w:szCs w:val="18"/>
          <w:color w:val="auto"/>
        </w:rPr>
        <w:t>2015, the ED began a review of Kaplan University (KU). The review will assess Kaplan’s administration of its Title IV and Higher Education Act programs and will initially focus on the 2013 to 2014 and 2014 to 2015 award years. On December 17, 2015, KU received a notice from the ED that it had been placed on provisional certification status until September 30, 2018, in connection with the open and ongoing ED program review. The ED has not notified KU of any negative findings. However, at this time, Kaplan cannot predict the outcome of this review, when it will be completed or any liability or other limitations that the ED may place on KU as a result of this review.</w:t>
      </w:r>
    </w:p>
    <w:p>
      <w:pPr>
        <w:spacing w:after="0" w:line="139" w:lineRule="exact"/>
        <w:rPr>
          <w:sz w:val="20"/>
          <w:szCs w:val="20"/>
          <w:color w:val="auto"/>
        </w:rPr>
      </w:pPr>
    </w:p>
    <w:p>
      <w:pPr>
        <w:ind w:right="160"/>
        <w:spacing w:after="0" w:line="227" w:lineRule="auto"/>
        <w:rPr>
          <w:sz w:val="20"/>
          <w:szCs w:val="20"/>
          <w:color w:val="auto"/>
        </w:rPr>
      </w:pPr>
      <w:r>
        <w:rPr>
          <w:rFonts w:ascii="Arial" w:cs="Arial" w:eastAsia="Arial" w:hAnsi="Arial"/>
          <w:sz w:val="18"/>
          <w:szCs w:val="18"/>
          <w:color w:val="auto"/>
        </w:rPr>
        <w:t>In addition, there are two open program reviews at campuses that were part of the KHE Campuses business prior to its sale in 2015 to Education Corporation of America (ECA), and we await the ED’s final reports on the program reviews at former KHE Broomall, PA; and Pittsburgh, PA, locations. Kaplan retains responsibility for any financial obligation resulting from the ED program reviews at KU University and KHE Campuses business that were open at the time of sale.</w:t>
      </w:r>
    </w:p>
    <w:p>
      <w:pPr>
        <w:spacing w:after="0" w:line="135"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Company does not expect the open program reviews to have a material impact on KHE; however, the results of open program reviews and their impact on Kaplan’s operations are uncertain.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BUSINESS SEGMENTS</w:t>
      </w:r>
    </w:p>
    <w:p>
      <w:pPr>
        <w:spacing w:after="0" w:line="166" w:lineRule="exact"/>
        <w:rPr>
          <w:sz w:val="20"/>
          <w:szCs w:val="20"/>
          <w:color w:val="auto"/>
        </w:rPr>
      </w:pPr>
    </w:p>
    <w:p>
      <w:pPr>
        <w:jc w:val="both"/>
        <w:ind w:right="580"/>
        <w:spacing w:after="0" w:line="229" w:lineRule="auto"/>
        <w:rPr>
          <w:sz w:val="20"/>
          <w:szCs w:val="20"/>
          <w:color w:val="auto"/>
        </w:rPr>
      </w:pPr>
      <w:r>
        <w:rPr>
          <w:rFonts w:ascii="Arial" w:cs="Arial" w:eastAsia="Arial" w:hAnsi="Arial"/>
          <w:sz w:val="18"/>
          <w:szCs w:val="18"/>
          <w:color w:val="auto"/>
        </w:rPr>
        <w:t>The Company reorganized its operations in the first quarter of 2018 into the following six reportable segments for the purpose of making operating decisions and assessing performance: Kaplan Higher Education, Kaplan Professional (U.S.), Kaplan Test Preparation, Kaplan International, Television Broadcasting and Healthcare.</w:t>
      </w:r>
    </w:p>
    <w:p>
      <w:pPr>
        <w:spacing w:after="0" w:line="137"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As a result of the Kaplan University transaction, Kaplan reorganized its higher education operations into the following two operating segments: Higher Education and Professional (U.S.). The higher education segment comprises the historical KU for-profit postsecondary education business and the future non-academic operations support services provided to the new university, Purdue University Global. The Professional (U.S.) segment comprises the KU School of Professional and Continuing Education, which provides professional training and exam preparation for professional certifications and licensures.</w:t>
      </w:r>
    </w:p>
    <w:p>
      <w:pPr>
        <w:spacing w:after="0" w:line="137"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color w:val="auto"/>
        </w:rPr>
        <w:t>The business segments disclosed in the condensed consolidated financial statements are based on this new organizational structure and information reviewed by the Company's management to evaluate the business segment results. Segment operating results for the first quarter of 2017 have been restated to reflect this organizational change. Additionally, the Company includes the comparative results of the Company's segments for each quarter in fiscal year 2017 as well as fiscal years 2017 and 2016.</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697" w:right="25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The following table summarizes the quarterly financial information related to each of the Company’s business segments:</w:t>
      </w:r>
    </w:p>
    <w:p>
      <w:pPr>
        <w:spacing w:after="0" w:line="199" w:lineRule="exact"/>
        <w:rPr>
          <w:sz w:val="20"/>
          <w:szCs w:val="20"/>
          <w:color w:val="auto"/>
        </w:rPr>
      </w:pPr>
    </w:p>
    <w:p>
      <w:pPr>
        <w:ind w:left="742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199"/>
              <w:spacing w:after="0"/>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16"/>
                <w:szCs w:val="16"/>
                <w:color w:val="auto"/>
              </w:rPr>
            </w:pPr>
          </w:p>
        </w:tc>
        <w:tc>
          <w:tcPr>
            <w:tcW w:w="1000" w:type="dxa"/>
            <w:vAlign w:val="bottom"/>
          </w:tcPr>
          <w:p>
            <w:pPr>
              <w:jc w:val="right"/>
              <w:ind w:right="219"/>
              <w:spacing w:after="0"/>
              <w:rPr>
                <w:sz w:val="20"/>
                <w:szCs w:val="20"/>
                <w:color w:val="auto"/>
              </w:rPr>
            </w:pPr>
            <w:r>
              <w:rPr>
                <w:rFonts w:ascii="Arial" w:cs="Arial" w:eastAsia="Arial" w:hAnsi="Arial"/>
                <w:sz w:val="14"/>
                <w:szCs w:val="14"/>
                <w:color w:val="auto"/>
              </w:rPr>
              <w:t>March 31,</w:t>
            </w:r>
          </w:p>
        </w:tc>
        <w:tc>
          <w:tcPr>
            <w:tcW w:w="260" w:type="dxa"/>
            <w:vAlign w:val="bottom"/>
          </w:tcPr>
          <w:p>
            <w:pPr>
              <w:spacing w:after="0"/>
              <w:rPr>
                <w:sz w:val="16"/>
                <w:szCs w:val="16"/>
                <w:color w:val="auto"/>
              </w:rPr>
            </w:pPr>
          </w:p>
        </w:tc>
        <w:tc>
          <w:tcPr>
            <w:tcW w:w="980" w:type="dxa"/>
            <w:vAlign w:val="bottom"/>
          </w:tcPr>
          <w:p>
            <w:pPr>
              <w:jc w:val="right"/>
              <w:ind w:right="259"/>
              <w:spacing w:after="0"/>
              <w:rPr>
                <w:sz w:val="20"/>
                <w:szCs w:val="20"/>
                <w:color w:val="auto"/>
              </w:rPr>
            </w:pPr>
            <w:r>
              <w:rPr>
                <w:rFonts w:ascii="Arial" w:cs="Arial" w:eastAsia="Arial" w:hAnsi="Arial"/>
                <w:sz w:val="14"/>
                <w:szCs w:val="14"/>
                <w:color w:val="auto"/>
              </w:rPr>
              <w:t>June 30,</w:t>
            </w:r>
          </w:p>
        </w:tc>
        <w:tc>
          <w:tcPr>
            <w:tcW w:w="220" w:type="dxa"/>
            <w:vAlign w:val="bottom"/>
          </w:tcPr>
          <w:p>
            <w:pPr>
              <w:spacing w:after="0"/>
              <w:rPr>
                <w:sz w:val="16"/>
                <w:szCs w:val="16"/>
                <w:color w:val="auto"/>
              </w:rPr>
            </w:pPr>
          </w:p>
        </w:tc>
        <w:tc>
          <w:tcPr>
            <w:tcW w:w="1240" w:type="dxa"/>
            <w:vAlign w:val="bottom"/>
          </w:tcPr>
          <w:p>
            <w:pPr>
              <w:jc w:val="right"/>
              <w:ind w:right="159"/>
              <w:spacing w:after="0"/>
              <w:rPr>
                <w:sz w:val="20"/>
                <w:szCs w:val="20"/>
                <w:color w:val="auto"/>
              </w:rPr>
            </w:pPr>
            <w:r>
              <w:rPr>
                <w:rFonts w:ascii="Arial" w:cs="Arial" w:eastAsia="Arial" w:hAnsi="Arial"/>
                <w:sz w:val="14"/>
                <w:szCs w:val="14"/>
                <w:color w:val="auto"/>
              </w:rPr>
              <w:t>September 30,</w:t>
            </w:r>
          </w:p>
        </w:tc>
        <w:tc>
          <w:tcPr>
            <w:tcW w:w="240" w:type="dxa"/>
            <w:vAlign w:val="bottom"/>
          </w:tcPr>
          <w:p>
            <w:pPr>
              <w:spacing w:after="0"/>
              <w:rPr>
                <w:sz w:val="16"/>
                <w:szCs w:val="16"/>
                <w:color w:val="auto"/>
              </w:rPr>
            </w:pPr>
          </w:p>
        </w:tc>
        <w:tc>
          <w:tcPr>
            <w:tcW w:w="1200" w:type="dxa"/>
            <w:vAlign w:val="bottom"/>
          </w:tcPr>
          <w:p>
            <w:pPr>
              <w:jc w:val="right"/>
              <w:ind w:right="159"/>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276"/>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color w:val="auto"/>
              </w:rPr>
              <w:t>2017</w:t>
            </w: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color w:val="auto"/>
              </w:rPr>
              <w:t>2017</w:t>
            </w: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color w:val="auto"/>
              </w:rPr>
              <w:t>2017</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color w:val="auto"/>
              </w:rPr>
              <w:t>2017</w:t>
            </w:r>
          </w:p>
        </w:tc>
        <w:tc>
          <w:tcPr>
            <w:tcW w:w="0" w:type="dxa"/>
            <w:vAlign w:val="bottom"/>
          </w:tcPr>
          <w:p>
            <w:pPr>
              <w:spacing w:after="0"/>
              <w:rPr>
                <w:sz w:val="1"/>
                <w:szCs w:val="1"/>
                <w:color w:val="auto"/>
              </w:rPr>
            </w:pPr>
          </w:p>
        </w:tc>
      </w:tr>
      <w:tr>
        <w:trPr>
          <w:trHeight w:val="250"/>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70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3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79"/>
              <w:spacing w:after="0"/>
              <w:rPr>
                <w:sz w:val="20"/>
                <w:szCs w:val="20"/>
                <w:color w:val="auto"/>
              </w:rPr>
            </w:pPr>
            <w:r>
              <w:rPr>
                <w:rFonts w:ascii="Arial" w:cs="Arial" w:eastAsia="Arial" w:hAnsi="Arial"/>
                <w:sz w:val="16"/>
                <w:szCs w:val="16"/>
                <w:b w:val="1"/>
                <w:bCs w:val="1"/>
                <w:color w:val="auto"/>
              </w:rPr>
              <w:t>375,499</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372,897</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386,499</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376,805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380,575</w:t>
            </w:r>
          </w:p>
        </w:tc>
        <w:tc>
          <w:tcPr>
            <w:tcW w:w="0" w:type="dxa"/>
            <w:vAlign w:val="bottom"/>
          </w:tcPr>
          <w:p>
            <w:pPr>
              <w:spacing w:after="0"/>
              <w:rPr>
                <w:sz w:val="1"/>
                <w:szCs w:val="1"/>
                <w:color w:val="auto"/>
              </w:rPr>
            </w:pPr>
          </w:p>
        </w:tc>
      </w:tr>
      <w:tr>
        <w:trPr>
          <w:trHeight w:val="270"/>
        </w:trPr>
        <w:tc>
          <w:tcPr>
            <w:tcW w:w="470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300" w:type="dxa"/>
            <w:vAlign w:val="bottom"/>
          </w:tcPr>
          <w:p>
            <w:pPr>
              <w:spacing w:after="0"/>
              <w:rPr>
                <w:sz w:val="23"/>
                <w:szCs w:val="23"/>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b w:val="1"/>
                <w:bCs w:val="1"/>
                <w:color w:val="auto"/>
              </w:rPr>
              <w:t>108,802</w:t>
            </w:r>
          </w:p>
        </w:tc>
        <w:tc>
          <w:tcPr>
            <w:tcW w:w="260" w:type="dxa"/>
            <w:vAlign w:val="bottom"/>
          </w:tcPr>
          <w:p>
            <w:pPr>
              <w:spacing w:after="0"/>
              <w:rPr>
                <w:sz w:val="23"/>
                <w:szCs w:val="23"/>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91,496</w:t>
            </w:r>
          </w:p>
        </w:tc>
        <w:tc>
          <w:tcPr>
            <w:tcW w:w="26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106,102</w:t>
            </w:r>
          </w:p>
        </w:tc>
        <w:tc>
          <w:tcPr>
            <w:tcW w:w="220" w:type="dxa"/>
            <w:vAlign w:val="bottom"/>
          </w:tcPr>
          <w:p>
            <w:pPr>
              <w:spacing w:after="0"/>
              <w:rPr>
                <w:sz w:val="23"/>
                <w:szCs w:val="23"/>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101,295</w:t>
            </w:r>
          </w:p>
        </w:tc>
        <w:tc>
          <w:tcPr>
            <w:tcW w:w="24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111,023</w:t>
            </w:r>
          </w:p>
        </w:tc>
        <w:tc>
          <w:tcPr>
            <w:tcW w:w="0" w:type="dxa"/>
            <w:vAlign w:val="bottom"/>
          </w:tcPr>
          <w:p>
            <w:pPr>
              <w:spacing w:after="0"/>
              <w:rPr>
                <w:sz w:val="1"/>
                <w:szCs w:val="1"/>
                <w:color w:val="auto"/>
              </w:rPr>
            </w:pPr>
          </w:p>
        </w:tc>
      </w:tr>
      <w:tr>
        <w:trPr>
          <w:trHeight w:val="270"/>
        </w:trPr>
        <w:tc>
          <w:tcPr>
            <w:tcW w:w="4700" w:type="dxa"/>
            <w:vAlign w:val="bottom"/>
          </w:tcPr>
          <w:p>
            <w:pPr>
              <w:ind w:left="280"/>
              <w:spacing w:after="0"/>
              <w:rPr>
                <w:sz w:val="20"/>
                <w:szCs w:val="20"/>
                <w:color w:val="auto"/>
              </w:rPr>
            </w:pPr>
            <w:r>
              <w:rPr>
                <w:rFonts w:ascii="Arial" w:cs="Arial" w:eastAsia="Arial" w:hAnsi="Arial"/>
                <w:sz w:val="16"/>
                <w:szCs w:val="16"/>
                <w:color w:val="auto"/>
              </w:rPr>
              <w:t>Healthcare</w:t>
            </w:r>
          </w:p>
        </w:tc>
        <w:tc>
          <w:tcPr>
            <w:tcW w:w="300" w:type="dxa"/>
            <w:vAlign w:val="bottom"/>
          </w:tcPr>
          <w:p>
            <w:pPr>
              <w:spacing w:after="0"/>
              <w:rPr>
                <w:sz w:val="23"/>
                <w:szCs w:val="23"/>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b w:val="1"/>
                <w:bCs w:val="1"/>
                <w:color w:val="auto"/>
              </w:rPr>
              <w:t>37,621</w:t>
            </w:r>
          </w:p>
        </w:tc>
        <w:tc>
          <w:tcPr>
            <w:tcW w:w="260" w:type="dxa"/>
            <w:vAlign w:val="bottom"/>
          </w:tcPr>
          <w:p>
            <w:pPr>
              <w:spacing w:after="0"/>
              <w:rPr>
                <w:sz w:val="23"/>
                <w:szCs w:val="23"/>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36,899</w:t>
            </w:r>
          </w:p>
        </w:tc>
        <w:tc>
          <w:tcPr>
            <w:tcW w:w="26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38,220</w:t>
            </w:r>
          </w:p>
        </w:tc>
        <w:tc>
          <w:tcPr>
            <w:tcW w:w="220" w:type="dxa"/>
            <w:vAlign w:val="bottom"/>
          </w:tcPr>
          <w:p>
            <w:pPr>
              <w:spacing w:after="0"/>
              <w:rPr>
                <w:sz w:val="23"/>
                <w:szCs w:val="23"/>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40,473</w:t>
            </w:r>
          </w:p>
        </w:tc>
        <w:tc>
          <w:tcPr>
            <w:tcW w:w="24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38,610</w:t>
            </w:r>
          </w:p>
        </w:tc>
        <w:tc>
          <w:tcPr>
            <w:tcW w:w="0" w:type="dxa"/>
            <w:vAlign w:val="bottom"/>
          </w:tcPr>
          <w:p>
            <w:pPr>
              <w:spacing w:after="0"/>
              <w:rPr>
                <w:sz w:val="1"/>
                <w:szCs w:val="1"/>
                <w:color w:val="auto"/>
              </w:rPr>
            </w:pPr>
          </w:p>
        </w:tc>
      </w:tr>
      <w:tr>
        <w:trPr>
          <w:trHeight w:val="270"/>
        </w:trPr>
        <w:tc>
          <w:tcPr>
            <w:tcW w:w="470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300" w:type="dxa"/>
            <w:vAlign w:val="bottom"/>
          </w:tcPr>
          <w:p>
            <w:pPr>
              <w:spacing w:after="0"/>
              <w:rPr>
                <w:sz w:val="23"/>
                <w:szCs w:val="23"/>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b w:val="1"/>
                <w:bCs w:val="1"/>
                <w:color w:val="auto"/>
              </w:rPr>
              <w:t>137,538</w:t>
            </w:r>
          </w:p>
        </w:tc>
        <w:tc>
          <w:tcPr>
            <w:tcW w:w="260" w:type="dxa"/>
            <w:vAlign w:val="bottom"/>
          </w:tcPr>
          <w:p>
            <w:pPr>
              <w:spacing w:after="0"/>
              <w:rPr>
                <w:sz w:val="23"/>
                <w:szCs w:val="23"/>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81,425</w:t>
            </w:r>
          </w:p>
        </w:tc>
        <w:tc>
          <w:tcPr>
            <w:tcW w:w="26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145,266</w:t>
            </w:r>
          </w:p>
        </w:tc>
        <w:tc>
          <w:tcPr>
            <w:tcW w:w="220" w:type="dxa"/>
            <w:vAlign w:val="bottom"/>
          </w:tcPr>
          <w:p>
            <w:pPr>
              <w:spacing w:after="0"/>
              <w:rPr>
                <w:sz w:val="23"/>
                <w:szCs w:val="23"/>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138,652</w:t>
            </w:r>
          </w:p>
        </w:tc>
        <w:tc>
          <w:tcPr>
            <w:tcW w:w="24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145,660</w:t>
            </w:r>
          </w:p>
        </w:tc>
        <w:tc>
          <w:tcPr>
            <w:tcW w:w="0" w:type="dxa"/>
            <w:vAlign w:val="bottom"/>
          </w:tcPr>
          <w:p>
            <w:pPr>
              <w:spacing w:after="0"/>
              <w:rPr>
                <w:sz w:val="1"/>
                <w:szCs w:val="1"/>
                <w:color w:val="auto"/>
              </w:rPr>
            </w:pPr>
          </w:p>
        </w:tc>
      </w:tr>
      <w:tr>
        <w:trPr>
          <w:trHeight w:val="270"/>
        </w:trPr>
        <w:tc>
          <w:tcPr>
            <w:tcW w:w="470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300" w:type="dxa"/>
            <w:vAlign w:val="bottom"/>
          </w:tcPr>
          <w:p>
            <w:pPr>
              <w:spacing w:after="0"/>
              <w:rPr>
                <w:sz w:val="23"/>
                <w:szCs w:val="23"/>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3"/>
                <w:szCs w:val="23"/>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470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(24)</w:t>
            </w: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659,436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582,717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676,087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657,225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675,817</w:t>
            </w:r>
          </w:p>
        </w:tc>
        <w:tc>
          <w:tcPr>
            <w:tcW w:w="0" w:type="dxa"/>
            <w:vAlign w:val="bottom"/>
          </w:tcPr>
          <w:p>
            <w:pPr>
              <w:spacing w:after="0"/>
              <w:rPr>
                <w:sz w:val="1"/>
                <w:szCs w:val="1"/>
                <w:color w:val="auto"/>
              </w:rPr>
            </w:pPr>
          </w:p>
        </w:tc>
      </w:tr>
      <w:tr>
        <w:trPr>
          <w:trHeight w:val="251"/>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Income (Loss) from Operations</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70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3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79"/>
              <w:spacing w:after="0"/>
              <w:rPr>
                <w:sz w:val="20"/>
                <w:szCs w:val="20"/>
                <w:color w:val="auto"/>
              </w:rPr>
            </w:pPr>
            <w:r>
              <w:rPr>
                <w:rFonts w:ascii="Arial" w:cs="Arial" w:eastAsia="Arial" w:hAnsi="Arial"/>
                <w:sz w:val="16"/>
                <w:szCs w:val="16"/>
                <w:b w:val="1"/>
                <w:bCs w:val="1"/>
                <w:color w:val="auto"/>
              </w:rPr>
              <w:t>22,700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9,437</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33,331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13,797</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21,122</w:t>
            </w:r>
          </w:p>
        </w:tc>
        <w:tc>
          <w:tcPr>
            <w:tcW w:w="0" w:type="dxa"/>
            <w:vAlign w:val="bottom"/>
          </w:tcPr>
          <w:p>
            <w:pPr>
              <w:spacing w:after="0"/>
              <w:rPr>
                <w:sz w:val="1"/>
                <w:szCs w:val="1"/>
                <w:color w:val="auto"/>
              </w:rPr>
            </w:pPr>
          </w:p>
        </w:tc>
      </w:tr>
      <w:tr>
        <w:trPr>
          <w:trHeight w:val="270"/>
        </w:trPr>
        <w:tc>
          <w:tcPr>
            <w:tcW w:w="470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300" w:type="dxa"/>
            <w:vAlign w:val="bottom"/>
          </w:tcPr>
          <w:p>
            <w:pPr>
              <w:spacing w:after="0"/>
              <w:rPr>
                <w:sz w:val="23"/>
                <w:szCs w:val="23"/>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b w:val="1"/>
                <w:bCs w:val="1"/>
                <w:color w:val="auto"/>
              </w:rPr>
              <w:t>40,542</w:t>
            </w:r>
          </w:p>
        </w:tc>
        <w:tc>
          <w:tcPr>
            <w:tcW w:w="260" w:type="dxa"/>
            <w:vAlign w:val="bottom"/>
          </w:tcPr>
          <w:p>
            <w:pPr>
              <w:spacing w:after="0"/>
              <w:rPr>
                <w:sz w:val="23"/>
                <w:szCs w:val="23"/>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26,483</w:t>
            </w:r>
          </w:p>
        </w:tc>
        <w:tc>
          <w:tcPr>
            <w:tcW w:w="26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39,777</w:t>
            </w:r>
          </w:p>
        </w:tc>
        <w:tc>
          <w:tcPr>
            <w:tcW w:w="220" w:type="dxa"/>
            <w:vAlign w:val="bottom"/>
          </w:tcPr>
          <w:p>
            <w:pPr>
              <w:spacing w:after="0"/>
              <w:rPr>
                <w:sz w:val="23"/>
                <w:szCs w:val="23"/>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33,462</w:t>
            </w:r>
          </w:p>
        </w:tc>
        <w:tc>
          <w:tcPr>
            <w:tcW w:w="24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39,536</w:t>
            </w:r>
          </w:p>
        </w:tc>
        <w:tc>
          <w:tcPr>
            <w:tcW w:w="0" w:type="dxa"/>
            <w:vAlign w:val="bottom"/>
          </w:tcPr>
          <w:p>
            <w:pPr>
              <w:spacing w:after="0"/>
              <w:rPr>
                <w:sz w:val="1"/>
                <w:szCs w:val="1"/>
                <w:color w:val="auto"/>
              </w:rPr>
            </w:pPr>
          </w:p>
        </w:tc>
      </w:tr>
      <w:tr>
        <w:trPr>
          <w:trHeight w:val="270"/>
        </w:trPr>
        <w:tc>
          <w:tcPr>
            <w:tcW w:w="4700" w:type="dxa"/>
            <w:vAlign w:val="bottom"/>
          </w:tcPr>
          <w:p>
            <w:pPr>
              <w:ind w:left="280"/>
              <w:spacing w:after="0"/>
              <w:rPr>
                <w:sz w:val="20"/>
                <w:szCs w:val="20"/>
                <w:color w:val="auto"/>
              </w:rPr>
            </w:pPr>
            <w:r>
              <w:rPr>
                <w:rFonts w:ascii="Arial" w:cs="Arial" w:eastAsia="Arial" w:hAnsi="Arial"/>
                <w:sz w:val="16"/>
                <w:szCs w:val="16"/>
                <w:color w:val="auto"/>
              </w:rPr>
              <w:t>Healthcare</w:t>
            </w:r>
          </w:p>
        </w:tc>
        <w:tc>
          <w:tcPr>
            <w:tcW w:w="30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(1,391)</w:t>
            </w:r>
          </w:p>
        </w:tc>
        <w:tc>
          <w:tcPr>
            <w:tcW w:w="26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(926)</w:t>
            </w:r>
          </w:p>
        </w:tc>
        <w:tc>
          <w:tcPr>
            <w:tcW w:w="26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384</w:t>
            </w:r>
          </w:p>
        </w:tc>
        <w:tc>
          <w:tcPr>
            <w:tcW w:w="220" w:type="dxa"/>
            <w:vAlign w:val="bottom"/>
          </w:tcPr>
          <w:p>
            <w:pPr>
              <w:spacing w:after="0"/>
              <w:rPr>
                <w:sz w:val="23"/>
                <w:szCs w:val="23"/>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920</w:t>
            </w:r>
          </w:p>
        </w:tc>
        <w:tc>
          <w:tcPr>
            <w:tcW w:w="2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(2,947)</w:t>
            </w:r>
          </w:p>
        </w:tc>
        <w:tc>
          <w:tcPr>
            <w:tcW w:w="0" w:type="dxa"/>
            <w:vAlign w:val="bottom"/>
          </w:tcPr>
          <w:p>
            <w:pPr>
              <w:spacing w:after="0"/>
              <w:rPr>
                <w:sz w:val="1"/>
                <w:szCs w:val="1"/>
                <w:color w:val="auto"/>
              </w:rPr>
            </w:pPr>
          </w:p>
        </w:tc>
      </w:tr>
      <w:tr>
        <w:trPr>
          <w:trHeight w:val="270"/>
        </w:trPr>
        <w:tc>
          <w:tcPr>
            <w:tcW w:w="470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30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(3,695)</w:t>
            </w:r>
          </w:p>
        </w:tc>
        <w:tc>
          <w:tcPr>
            <w:tcW w:w="26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(9,638)</w:t>
            </w:r>
          </w:p>
        </w:tc>
        <w:tc>
          <w:tcPr>
            <w:tcW w:w="26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(9,302)</w:t>
            </w:r>
          </w:p>
        </w:tc>
        <w:tc>
          <w:tcPr>
            <w:tcW w:w="2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(7,021)</w:t>
            </w:r>
          </w:p>
        </w:tc>
        <w:tc>
          <w:tcPr>
            <w:tcW w:w="24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6,698</w:t>
            </w:r>
          </w:p>
        </w:tc>
        <w:tc>
          <w:tcPr>
            <w:tcW w:w="0" w:type="dxa"/>
            <w:vAlign w:val="bottom"/>
          </w:tcPr>
          <w:p>
            <w:pPr>
              <w:spacing w:after="0"/>
              <w:rPr>
                <w:sz w:val="1"/>
                <w:szCs w:val="1"/>
                <w:color w:val="auto"/>
              </w:rPr>
            </w:pPr>
          </w:p>
        </w:tc>
      </w:tr>
      <w:tr>
        <w:trPr>
          <w:trHeight w:val="283"/>
        </w:trPr>
        <w:tc>
          <w:tcPr>
            <w:tcW w:w="470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(13,942)</w:t>
            </w: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(15,103)</w:t>
            </w: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(14,449)</w:t>
            </w: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(14,208)</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(14,950)</w:t>
            </w: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44,214</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10,253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49,741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26,950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49,459</w:t>
            </w:r>
          </w:p>
        </w:tc>
        <w:tc>
          <w:tcPr>
            <w:tcW w:w="0" w:type="dxa"/>
            <w:vAlign w:val="bottom"/>
          </w:tcPr>
          <w:p>
            <w:pPr>
              <w:spacing w:after="0"/>
              <w:rPr>
                <w:sz w:val="1"/>
                <w:szCs w:val="1"/>
                <w:color w:val="auto"/>
              </w:rPr>
            </w:pPr>
          </w:p>
        </w:tc>
      </w:tr>
      <w:tr>
        <w:trPr>
          <w:trHeight w:val="251"/>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Equity in Earnings (Losses) of Affiliates, Net</w:t>
            </w:r>
          </w:p>
        </w:tc>
        <w:tc>
          <w:tcPr>
            <w:tcW w:w="300" w:type="dxa"/>
            <w:vAlign w:val="bottom"/>
          </w:tcPr>
          <w:p>
            <w:pPr>
              <w:spacing w:after="0"/>
              <w:rPr>
                <w:sz w:val="21"/>
                <w:szCs w:val="21"/>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b w:val="1"/>
                <w:bCs w:val="1"/>
                <w:color w:val="auto"/>
              </w:rPr>
              <w:t>2,579</w:t>
            </w:r>
          </w:p>
        </w:tc>
        <w:tc>
          <w:tcPr>
            <w:tcW w:w="260" w:type="dxa"/>
            <w:vAlign w:val="bottom"/>
          </w:tcPr>
          <w:p>
            <w:pPr>
              <w:spacing w:after="0"/>
              <w:rPr>
                <w:sz w:val="21"/>
                <w:szCs w:val="21"/>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649</w:t>
            </w:r>
          </w:p>
        </w:tc>
        <w:tc>
          <w:tcPr>
            <w:tcW w:w="260" w:type="dxa"/>
            <w:vAlign w:val="bottom"/>
          </w:tcPr>
          <w:p>
            <w:pPr>
              <w:spacing w:after="0"/>
              <w:rPr>
                <w:sz w:val="21"/>
                <w:szCs w:val="21"/>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1,331</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(532)</w:t>
            </w: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(4,697)</w:t>
            </w:r>
          </w:p>
        </w:tc>
        <w:tc>
          <w:tcPr>
            <w:tcW w:w="0" w:type="dxa"/>
            <w:vAlign w:val="bottom"/>
          </w:tcPr>
          <w:p>
            <w:pPr>
              <w:spacing w:after="0"/>
              <w:rPr>
                <w:sz w:val="1"/>
                <w:szCs w:val="1"/>
                <w:color w:val="auto"/>
              </w:rPr>
            </w:pPr>
          </w:p>
        </w:tc>
      </w:tr>
      <w:tr>
        <w:trPr>
          <w:trHeight w:val="270"/>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Interest Expense, Net</w:t>
            </w:r>
          </w:p>
        </w:tc>
        <w:tc>
          <w:tcPr>
            <w:tcW w:w="30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(6,699)</w:t>
            </w:r>
          </w:p>
        </w:tc>
        <w:tc>
          <w:tcPr>
            <w:tcW w:w="26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(6,766)</w:t>
            </w:r>
          </w:p>
        </w:tc>
        <w:tc>
          <w:tcPr>
            <w:tcW w:w="26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(7,862)</w:t>
            </w:r>
          </w:p>
        </w:tc>
        <w:tc>
          <w:tcPr>
            <w:tcW w:w="2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(7,758)</w:t>
            </w:r>
          </w:p>
        </w:tc>
        <w:tc>
          <w:tcPr>
            <w:tcW w:w="2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(4,919)</w:t>
            </w:r>
          </w:p>
        </w:tc>
        <w:tc>
          <w:tcPr>
            <w:tcW w:w="0" w:type="dxa"/>
            <w:vAlign w:val="bottom"/>
          </w:tcPr>
          <w:p>
            <w:pPr>
              <w:spacing w:after="0"/>
              <w:rPr>
                <w:sz w:val="1"/>
                <w:szCs w:val="1"/>
                <w:color w:val="auto"/>
              </w:rPr>
            </w:pPr>
          </w:p>
        </w:tc>
      </w:tr>
      <w:tr>
        <w:trPr>
          <w:trHeight w:val="217"/>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Non-Operating Pension and Postretirement Benefit Income,</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00" w:type="dxa"/>
            <w:vAlign w:val="bottom"/>
          </w:tcPr>
          <w:p>
            <w:pPr>
              <w:ind w:left="200"/>
              <w:spacing w:after="0"/>
              <w:rPr>
                <w:sz w:val="20"/>
                <w:szCs w:val="20"/>
                <w:color w:val="auto"/>
              </w:rPr>
            </w:pPr>
            <w:r>
              <w:rPr>
                <w:rFonts w:ascii="Arial" w:cs="Arial" w:eastAsia="Arial" w:hAnsi="Arial"/>
                <w:sz w:val="16"/>
                <w:szCs w:val="16"/>
                <w:b w:val="1"/>
                <w:bCs w:val="1"/>
                <w:color w:val="auto"/>
              </w:rPr>
              <w:t>Net</w:t>
            </w:r>
          </w:p>
        </w:tc>
        <w:tc>
          <w:tcPr>
            <w:tcW w:w="300" w:type="dxa"/>
            <w:vAlign w:val="bottom"/>
          </w:tcPr>
          <w:p>
            <w:pPr>
              <w:spacing w:after="0"/>
              <w:rPr>
                <w:sz w:val="18"/>
                <w:szCs w:val="18"/>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b w:val="1"/>
                <w:bCs w:val="1"/>
                <w:color w:val="auto"/>
              </w:rPr>
              <w:t>21,386</w:t>
            </w:r>
          </w:p>
        </w:tc>
        <w:tc>
          <w:tcPr>
            <w:tcW w:w="260" w:type="dxa"/>
            <w:vAlign w:val="bottom"/>
          </w:tcPr>
          <w:p>
            <w:pPr>
              <w:spacing w:after="0"/>
              <w:rPr>
                <w:sz w:val="18"/>
                <w:szCs w:val="18"/>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18,801</w:t>
            </w:r>
          </w:p>
        </w:tc>
        <w:tc>
          <w:tcPr>
            <w:tcW w:w="260" w:type="dxa"/>
            <w:vAlign w:val="bottom"/>
          </w:tcPr>
          <w:p>
            <w:pPr>
              <w:spacing w:after="0"/>
              <w:rPr>
                <w:sz w:val="18"/>
                <w:szCs w:val="18"/>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18,620</w:t>
            </w:r>
          </w:p>
        </w:tc>
        <w:tc>
          <w:tcPr>
            <w:tcW w:w="220" w:type="dxa"/>
            <w:vAlign w:val="bottom"/>
          </w:tcPr>
          <w:p>
            <w:pPr>
              <w:spacing w:after="0"/>
              <w:rPr>
                <w:sz w:val="18"/>
                <w:szCs w:val="18"/>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17,621</w:t>
            </w:r>
          </w:p>
        </w:tc>
        <w:tc>
          <w:tcPr>
            <w:tcW w:w="240" w:type="dxa"/>
            <w:vAlign w:val="bottom"/>
          </w:tcPr>
          <w:p>
            <w:pPr>
              <w:spacing w:after="0"/>
              <w:rPr>
                <w:sz w:val="18"/>
                <w:szCs w:val="18"/>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17,657</w:t>
            </w:r>
          </w:p>
        </w:tc>
        <w:tc>
          <w:tcPr>
            <w:tcW w:w="0" w:type="dxa"/>
            <w:vAlign w:val="bottom"/>
          </w:tcPr>
          <w:p>
            <w:pPr>
              <w:spacing w:after="0"/>
              <w:rPr>
                <w:sz w:val="1"/>
                <w:szCs w:val="1"/>
                <w:color w:val="auto"/>
              </w:rPr>
            </w:pPr>
          </w:p>
        </w:tc>
      </w:tr>
      <w:tr>
        <w:trPr>
          <w:trHeight w:val="270"/>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Loss on Marketable Equity Securities, Net</w:t>
            </w:r>
          </w:p>
        </w:tc>
        <w:tc>
          <w:tcPr>
            <w:tcW w:w="30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(14,102)</w:t>
            </w:r>
          </w:p>
        </w:tc>
        <w:tc>
          <w:tcPr>
            <w:tcW w:w="260" w:type="dxa"/>
            <w:vAlign w:val="bottom"/>
          </w:tcPr>
          <w:p>
            <w:pPr>
              <w:spacing w:after="0"/>
              <w:rPr>
                <w:sz w:val="23"/>
                <w:szCs w:val="23"/>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Other Income (Expense), Net</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9,187</w:t>
            </w: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849</w:t>
            </w: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4,069</w:t>
            </w: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1,963</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(2,640)</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Income Before Income Taxes</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56,565</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23,786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65,899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38,244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54,860</w:t>
            </w:r>
          </w:p>
        </w:tc>
        <w:tc>
          <w:tcPr>
            <w:tcW w:w="0" w:type="dxa"/>
            <w:vAlign w:val="bottom"/>
          </w:tcPr>
          <w:p>
            <w:pPr>
              <w:spacing w:after="0"/>
              <w:rPr>
                <w:sz w:val="1"/>
                <w:szCs w:val="1"/>
                <w:color w:val="auto"/>
              </w:rPr>
            </w:pPr>
          </w:p>
        </w:tc>
      </w:tr>
      <w:tr>
        <w:trPr>
          <w:trHeight w:val="20"/>
        </w:trPr>
        <w:tc>
          <w:tcPr>
            <w:tcW w:w="47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Depreciation of Property, Plant and Equipment</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0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70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3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79"/>
              <w:spacing w:after="0"/>
              <w:rPr>
                <w:sz w:val="20"/>
                <w:szCs w:val="20"/>
                <w:color w:val="auto"/>
              </w:rPr>
            </w:pPr>
            <w:r>
              <w:rPr>
                <w:rFonts w:ascii="Arial" w:cs="Arial" w:eastAsia="Arial" w:hAnsi="Arial"/>
                <w:sz w:val="16"/>
                <w:szCs w:val="16"/>
                <w:b w:val="1"/>
                <w:bCs w:val="1"/>
                <w:color w:val="auto"/>
              </w:rPr>
              <w:t>7,606</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8,584</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8,325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8,085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7,912</w:t>
            </w:r>
          </w:p>
        </w:tc>
        <w:tc>
          <w:tcPr>
            <w:tcW w:w="0" w:type="dxa"/>
            <w:vAlign w:val="bottom"/>
          </w:tcPr>
          <w:p>
            <w:pPr>
              <w:spacing w:after="0"/>
              <w:rPr>
                <w:sz w:val="1"/>
                <w:szCs w:val="1"/>
                <w:color w:val="auto"/>
              </w:rPr>
            </w:pPr>
          </w:p>
        </w:tc>
      </w:tr>
      <w:tr>
        <w:trPr>
          <w:trHeight w:val="270"/>
        </w:trPr>
        <w:tc>
          <w:tcPr>
            <w:tcW w:w="470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300" w:type="dxa"/>
            <w:vAlign w:val="bottom"/>
          </w:tcPr>
          <w:p>
            <w:pPr>
              <w:spacing w:after="0"/>
              <w:rPr>
                <w:sz w:val="23"/>
                <w:szCs w:val="23"/>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b w:val="1"/>
                <w:bCs w:val="1"/>
                <w:color w:val="auto"/>
              </w:rPr>
              <w:t>3,071</w:t>
            </w:r>
          </w:p>
        </w:tc>
        <w:tc>
          <w:tcPr>
            <w:tcW w:w="260" w:type="dxa"/>
            <w:vAlign w:val="bottom"/>
          </w:tcPr>
          <w:p>
            <w:pPr>
              <w:spacing w:after="0"/>
              <w:rPr>
                <w:sz w:val="23"/>
                <w:szCs w:val="23"/>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2,594</w:t>
            </w:r>
          </w:p>
        </w:tc>
        <w:tc>
          <w:tcPr>
            <w:tcW w:w="26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2,991</w:t>
            </w:r>
          </w:p>
        </w:tc>
        <w:tc>
          <w:tcPr>
            <w:tcW w:w="220" w:type="dxa"/>
            <w:vAlign w:val="bottom"/>
          </w:tcPr>
          <w:p>
            <w:pPr>
              <w:spacing w:after="0"/>
              <w:rPr>
                <w:sz w:val="23"/>
                <w:szCs w:val="23"/>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3,118</w:t>
            </w:r>
          </w:p>
        </w:tc>
        <w:tc>
          <w:tcPr>
            <w:tcW w:w="24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3,476</w:t>
            </w:r>
          </w:p>
        </w:tc>
        <w:tc>
          <w:tcPr>
            <w:tcW w:w="0" w:type="dxa"/>
            <w:vAlign w:val="bottom"/>
          </w:tcPr>
          <w:p>
            <w:pPr>
              <w:spacing w:after="0"/>
              <w:rPr>
                <w:sz w:val="1"/>
                <w:szCs w:val="1"/>
                <w:color w:val="auto"/>
              </w:rPr>
            </w:pPr>
          </w:p>
        </w:tc>
      </w:tr>
      <w:tr>
        <w:trPr>
          <w:trHeight w:val="270"/>
        </w:trPr>
        <w:tc>
          <w:tcPr>
            <w:tcW w:w="4700" w:type="dxa"/>
            <w:vAlign w:val="bottom"/>
          </w:tcPr>
          <w:p>
            <w:pPr>
              <w:ind w:left="280"/>
              <w:spacing w:after="0"/>
              <w:rPr>
                <w:sz w:val="20"/>
                <w:szCs w:val="20"/>
                <w:color w:val="auto"/>
              </w:rPr>
            </w:pPr>
            <w:r>
              <w:rPr>
                <w:rFonts w:ascii="Arial" w:cs="Arial" w:eastAsia="Arial" w:hAnsi="Arial"/>
                <w:sz w:val="16"/>
                <w:szCs w:val="16"/>
                <w:color w:val="auto"/>
              </w:rPr>
              <w:t>Healthcare</w:t>
            </w:r>
          </w:p>
        </w:tc>
        <w:tc>
          <w:tcPr>
            <w:tcW w:w="300" w:type="dxa"/>
            <w:vAlign w:val="bottom"/>
          </w:tcPr>
          <w:p>
            <w:pPr>
              <w:spacing w:after="0"/>
              <w:rPr>
                <w:sz w:val="23"/>
                <w:szCs w:val="23"/>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b w:val="1"/>
                <w:bCs w:val="1"/>
                <w:color w:val="auto"/>
              </w:rPr>
              <w:t>653</w:t>
            </w:r>
          </w:p>
        </w:tc>
        <w:tc>
          <w:tcPr>
            <w:tcW w:w="260" w:type="dxa"/>
            <w:vAlign w:val="bottom"/>
          </w:tcPr>
          <w:p>
            <w:pPr>
              <w:spacing w:after="0"/>
              <w:rPr>
                <w:sz w:val="23"/>
                <w:szCs w:val="23"/>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1,069</w:t>
            </w:r>
          </w:p>
        </w:tc>
        <w:tc>
          <w:tcPr>
            <w:tcW w:w="26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1,194</w:t>
            </w:r>
          </w:p>
        </w:tc>
        <w:tc>
          <w:tcPr>
            <w:tcW w:w="220" w:type="dxa"/>
            <w:vAlign w:val="bottom"/>
          </w:tcPr>
          <w:p>
            <w:pPr>
              <w:spacing w:after="0"/>
              <w:rPr>
                <w:sz w:val="23"/>
                <w:szCs w:val="23"/>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1,166</w:t>
            </w:r>
          </w:p>
        </w:tc>
        <w:tc>
          <w:tcPr>
            <w:tcW w:w="24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1,154</w:t>
            </w:r>
          </w:p>
        </w:tc>
        <w:tc>
          <w:tcPr>
            <w:tcW w:w="0" w:type="dxa"/>
            <w:vAlign w:val="bottom"/>
          </w:tcPr>
          <w:p>
            <w:pPr>
              <w:spacing w:after="0"/>
              <w:rPr>
                <w:sz w:val="1"/>
                <w:szCs w:val="1"/>
                <w:color w:val="auto"/>
              </w:rPr>
            </w:pPr>
          </w:p>
        </w:tc>
      </w:tr>
      <w:tr>
        <w:trPr>
          <w:trHeight w:val="270"/>
        </w:trPr>
        <w:tc>
          <w:tcPr>
            <w:tcW w:w="470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300" w:type="dxa"/>
            <w:vAlign w:val="bottom"/>
          </w:tcPr>
          <w:p>
            <w:pPr>
              <w:spacing w:after="0"/>
              <w:rPr>
                <w:sz w:val="23"/>
                <w:szCs w:val="23"/>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b w:val="1"/>
                <w:bCs w:val="1"/>
                <w:color w:val="auto"/>
              </w:rPr>
              <w:t>3,059</w:t>
            </w:r>
          </w:p>
        </w:tc>
        <w:tc>
          <w:tcPr>
            <w:tcW w:w="260" w:type="dxa"/>
            <w:vAlign w:val="bottom"/>
          </w:tcPr>
          <w:p>
            <w:pPr>
              <w:spacing w:after="0"/>
              <w:rPr>
                <w:sz w:val="23"/>
                <w:szCs w:val="23"/>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2,115</w:t>
            </w:r>
          </w:p>
        </w:tc>
        <w:tc>
          <w:tcPr>
            <w:tcW w:w="26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3,070</w:t>
            </w:r>
          </w:p>
        </w:tc>
        <w:tc>
          <w:tcPr>
            <w:tcW w:w="220" w:type="dxa"/>
            <w:vAlign w:val="bottom"/>
          </w:tcPr>
          <w:p>
            <w:pPr>
              <w:spacing w:after="0"/>
              <w:rPr>
                <w:sz w:val="23"/>
                <w:szCs w:val="23"/>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3,354</w:t>
            </w:r>
          </w:p>
        </w:tc>
        <w:tc>
          <w:tcPr>
            <w:tcW w:w="24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3,184</w:t>
            </w:r>
          </w:p>
        </w:tc>
        <w:tc>
          <w:tcPr>
            <w:tcW w:w="0" w:type="dxa"/>
            <w:vAlign w:val="bottom"/>
          </w:tcPr>
          <w:p>
            <w:pPr>
              <w:spacing w:after="0"/>
              <w:rPr>
                <w:sz w:val="1"/>
                <w:szCs w:val="1"/>
                <w:color w:val="auto"/>
              </w:rPr>
            </w:pPr>
          </w:p>
        </w:tc>
      </w:tr>
      <w:tr>
        <w:trPr>
          <w:trHeight w:val="283"/>
        </w:trPr>
        <w:tc>
          <w:tcPr>
            <w:tcW w:w="470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253</w:t>
            </w: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290</w:t>
            </w: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291</w:t>
            </w: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279</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258</w:t>
            </w: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14,642</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14,652</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15,871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16,002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15,984</w:t>
            </w:r>
          </w:p>
        </w:tc>
        <w:tc>
          <w:tcPr>
            <w:tcW w:w="0" w:type="dxa"/>
            <w:vAlign w:val="bottom"/>
          </w:tcPr>
          <w:p>
            <w:pPr>
              <w:spacing w:after="0"/>
              <w:rPr>
                <w:sz w:val="1"/>
                <w:szCs w:val="1"/>
                <w:color w:val="auto"/>
              </w:rPr>
            </w:pPr>
          </w:p>
        </w:tc>
      </w:tr>
      <w:tr>
        <w:trPr>
          <w:trHeight w:val="184"/>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Amortization of Intangible Assets and Impairment of</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700" w:type="dxa"/>
            <w:vAlign w:val="bottom"/>
          </w:tcPr>
          <w:p>
            <w:pPr>
              <w:ind w:left="200"/>
              <w:spacing w:after="0"/>
              <w:rPr>
                <w:sz w:val="20"/>
                <w:szCs w:val="20"/>
                <w:color w:val="auto"/>
              </w:rPr>
            </w:pPr>
            <w:r>
              <w:rPr>
                <w:rFonts w:ascii="Arial" w:cs="Arial" w:eastAsia="Arial" w:hAnsi="Arial"/>
                <w:sz w:val="16"/>
                <w:szCs w:val="16"/>
                <w:b w:val="1"/>
                <w:bCs w:val="1"/>
                <w:color w:val="auto"/>
              </w:rPr>
              <w:t>Goodwill and Other Long-Lived Assets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70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3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79"/>
              <w:spacing w:after="0"/>
              <w:rPr>
                <w:sz w:val="20"/>
                <w:szCs w:val="20"/>
                <w:color w:val="auto"/>
              </w:rPr>
            </w:pPr>
            <w:r>
              <w:rPr>
                <w:rFonts w:ascii="Arial" w:cs="Arial" w:eastAsia="Arial" w:hAnsi="Arial"/>
                <w:sz w:val="16"/>
                <w:szCs w:val="16"/>
                <w:b w:val="1"/>
                <w:bCs w:val="1"/>
                <w:color w:val="auto"/>
              </w:rPr>
              <w:t>1,149</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1,120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1,323</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1,355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1,364</w:t>
            </w:r>
          </w:p>
        </w:tc>
        <w:tc>
          <w:tcPr>
            <w:tcW w:w="0" w:type="dxa"/>
            <w:vAlign w:val="bottom"/>
          </w:tcPr>
          <w:p>
            <w:pPr>
              <w:spacing w:after="0"/>
              <w:rPr>
                <w:sz w:val="1"/>
                <w:szCs w:val="1"/>
                <w:color w:val="auto"/>
              </w:rPr>
            </w:pPr>
          </w:p>
        </w:tc>
      </w:tr>
      <w:tr>
        <w:trPr>
          <w:trHeight w:val="270"/>
        </w:trPr>
        <w:tc>
          <w:tcPr>
            <w:tcW w:w="470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300" w:type="dxa"/>
            <w:vAlign w:val="bottom"/>
          </w:tcPr>
          <w:p>
            <w:pPr>
              <w:spacing w:after="0"/>
              <w:rPr>
                <w:sz w:val="23"/>
                <w:szCs w:val="23"/>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b w:val="1"/>
                <w:bCs w:val="1"/>
                <w:color w:val="auto"/>
              </w:rPr>
              <w:t>1,408</w:t>
            </w:r>
          </w:p>
        </w:tc>
        <w:tc>
          <w:tcPr>
            <w:tcW w:w="260" w:type="dxa"/>
            <w:vAlign w:val="bottom"/>
          </w:tcPr>
          <w:p>
            <w:pPr>
              <w:spacing w:after="0"/>
              <w:rPr>
                <w:sz w:val="23"/>
                <w:szCs w:val="23"/>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902</w:t>
            </w:r>
          </w:p>
        </w:tc>
        <w:tc>
          <w:tcPr>
            <w:tcW w:w="26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970</w:t>
            </w:r>
          </w:p>
        </w:tc>
        <w:tc>
          <w:tcPr>
            <w:tcW w:w="220" w:type="dxa"/>
            <w:vAlign w:val="bottom"/>
          </w:tcPr>
          <w:p>
            <w:pPr>
              <w:spacing w:after="0"/>
              <w:rPr>
                <w:sz w:val="23"/>
                <w:szCs w:val="23"/>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1,071</w:t>
            </w:r>
          </w:p>
        </w:tc>
        <w:tc>
          <w:tcPr>
            <w:tcW w:w="24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3,406</w:t>
            </w:r>
          </w:p>
        </w:tc>
        <w:tc>
          <w:tcPr>
            <w:tcW w:w="0" w:type="dxa"/>
            <w:vAlign w:val="bottom"/>
          </w:tcPr>
          <w:p>
            <w:pPr>
              <w:spacing w:after="0"/>
              <w:rPr>
                <w:sz w:val="1"/>
                <w:szCs w:val="1"/>
                <w:color w:val="auto"/>
              </w:rPr>
            </w:pPr>
          </w:p>
        </w:tc>
      </w:tr>
      <w:tr>
        <w:trPr>
          <w:trHeight w:val="270"/>
        </w:trPr>
        <w:tc>
          <w:tcPr>
            <w:tcW w:w="4700" w:type="dxa"/>
            <w:vAlign w:val="bottom"/>
          </w:tcPr>
          <w:p>
            <w:pPr>
              <w:ind w:left="280"/>
              <w:spacing w:after="0"/>
              <w:rPr>
                <w:sz w:val="20"/>
                <w:szCs w:val="20"/>
                <w:color w:val="auto"/>
              </w:rPr>
            </w:pPr>
            <w:r>
              <w:rPr>
                <w:rFonts w:ascii="Arial" w:cs="Arial" w:eastAsia="Arial" w:hAnsi="Arial"/>
                <w:sz w:val="16"/>
                <w:szCs w:val="16"/>
                <w:color w:val="auto"/>
              </w:rPr>
              <w:t>Healthcare</w:t>
            </w:r>
          </w:p>
        </w:tc>
        <w:tc>
          <w:tcPr>
            <w:tcW w:w="300" w:type="dxa"/>
            <w:vAlign w:val="bottom"/>
          </w:tcPr>
          <w:p>
            <w:pPr>
              <w:spacing w:after="0"/>
              <w:rPr>
                <w:sz w:val="23"/>
                <w:szCs w:val="23"/>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b w:val="1"/>
                <w:bCs w:val="1"/>
                <w:color w:val="auto"/>
              </w:rPr>
              <w:t>1,808</w:t>
            </w:r>
          </w:p>
        </w:tc>
        <w:tc>
          <w:tcPr>
            <w:tcW w:w="260" w:type="dxa"/>
            <w:vAlign w:val="bottom"/>
          </w:tcPr>
          <w:p>
            <w:pPr>
              <w:spacing w:after="0"/>
              <w:rPr>
                <w:sz w:val="23"/>
                <w:szCs w:val="23"/>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1,654</w:t>
            </w:r>
          </w:p>
        </w:tc>
        <w:tc>
          <w:tcPr>
            <w:tcW w:w="26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1,644</w:t>
            </w:r>
          </w:p>
        </w:tc>
        <w:tc>
          <w:tcPr>
            <w:tcW w:w="220" w:type="dxa"/>
            <w:vAlign w:val="bottom"/>
          </w:tcPr>
          <w:p>
            <w:pPr>
              <w:spacing w:after="0"/>
              <w:rPr>
                <w:sz w:val="23"/>
                <w:szCs w:val="23"/>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2,420</w:t>
            </w:r>
          </w:p>
        </w:tc>
        <w:tc>
          <w:tcPr>
            <w:tcW w:w="24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2,187</w:t>
            </w:r>
          </w:p>
        </w:tc>
        <w:tc>
          <w:tcPr>
            <w:tcW w:w="0" w:type="dxa"/>
            <w:vAlign w:val="bottom"/>
          </w:tcPr>
          <w:p>
            <w:pPr>
              <w:spacing w:after="0"/>
              <w:rPr>
                <w:sz w:val="1"/>
                <w:szCs w:val="1"/>
                <w:color w:val="auto"/>
              </w:rPr>
            </w:pPr>
          </w:p>
        </w:tc>
      </w:tr>
      <w:tr>
        <w:trPr>
          <w:trHeight w:val="270"/>
        </w:trPr>
        <w:tc>
          <w:tcPr>
            <w:tcW w:w="470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300" w:type="dxa"/>
            <w:vAlign w:val="bottom"/>
          </w:tcPr>
          <w:p>
            <w:pPr>
              <w:spacing w:after="0"/>
              <w:rPr>
                <w:sz w:val="23"/>
                <w:szCs w:val="23"/>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b w:val="1"/>
                <w:bCs w:val="1"/>
                <w:color w:val="auto"/>
              </w:rPr>
              <w:t>6,019</w:t>
            </w:r>
          </w:p>
        </w:tc>
        <w:tc>
          <w:tcPr>
            <w:tcW w:w="260" w:type="dxa"/>
            <w:vAlign w:val="bottom"/>
          </w:tcPr>
          <w:p>
            <w:pPr>
              <w:spacing w:after="0"/>
              <w:rPr>
                <w:sz w:val="23"/>
                <w:szCs w:val="23"/>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3,160</w:t>
            </w:r>
          </w:p>
        </w:tc>
        <w:tc>
          <w:tcPr>
            <w:tcW w:w="26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15,818</w:t>
            </w:r>
          </w:p>
        </w:tc>
        <w:tc>
          <w:tcPr>
            <w:tcW w:w="220" w:type="dxa"/>
            <w:vAlign w:val="bottom"/>
          </w:tcPr>
          <w:p>
            <w:pPr>
              <w:spacing w:after="0"/>
              <w:rPr>
                <w:sz w:val="23"/>
                <w:szCs w:val="23"/>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6,389</w:t>
            </w:r>
          </w:p>
        </w:tc>
        <w:tc>
          <w:tcPr>
            <w:tcW w:w="24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6,018</w:t>
            </w:r>
          </w:p>
        </w:tc>
        <w:tc>
          <w:tcPr>
            <w:tcW w:w="0" w:type="dxa"/>
            <w:vAlign w:val="bottom"/>
          </w:tcPr>
          <w:p>
            <w:pPr>
              <w:spacing w:after="0"/>
              <w:rPr>
                <w:sz w:val="1"/>
                <w:szCs w:val="1"/>
                <w:color w:val="auto"/>
              </w:rPr>
            </w:pPr>
          </w:p>
        </w:tc>
      </w:tr>
      <w:tr>
        <w:trPr>
          <w:trHeight w:val="283"/>
        </w:trPr>
        <w:tc>
          <w:tcPr>
            <w:tcW w:w="470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10,384</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6,836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19,755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11,235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12,975</w:t>
            </w:r>
          </w:p>
        </w:tc>
        <w:tc>
          <w:tcPr>
            <w:tcW w:w="0" w:type="dxa"/>
            <w:vAlign w:val="bottom"/>
          </w:tcPr>
          <w:p>
            <w:pPr>
              <w:spacing w:after="0"/>
              <w:rPr>
                <w:sz w:val="1"/>
                <w:szCs w:val="1"/>
                <w:color w:val="auto"/>
              </w:rPr>
            </w:pPr>
          </w:p>
        </w:tc>
      </w:tr>
      <w:tr>
        <w:trPr>
          <w:trHeight w:val="251"/>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Pension Expense</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70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3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79"/>
              <w:spacing w:after="0"/>
              <w:rPr>
                <w:sz w:val="20"/>
                <w:szCs w:val="20"/>
                <w:color w:val="auto"/>
              </w:rPr>
            </w:pPr>
            <w:r>
              <w:rPr>
                <w:rFonts w:ascii="Arial" w:cs="Arial" w:eastAsia="Arial" w:hAnsi="Arial"/>
                <w:sz w:val="16"/>
                <w:szCs w:val="16"/>
                <w:b w:val="1"/>
                <w:bCs w:val="1"/>
                <w:color w:val="auto"/>
              </w:rPr>
              <w:t>2,664</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2,706</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2,153</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2,430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2,431</w:t>
            </w:r>
          </w:p>
        </w:tc>
        <w:tc>
          <w:tcPr>
            <w:tcW w:w="0" w:type="dxa"/>
            <w:vAlign w:val="bottom"/>
          </w:tcPr>
          <w:p>
            <w:pPr>
              <w:spacing w:after="0"/>
              <w:rPr>
                <w:sz w:val="1"/>
                <w:szCs w:val="1"/>
                <w:color w:val="auto"/>
              </w:rPr>
            </w:pPr>
          </w:p>
        </w:tc>
      </w:tr>
      <w:tr>
        <w:trPr>
          <w:trHeight w:val="270"/>
        </w:trPr>
        <w:tc>
          <w:tcPr>
            <w:tcW w:w="470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300" w:type="dxa"/>
            <w:vAlign w:val="bottom"/>
          </w:tcPr>
          <w:p>
            <w:pPr>
              <w:spacing w:after="0"/>
              <w:rPr>
                <w:sz w:val="23"/>
                <w:szCs w:val="23"/>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b w:val="1"/>
                <w:bCs w:val="1"/>
                <w:color w:val="auto"/>
              </w:rPr>
              <w:t>493</w:t>
            </w:r>
          </w:p>
        </w:tc>
        <w:tc>
          <w:tcPr>
            <w:tcW w:w="260" w:type="dxa"/>
            <w:vAlign w:val="bottom"/>
          </w:tcPr>
          <w:p>
            <w:pPr>
              <w:spacing w:after="0"/>
              <w:rPr>
                <w:sz w:val="23"/>
                <w:szCs w:val="23"/>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493</w:t>
            </w:r>
          </w:p>
        </w:tc>
        <w:tc>
          <w:tcPr>
            <w:tcW w:w="26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479</w:t>
            </w:r>
          </w:p>
        </w:tc>
        <w:tc>
          <w:tcPr>
            <w:tcW w:w="220" w:type="dxa"/>
            <w:vAlign w:val="bottom"/>
          </w:tcPr>
          <w:p>
            <w:pPr>
              <w:spacing w:after="0"/>
              <w:rPr>
                <w:sz w:val="23"/>
                <w:szCs w:val="23"/>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485</w:t>
            </w:r>
          </w:p>
        </w:tc>
        <w:tc>
          <w:tcPr>
            <w:tcW w:w="24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485</w:t>
            </w:r>
          </w:p>
        </w:tc>
        <w:tc>
          <w:tcPr>
            <w:tcW w:w="0" w:type="dxa"/>
            <w:vAlign w:val="bottom"/>
          </w:tcPr>
          <w:p>
            <w:pPr>
              <w:spacing w:after="0"/>
              <w:rPr>
                <w:sz w:val="1"/>
                <w:szCs w:val="1"/>
                <w:color w:val="auto"/>
              </w:rPr>
            </w:pPr>
          </w:p>
        </w:tc>
      </w:tr>
      <w:tr>
        <w:trPr>
          <w:trHeight w:val="270"/>
        </w:trPr>
        <w:tc>
          <w:tcPr>
            <w:tcW w:w="4700" w:type="dxa"/>
            <w:vAlign w:val="bottom"/>
          </w:tcPr>
          <w:p>
            <w:pPr>
              <w:ind w:left="280"/>
              <w:spacing w:after="0"/>
              <w:rPr>
                <w:sz w:val="20"/>
                <w:szCs w:val="20"/>
                <w:color w:val="auto"/>
              </w:rPr>
            </w:pPr>
            <w:r>
              <w:rPr>
                <w:rFonts w:ascii="Arial" w:cs="Arial" w:eastAsia="Arial" w:hAnsi="Arial"/>
                <w:sz w:val="16"/>
                <w:szCs w:val="16"/>
                <w:color w:val="auto"/>
              </w:rPr>
              <w:t>Healthcare</w:t>
            </w:r>
          </w:p>
        </w:tc>
        <w:tc>
          <w:tcPr>
            <w:tcW w:w="300" w:type="dxa"/>
            <w:vAlign w:val="bottom"/>
          </w:tcPr>
          <w:p>
            <w:pPr>
              <w:spacing w:after="0"/>
              <w:rPr>
                <w:sz w:val="23"/>
                <w:szCs w:val="23"/>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b w:val="1"/>
                <w:bCs w:val="1"/>
                <w:color w:val="auto"/>
              </w:rPr>
              <w:t>122</w:t>
            </w:r>
          </w:p>
        </w:tc>
        <w:tc>
          <w:tcPr>
            <w:tcW w:w="260" w:type="dxa"/>
            <w:vAlign w:val="bottom"/>
          </w:tcPr>
          <w:p>
            <w:pPr>
              <w:spacing w:after="0"/>
              <w:rPr>
                <w:sz w:val="23"/>
                <w:szCs w:val="23"/>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166</w:t>
            </w:r>
          </w:p>
        </w:tc>
        <w:tc>
          <w:tcPr>
            <w:tcW w:w="26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166</w:t>
            </w:r>
          </w:p>
        </w:tc>
        <w:tc>
          <w:tcPr>
            <w:tcW w:w="220" w:type="dxa"/>
            <w:vAlign w:val="bottom"/>
          </w:tcPr>
          <w:p>
            <w:pPr>
              <w:spacing w:after="0"/>
              <w:rPr>
                <w:sz w:val="23"/>
                <w:szCs w:val="23"/>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166</w:t>
            </w:r>
          </w:p>
        </w:tc>
        <w:tc>
          <w:tcPr>
            <w:tcW w:w="24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167</w:t>
            </w:r>
          </w:p>
        </w:tc>
        <w:tc>
          <w:tcPr>
            <w:tcW w:w="0" w:type="dxa"/>
            <w:vAlign w:val="bottom"/>
          </w:tcPr>
          <w:p>
            <w:pPr>
              <w:spacing w:after="0"/>
              <w:rPr>
                <w:sz w:val="1"/>
                <w:szCs w:val="1"/>
                <w:color w:val="auto"/>
              </w:rPr>
            </w:pPr>
          </w:p>
        </w:tc>
      </w:tr>
      <w:tr>
        <w:trPr>
          <w:trHeight w:val="270"/>
        </w:trPr>
        <w:tc>
          <w:tcPr>
            <w:tcW w:w="470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300" w:type="dxa"/>
            <w:vAlign w:val="bottom"/>
          </w:tcPr>
          <w:p>
            <w:pPr>
              <w:spacing w:after="0"/>
              <w:rPr>
                <w:sz w:val="23"/>
                <w:szCs w:val="23"/>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b w:val="1"/>
                <w:bCs w:val="1"/>
                <w:color w:val="auto"/>
              </w:rPr>
              <w:t>289</w:t>
            </w:r>
          </w:p>
        </w:tc>
        <w:tc>
          <w:tcPr>
            <w:tcW w:w="260" w:type="dxa"/>
            <w:vAlign w:val="bottom"/>
          </w:tcPr>
          <w:p>
            <w:pPr>
              <w:spacing w:after="0"/>
              <w:rPr>
                <w:sz w:val="23"/>
                <w:szCs w:val="23"/>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317</w:t>
            </w:r>
          </w:p>
        </w:tc>
        <w:tc>
          <w:tcPr>
            <w:tcW w:w="26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249</w:t>
            </w:r>
          </w:p>
        </w:tc>
        <w:tc>
          <w:tcPr>
            <w:tcW w:w="220" w:type="dxa"/>
            <w:vAlign w:val="bottom"/>
          </w:tcPr>
          <w:p>
            <w:pPr>
              <w:spacing w:after="0"/>
              <w:rPr>
                <w:sz w:val="23"/>
                <w:szCs w:val="23"/>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277</w:t>
            </w:r>
          </w:p>
        </w:tc>
        <w:tc>
          <w:tcPr>
            <w:tcW w:w="24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282</w:t>
            </w:r>
          </w:p>
        </w:tc>
        <w:tc>
          <w:tcPr>
            <w:tcW w:w="0" w:type="dxa"/>
            <w:vAlign w:val="bottom"/>
          </w:tcPr>
          <w:p>
            <w:pPr>
              <w:spacing w:after="0"/>
              <w:rPr>
                <w:sz w:val="1"/>
                <w:szCs w:val="1"/>
                <w:color w:val="auto"/>
              </w:rPr>
            </w:pPr>
          </w:p>
        </w:tc>
      </w:tr>
      <w:tr>
        <w:trPr>
          <w:trHeight w:val="283"/>
        </w:trPr>
        <w:tc>
          <w:tcPr>
            <w:tcW w:w="470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1,372</w:t>
            </w: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1,232</w:t>
            </w: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1,544</w:t>
            </w: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1,233</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1,226</w:t>
            </w: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4,940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4,914</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4,591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4,591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4,591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19" w:right="239" w:bottom="1440" w:gutter="0" w:footer="0" w:header="0"/>
        </w:sectPr>
      </w:pP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420"/>
          </w:cols>
          <w:pgMar w:left="240" w:top="719" w:right="239" w:bottom="1440" w:gutter="0" w:footer="0" w:header="0"/>
          <w:type w:val="continuous"/>
        </w:sectPr>
      </w:pPr>
    </w:p>
    <w:bookmarkStart w:id="27" w:name="page28"/>
    <w:bookmarkEnd w:id="27"/>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annual financial information related to each of the Company's business segments: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836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36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1,516,776</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1,598,461</w:t>
            </w:r>
          </w:p>
        </w:tc>
        <w:tc>
          <w:tcPr>
            <w:tcW w:w="0" w:type="dxa"/>
            <w:vAlign w:val="bottom"/>
          </w:tcPr>
          <w:p>
            <w:pPr>
              <w:spacing w:after="0"/>
              <w:rPr>
                <w:sz w:val="1"/>
                <w:szCs w:val="1"/>
                <w:color w:val="auto"/>
              </w:rPr>
            </w:pPr>
          </w:p>
        </w:tc>
      </w:tr>
      <w:tr>
        <w:trPr>
          <w:trHeight w:val="270"/>
        </w:trPr>
        <w:tc>
          <w:tcPr>
            <w:tcW w:w="836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340" w:type="dxa"/>
            <w:vAlign w:val="bottom"/>
          </w:tcPr>
          <w:p>
            <w:pPr>
              <w:spacing w:after="0"/>
              <w:rPr>
                <w:sz w:val="23"/>
                <w:szCs w:val="23"/>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409,916</w:t>
            </w:r>
          </w:p>
        </w:tc>
        <w:tc>
          <w:tcPr>
            <w:tcW w:w="4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409,718</w:t>
            </w:r>
          </w:p>
        </w:tc>
        <w:tc>
          <w:tcPr>
            <w:tcW w:w="0" w:type="dxa"/>
            <w:vAlign w:val="bottom"/>
          </w:tcPr>
          <w:p>
            <w:pPr>
              <w:spacing w:after="0"/>
              <w:rPr>
                <w:sz w:val="1"/>
                <w:szCs w:val="1"/>
                <w:color w:val="auto"/>
              </w:rPr>
            </w:pPr>
          </w:p>
        </w:tc>
      </w:tr>
      <w:tr>
        <w:trPr>
          <w:trHeight w:val="270"/>
        </w:trPr>
        <w:tc>
          <w:tcPr>
            <w:tcW w:w="8360" w:type="dxa"/>
            <w:vAlign w:val="bottom"/>
          </w:tcPr>
          <w:p>
            <w:pPr>
              <w:ind w:left="280"/>
              <w:spacing w:after="0"/>
              <w:rPr>
                <w:sz w:val="20"/>
                <w:szCs w:val="20"/>
                <w:color w:val="auto"/>
              </w:rPr>
            </w:pPr>
            <w:r>
              <w:rPr>
                <w:rFonts w:ascii="Arial" w:cs="Arial" w:eastAsia="Arial" w:hAnsi="Arial"/>
                <w:sz w:val="16"/>
                <w:szCs w:val="16"/>
                <w:color w:val="auto"/>
              </w:rPr>
              <w:t>Healthcare</w:t>
            </w:r>
          </w:p>
        </w:tc>
        <w:tc>
          <w:tcPr>
            <w:tcW w:w="340" w:type="dxa"/>
            <w:vAlign w:val="bottom"/>
          </w:tcPr>
          <w:p>
            <w:pPr>
              <w:spacing w:after="0"/>
              <w:rPr>
                <w:sz w:val="23"/>
                <w:szCs w:val="23"/>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154,202</w:t>
            </w:r>
          </w:p>
        </w:tc>
        <w:tc>
          <w:tcPr>
            <w:tcW w:w="4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146,962</w:t>
            </w:r>
          </w:p>
        </w:tc>
        <w:tc>
          <w:tcPr>
            <w:tcW w:w="0" w:type="dxa"/>
            <w:vAlign w:val="bottom"/>
          </w:tcPr>
          <w:p>
            <w:pPr>
              <w:spacing w:after="0"/>
              <w:rPr>
                <w:sz w:val="1"/>
                <w:szCs w:val="1"/>
                <w:color w:val="auto"/>
              </w:rPr>
            </w:pPr>
          </w:p>
        </w:tc>
      </w:tr>
      <w:tr>
        <w:trPr>
          <w:trHeight w:val="270"/>
        </w:trPr>
        <w:tc>
          <w:tcPr>
            <w:tcW w:w="836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340" w:type="dxa"/>
            <w:vAlign w:val="bottom"/>
          </w:tcPr>
          <w:p>
            <w:pPr>
              <w:spacing w:after="0"/>
              <w:rPr>
                <w:sz w:val="23"/>
                <w:szCs w:val="23"/>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511,003</w:t>
            </w:r>
          </w:p>
        </w:tc>
        <w:tc>
          <w:tcPr>
            <w:tcW w:w="4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326,888</w:t>
            </w:r>
          </w:p>
        </w:tc>
        <w:tc>
          <w:tcPr>
            <w:tcW w:w="0" w:type="dxa"/>
            <w:vAlign w:val="bottom"/>
          </w:tcPr>
          <w:p>
            <w:pPr>
              <w:spacing w:after="0"/>
              <w:rPr>
                <w:sz w:val="1"/>
                <w:szCs w:val="1"/>
                <w:color w:val="auto"/>
              </w:rPr>
            </w:pPr>
          </w:p>
        </w:tc>
      </w:tr>
      <w:tr>
        <w:trPr>
          <w:trHeight w:val="270"/>
        </w:trPr>
        <w:tc>
          <w:tcPr>
            <w:tcW w:w="836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340" w:type="dxa"/>
            <w:vAlign w:val="bottom"/>
          </w:tcPr>
          <w:p>
            <w:pPr>
              <w:spacing w:after="0"/>
              <w:rPr>
                <w:sz w:val="23"/>
                <w:szCs w:val="23"/>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836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(51)</w:t>
            </w:r>
          </w:p>
        </w:tc>
        <w:tc>
          <w:tcPr>
            <w:tcW w:w="4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264"/>
        </w:trPr>
        <w:tc>
          <w:tcPr>
            <w:tcW w:w="8360" w:type="dxa"/>
            <w:vAlign w:val="bottom"/>
          </w:tcPr>
          <w:p>
            <w:pPr>
              <w:spacing w:after="0"/>
              <w:rPr>
                <w:sz w:val="22"/>
                <w:szCs w:val="22"/>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2,591,846</w:t>
            </w:r>
          </w:p>
        </w:tc>
        <w:tc>
          <w:tcPr>
            <w:tcW w:w="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2,481,890</w:t>
            </w:r>
          </w:p>
        </w:tc>
        <w:tc>
          <w:tcPr>
            <w:tcW w:w="0" w:type="dxa"/>
            <w:vAlign w:val="bottom"/>
          </w:tcPr>
          <w:p>
            <w:pPr>
              <w:spacing w:after="0"/>
              <w:rPr>
                <w:sz w:val="1"/>
                <w:szCs w:val="1"/>
                <w:color w:val="auto"/>
              </w:rPr>
            </w:pPr>
          </w:p>
        </w:tc>
      </w:tr>
      <w:tr>
        <w:trPr>
          <w:trHeight w:val="251"/>
        </w:trPr>
        <w:tc>
          <w:tcPr>
            <w:tcW w:w="8360" w:type="dxa"/>
            <w:vAlign w:val="bottom"/>
          </w:tcPr>
          <w:p>
            <w:pPr>
              <w:ind w:left="40"/>
              <w:spacing w:after="0"/>
              <w:rPr>
                <w:sz w:val="20"/>
                <w:szCs w:val="20"/>
                <w:color w:val="auto"/>
              </w:rPr>
            </w:pPr>
            <w:r>
              <w:rPr>
                <w:rFonts w:ascii="Arial" w:cs="Arial" w:eastAsia="Arial" w:hAnsi="Arial"/>
                <w:sz w:val="16"/>
                <w:szCs w:val="16"/>
                <w:b w:val="1"/>
                <w:bCs w:val="1"/>
                <w:color w:val="auto"/>
              </w:rPr>
              <w:t>Income (Loss) from Operations</w:t>
            </w: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36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77,687</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95,321</w:t>
            </w:r>
          </w:p>
        </w:tc>
        <w:tc>
          <w:tcPr>
            <w:tcW w:w="0" w:type="dxa"/>
            <w:vAlign w:val="bottom"/>
          </w:tcPr>
          <w:p>
            <w:pPr>
              <w:spacing w:after="0"/>
              <w:rPr>
                <w:sz w:val="1"/>
                <w:szCs w:val="1"/>
                <w:color w:val="auto"/>
              </w:rPr>
            </w:pPr>
          </w:p>
        </w:tc>
      </w:tr>
      <w:tr>
        <w:trPr>
          <w:trHeight w:val="270"/>
        </w:trPr>
        <w:tc>
          <w:tcPr>
            <w:tcW w:w="836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340" w:type="dxa"/>
            <w:vAlign w:val="bottom"/>
          </w:tcPr>
          <w:p>
            <w:pPr>
              <w:spacing w:after="0"/>
              <w:rPr>
                <w:sz w:val="23"/>
                <w:szCs w:val="23"/>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139,258</w:t>
            </w:r>
          </w:p>
        </w:tc>
        <w:tc>
          <w:tcPr>
            <w:tcW w:w="4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202,863</w:t>
            </w:r>
          </w:p>
        </w:tc>
        <w:tc>
          <w:tcPr>
            <w:tcW w:w="0" w:type="dxa"/>
            <w:vAlign w:val="bottom"/>
          </w:tcPr>
          <w:p>
            <w:pPr>
              <w:spacing w:after="0"/>
              <w:rPr>
                <w:sz w:val="1"/>
                <w:szCs w:val="1"/>
                <w:color w:val="auto"/>
              </w:rPr>
            </w:pPr>
          </w:p>
        </w:tc>
      </w:tr>
      <w:tr>
        <w:trPr>
          <w:trHeight w:val="270"/>
        </w:trPr>
        <w:tc>
          <w:tcPr>
            <w:tcW w:w="8360" w:type="dxa"/>
            <w:vAlign w:val="bottom"/>
          </w:tcPr>
          <w:p>
            <w:pPr>
              <w:ind w:left="280"/>
              <w:spacing w:after="0"/>
              <w:rPr>
                <w:sz w:val="20"/>
                <w:szCs w:val="20"/>
                <w:color w:val="auto"/>
              </w:rPr>
            </w:pPr>
            <w:r>
              <w:rPr>
                <w:rFonts w:ascii="Arial" w:cs="Arial" w:eastAsia="Arial" w:hAnsi="Arial"/>
                <w:sz w:val="16"/>
                <w:szCs w:val="16"/>
                <w:color w:val="auto"/>
              </w:rPr>
              <w:t>Healthcare</w:t>
            </w:r>
          </w:p>
        </w:tc>
        <w:tc>
          <w:tcPr>
            <w:tcW w:w="34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(2,569)</w:t>
            </w:r>
          </w:p>
        </w:tc>
        <w:tc>
          <w:tcPr>
            <w:tcW w:w="4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2,799</w:t>
            </w:r>
          </w:p>
        </w:tc>
        <w:tc>
          <w:tcPr>
            <w:tcW w:w="0" w:type="dxa"/>
            <w:vAlign w:val="bottom"/>
          </w:tcPr>
          <w:p>
            <w:pPr>
              <w:spacing w:after="0"/>
              <w:rPr>
                <w:sz w:val="1"/>
                <w:szCs w:val="1"/>
                <w:color w:val="auto"/>
              </w:rPr>
            </w:pPr>
          </w:p>
        </w:tc>
      </w:tr>
      <w:tr>
        <w:trPr>
          <w:trHeight w:val="270"/>
        </w:trPr>
        <w:tc>
          <w:tcPr>
            <w:tcW w:w="836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34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(19,263)</w:t>
            </w:r>
          </w:p>
        </w:tc>
        <w:tc>
          <w:tcPr>
            <w:tcW w:w="4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(24,901)</w:t>
            </w:r>
          </w:p>
        </w:tc>
        <w:tc>
          <w:tcPr>
            <w:tcW w:w="0" w:type="dxa"/>
            <w:vAlign w:val="bottom"/>
          </w:tcPr>
          <w:p>
            <w:pPr>
              <w:spacing w:after="0"/>
              <w:rPr>
                <w:sz w:val="1"/>
                <w:szCs w:val="1"/>
                <w:color w:val="auto"/>
              </w:rPr>
            </w:pPr>
          </w:p>
        </w:tc>
      </w:tr>
      <w:tr>
        <w:trPr>
          <w:trHeight w:val="283"/>
        </w:trPr>
        <w:tc>
          <w:tcPr>
            <w:tcW w:w="836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(58,710)</w:t>
            </w:r>
          </w:p>
        </w:tc>
        <w:tc>
          <w:tcPr>
            <w:tcW w:w="4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(53,213)</w:t>
            </w:r>
          </w:p>
        </w:tc>
        <w:tc>
          <w:tcPr>
            <w:tcW w:w="0" w:type="dxa"/>
            <w:vAlign w:val="bottom"/>
          </w:tcPr>
          <w:p>
            <w:pPr>
              <w:spacing w:after="0"/>
              <w:rPr>
                <w:sz w:val="1"/>
                <w:szCs w:val="1"/>
                <w:color w:val="auto"/>
              </w:rPr>
            </w:pPr>
          </w:p>
        </w:tc>
      </w:tr>
      <w:tr>
        <w:trPr>
          <w:trHeight w:val="264"/>
        </w:trPr>
        <w:tc>
          <w:tcPr>
            <w:tcW w:w="8360" w:type="dxa"/>
            <w:vAlign w:val="bottom"/>
          </w:tcPr>
          <w:p>
            <w:pPr>
              <w:spacing w:after="0"/>
              <w:rPr>
                <w:sz w:val="22"/>
                <w:szCs w:val="22"/>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136,403</w:t>
            </w:r>
          </w:p>
        </w:tc>
        <w:tc>
          <w:tcPr>
            <w:tcW w:w="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222,869</w:t>
            </w:r>
          </w:p>
        </w:tc>
        <w:tc>
          <w:tcPr>
            <w:tcW w:w="0" w:type="dxa"/>
            <w:vAlign w:val="bottom"/>
          </w:tcPr>
          <w:p>
            <w:pPr>
              <w:spacing w:after="0"/>
              <w:rPr>
                <w:sz w:val="1"/>
                <w:szCs w:val="1"/>
                <w:color w:val="auto"/>
              </w:rPr>
            </w:pPr>
          </w:p>
        </w:tc>
      </w:tr>
      <w:tr>
        <w:trPr>
          <w:trHeight w:val="251"/>
        </w:trPr>
        <w:tc>
          <w:tcPr>
            <w:tcW w:w="8360" w:type="dxa"/>
            <w:vAlign w:val="bottom"/>
          </w:tcPr>
          <w:p>
            <w:pPr>
              <w:ind w:left="40"/>
              <w:spacing w:after="0"/>
              <w:rPr>
                <w:sz w:val="20"/>
                <w:szCs w:val="20"/>
                <w:color w:val="auto"/>
              </w:rPr>
            </w:pPr>
            <w:r>
              <w:rPr>
                <w:rFonts w:ascii="Arial" w:cs="Arial" w:eastAsia="Arial" w:hAnsi="Arial"/>
                <w:sz w:val="16"/>
                <w:szCs w:val="16"/>
                <w:b w:val="1"/>
                <w:bCs w:val="1"/>
                <w:color w:val="auto"/>
              </w:rPr>
              <w:t>Equity in Losses of Affiliates, Net</w:t>
            </w:r>
          </w:p>
        </w:tc>
        <w:tc>
          <w:tcPr>
            <w:tcW w:w="34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(3,249)</w:t>
            </w:r>
          </w:p>
        </w:tc>
        <w:tc>
          <w:tcPr>
            <w:tcW w:w="4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(7,937)</w:t>
            </w:r>
          </w:p>
        </w:tc>
        <w:tc>
          <w:tcPr>
            <w:tcW w:w="0" w:type="dxa"/>
            <w:vAlign w:val="bottom"/>
          </w:tcPr>
          <w:p>
            <w:pPr>
              <w:spacing w:after="0"/>
              <w:rPr>
                <w:sz w:val="1"/>
                <w:szCs w:val="1"/>
                <w:color w:val="auto"/>
              </w:rPr>
            </w:pPr>
          </w:p>
        </w:tc>
      </w:tr>
      <w:tr>
        <w:trPr>
          <w:trHeight w:val="270"/>
        </w:trPr>
        <w:tc>
          <w:tcPr>
            <w:tcW w:w="8360" w:type="dxa"/>
            <w:vAlign w:val="bottom"/>
          </w:tcPr>
          <w:p>
            <w:pPr>
              <w:ind w:left="40"/>
              <w:spacing w:after="0"/>
              <w:rPr>
                <w:sz w:val="20"/>
                <w:szCs w:val="20"/>
                <w:color w:val="auto"/>
              </w:rPr>
            </w:pPr>
            <w:r>
              <w:rPr>
                <w:rFonts w:ascii="Arial" w:cs="Arial" w:eastAsia="Arial" w:hAnsi="Arial"/>
                <w:sz w:val="16"/>
                <w:szCs w:val="16"/>
                <w:b w:val="1"/>
                <w:bCs w:val="1"/>
                <w:color w:val="auto"/>
              </w:rPr>
              <w:t>Interest Expense, Net</w:t>
            </w:r>
          </w:p>
        </w:tc>
        <w:tc>
          <w:tcPr>
            <w:tcW w:w="34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(27,305)</w:t>
            </w:r>
          </w:p>
        </w:tc>
        <w:tc>
          <w:tcPr>
            <w:tcW w:w="4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(32,297)</w:t>
            </w:r>
          </w:p>
        </w:tc>
        <w:tc>
          <w:tcPr>
            <w:tcW w:w="0" w:type="dxa"/>
            <w:vAlign w:val="bottom"/>
          </w:tcPr>
          <w:p>
            <w:pPr>
              <w:spacing w:after="0"/>
              <w:rPr>
                <w:sz w:val="1"/>
                <w:szCs w:val="1"/>
                <w:color w:val="auto"/>
              </w:rPr>
            </w:pPr>
          </w:p>
        </w:tc>
      </w:tr>
      <w:tr>
        <w:trPr>
          <w:trHeight w:val="270"/>
        </w:trPr>
        <w:tc>
          <w:tcPr>
            <w:tcW w:w="8360" w:type="dxa"/>
            <w:vAlign w:val="bottom"/>
          </w:tcPr>
          <w:p>
            <w:pPr>
              <w:ind w:left="40"/>
              <w:spacing w:after="0"/>
              <w:rPr>
                <w:sz w:val="20"/>
                <w:szCs w:val="20"/>
                <w:color w:val="auto"/>
              </w:rPr>
            </w:pPr>
            <w:r>
              <w:rPr>
                <w:rFonts w:ascii="Arial" w:cs="Arial" w:eastAsia="Arial" w:hAnsi="Arial"/>
                <w:sz w:val="16"/>
                <w:szCs w:val="16"/>
                <w:b w:val="1"/>
                <w:bCs w:val="1"/>
                <w:color w:val="auto"/>
              </w:rPr>
              <w:t>Non-Operating Pension and Postretirement Benefit Income, Net</w:t>
            </w:r>
          </w:p>
        </w:tc>
        <w:tc>
          <w:tcPr>
            <w:tcW w:w="340" w:type="dxa"/>
            <w:vAlign w:val="bottom"/>
          </w:tcPr>
          <w:p>
            <w:pPr>
              <w:spacing w:after="0"/>
              <w:rPr>
                <w:sz w:val="23"/>
                <w:szCs w:val="23"/>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72,699</w:t>
            </w:r>
          </w:p>
        </w:tc>
        <w:tc>
          <w:tcPr>
            <w:tcW w:w="4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80,665</w:t>
            </w:r>
          </w:p>
        </w:tc>
        <w:tc>
          <w:tcPr>
            <w:tcW w:w="0" w:type="dxa"/>
            <w:vAlign w:val="bottom"/>
          </w:tcPr>
          <w:p>
            <w:pPr>
              <w:spacing w:after="0"/>
              <w:rPr>
                <w:sz w:val="1"/>
                <w:szCs w:val="1"/>
                <w:color w:val="auto"/>
              </w:rPr>
            </w:pPr>
          </w:p>
        </w:tc>
      </w:tr>
      <w:tr>
        <w:trPr>
          <w:trHeight w:val="283"/>
        </w:trPr>
        <w:tc>
          <w:tcPr>
            <w:tcW w:w="8360" w:type="dxa"/>
            <w:vAlign w:val="bottom"/>
          </w:tcPr>
          <w:p>
            <w:pPr>
              <w:ind w:left="40"/>
              <w:spacing w:after="0"/>
              <w:rPr>
                <w:sz w:val="20"/>
                <w:szCs w:val="20"/>
                <w:color w:val="auto"/>
              </w:rPr>
            </w:pPr>
            <w:r>
              <w:rPr>
                <w:rFonts w:ascii="Arial" w:cs="Arial" w:eastAsia="Arial" w:hAnsi="Arial"/>
                <w:sz w:val="16"/>
                <w:szCs w:val="16"/>
                <w:b w:val="1"/>
                <w:bCs w:val="1"/>
                <w:color w:val="auto"/>
              </w:rPr>
              <w:t>Other Income (Expense), Net</w:t>
            </w: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4,241</w:t>
            </w:r>
          </w:p>
        </w:tc>
        <w:tc>
          <w:tcPr>
            <w:tcW w:w="4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(12,642)</w:t>
            </w:r>
          </w:p>
        </w:tc>
        <w:tc>
          <w:tcPr>
            <w:tcW w:w="0" w:type="dxa"/>
            <w:vAlign w:val="bottom"/>
          </w:tcPr>
          <w:p>
            <w:pPr>
              <w:spacing w:after="0"/>
              <w:rPr>
                <w:sz w:val="1"/>
                <w:szCs w:val="1"/>
                <w:color w:val="auto"/>
              </w:rPr>
            </w:pPr>
          </w:p>
        </w:tc>
      </w:tr>
      <w:tr>
        <w:trPr>
          <w:trHeight w:val="264"/>
        </w:trPr>
        <w:tc>
          <w:tcPr>
            <w:tcW w:w="8360" w:type="dxa"/>
            <w:vAlign w:val="bottom"/>
          </w:tcPr>
          <w:p>
            <w:pPr>
              <w:ind w:left="40"/>
              <w:spacing w:after="0"/>
              <w:rPr>
                <w:sz w:val="20"/>
                <w:szCs w:val="20"/>
                <w:color w:val="auto"/>
              </w:rPr>
            </w:pPr>
            <w:r>
              <w:rPr>
                <w:rFonts w:ascii="Arial" w:cs="Arial" w:eastAsia="Arial" w:hAnsi="Arial"/>
                <w:sz w:val="16"/>
                <w:szCs w:val="16"/>
                <w:b w:val="1"/>
                <w:bCs w:val="1"/>
                <w:color w:val="auto"/>
              </w:rPr>
              <w:t>Income Before Income Taxes</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182,789</w:t>
            </w:r>
          </w:p>
        </w:tc>
        <w:tc>
          <w:tcPr>
            <w:tcW w:w="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250,658</w:t>
            </w:r>
          </w:p>
        </w:tc>
        <w:tc>
          <w:tcPr>
            <w:tcW w:w="0" w:type="dxa"/>
            <w:vAlign w:val="bottom"/>
          </w:tcPr>
          <w:p>
            <w:pPr>
              <w:spacing w:after="0"/>
              <w:rPr>
                <w:sz w:val="1"/>
                <w:szCs w:val="1"/>
                <w:color w:val="auto"/>
              </w:rPr>
            </w:pPr>
          </w:p>
        </w:tc>
      </w:tr>
      <w:tr>
        <w:trPr>
          <w:trHeight w:val="20"/>
        </w:trPr>
        <w:tc>
          <w:tcPr>
            <w:tcW w:w="83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Depreciation of Property, Plant and Equipment</w:t>
            </w: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36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36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32,906</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41,187</w:t>
            </w:r>
          </w:p>
        </w:tc>
        <w:tc>
          <w:tcPr>
            <w:tcW w:w="0" w:type="dxa"/>
            <w:vAlign w:val="bottom"/>
          </w:tcPr>
          <w:p>
            <w:pPr>
              <w:spacing w:after="0"/>
              <w:rPr>
                <w:sz w:val="1"/>
                <w:szCs w:val="1"/>
                <w:color w:val="auto"/>
              </w:rPr>
            </w:pPr>
          </w:p>
        </w:tc>
      </w:tr>
      <w:tr>
        <w:trPr>
          <w:trHeight w:val="270"/>
        </w:trPr>
        <w:tc>
          <w:tcPr>
            <w:tcW w:w="836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340" w:type="dxa"/>
            <w:vAlign w:val="bottom"/>
          </w:tcPr>
          <w:p>
            <w:pPr>
              <w:spacing w:after="0"/>
              <w:rPr>
                <w:sz w:val="23"/>
                <w:szCs w:val="23"/>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12,179</w:t>
            </w:r>
          </w:p>
        </w:tc>
        <w:tc>
          <w:tcPr>
            <w:tcW w:w="4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9,942</w:t>
            </w:r>
          </w:p>
        </w:tc>
        <w:tc>
          <w:tcPr>
            <w:tcW w:w="0" w:type="dxa"/>
            <w:vAlign w:val="bottom"/>
          </w:tcPr>
          <w:p>
            <w:pPr>
              <w:spacing w:after="0"/>
              <w:rPr>
                <w:sz w:val="1"/>
                <w:szCs w:val="1"/>
                <w:color w:val="auto"/>
              </w:rPr>
            </w:pPr>
          </w:p>
        </w:tc>
      </w:tr>
      <w:tr>
        <w:trPr>
          <w:trHeight w:val="270"/>
        </w:trPr>
        <w:tc>
          <w:tcPr>
            <w:tcW w:w="8360" w:type="dxa"/>
            <w:vAlign w:val="bottom"/>
          </w:tcPr>
          <w:p>
            <w:pPr>
              <w:ind w:left="280"/>
              <w:spacing w:after="0"/>
              <w:rPr>
                <w:sz w:val="20"/>
                <w:szCs w:val="20"/>
                <w:color w:val="auto"/>
              </w:rPr>
            </w:pPr>
            <w:r>
              <w:rPr>
                <w:rFonts w:ascii="Arial" w:cs="Arial" w:eastAsia="Arial" w:hAnsi="Arial"/>
                <w:sz w:val="16"/>
                <w:szCs w:val="16"/>
                <w:color w:val="auto"/>
              </w:rPr>
              <w:t>Healthcare</w:t>
            </w:r>
          </w:p>
        </w:tc>
        <w:tc>
          <w:tcPr>
            <w:tcW w:w="340" w:type="dxa"/>
            <w:vAlign w:val="bottom"/>
          </w:tcPr>
          <w:p>
            <w:pPr>
              <w:spacing w:after="0"/>
              <w:rPr>
                <w:sz w:val="23"/>
                <w:szCs w:val="23"/>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4,583</w:t>
            </w:r>
          </w:p>
        </w:tc>
        <w:tc>
          <w:tcPr>
            <w:tcW w:w="4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2,805</w:t>
            </w:r>
          </w:p>
        </w:tc>
        <w:tc>
          <w:tcPr>
            <w:tcW w:w="0" w:type="dxa"/>
            <w:vAlign w:val="bottom"/>
          </w:tcPr>
          <w:p>
            <w:pPr>
              <w:spacing w:after="0"/>
              <w:rPr>
                <w:sz w:val="1"/>
                <w:szCs w:val="1"/>
                <w:color w:val="auto"/>
              </w:rPr>
            </w:pPr>
          </w:p>
        </w:tc>
      </w:tr>
      <w:tr>
        <w:trPr>
          <w:trHeight w:val="270"/>
        </w:trPr>
        <w:tc>
          <w:tcPr>
            <w:tcW w:w="836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340" w:type="dxa"/>
            <w:vAlign w:val="bottom"/>
          </w:tcPr>
          <w:p>
            <w:pPr>
              <w:spacing w:after="0"/>
              <w:rPr>
                <w:sz w:val="23"/>
                <w:szCs w:val="23"/>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11,723</w:t>
            </w:r>
          </w:p>
        </w:tc>
        <w:tc>
          <w:tcPr>
            <w:tcW w:w="4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9,570</w:t>
            </w:r>
          </w:p>
        </w:tc>
        <w:tc>
          <w:tcPr>
            <w:tcW w:w="0" w:type="dxa"/>
            <w:vAlign w:val="bottom"/>
          </w:tcPr>
          <w:p>
            <w:pPr>
              <w:spacing w:after="0"/>
              <w:rPr>
                <w:sz w:val="1"/>
                <w:szCs w:val="1"/>
                <w:color w:val="auto"/>
              </w:rPr>
            </w:pPr>
          </w:p>
        </w:tc>
      </w:tr>
      <w:tr>
        <w:trPr>
          <w:trHeight w:val="283"/>
        </w:trPr>
        <w:tc>
          <w:tcPr>
            <w:tcW w:w="836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1,118</w:t>
            </w:r>
          </w:p>
        </w:tc>
        <w:tc>
          <w:tcPr>
            <w:tcW w:w="4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1,116</w:t>
            </w:r>
          </w:p>
        </w:tc>
        <w:tc>
          <w:tcPr>
            <w:tcW w:w="0" w:type="dxa"/>
            <w:vAlign w:val="bottom"/>
          </w:tcPr>
          <w:p>
            <w:pPr>
              <w:spacing w:after="0"/>
              <w:rPr>
                <w:sz w:val="1"/>
                <w:szCs w:val="1"/>
                <w:color w:val="auto"/>
              </w:rPr>
            </w:pPr>
          </w:p>
        </w:tc>
      </w:tr>
      <w:tr>
        <w:trPr>
          <w:trHeight w:val="264"/>
        </w:trPr>
        <w:tc>
          <w:tcPr>
            <w:tcW w:w="8360" w:type="dxa"/>
            <w:vAlign w:val="bottom"/>
          </w:tcPr>
          <w:p>
            <w:pPr>
              <w:spacing w:after="0"/>
              <w:rPr>
                <w:sz w:val="22"/>
                <w:szCs w:val="22"/>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62,509</w:t>
            </w:r>
          </w:p>
        </w:tc>
        <w:tc>
          <w:tcPr>
            <w:tcW w:w="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64,620</w:t>
            </w:r>
          </w:p>
        </w:tc>
        <w:tc>
          <w:tcPr>
            <w:tcW w:w="0" w:type="dxa"/>
            <w:vAlign w:val="bottom"/>
          </w:tcPr>
          <w:p>
            <w:pPr>
              <w:spacing w:after="0"/>
              <w:rPr>
                <w:sz w:val="1"/>
                <w:szCs w:val="1"/>
                <w:color w:val="auto"/>
              </w:rPr>
            </w:pPr>
          </w:p>
        </w:tc>
      </w:tr>
      <w:tr>
        <w:trPr>
          <w:trHeight w:val="251"/>
        </w:trPr>
        <w:tc>
          <w:tcPr>
            <w:tcW w:w="8360" w:type="dxa"/>
            <w:vAlign w:val="bottom"/>
          </w:tcPr>
          <w:p>
            <w:pPr>
              <w:ind w:left="40"/>
              <w:spacing w:after="0"/>
              <w:rPr>
                <w:sz w:val="20"/>
                <w:szCs w:val="20"/>
                <w:color w:val="auto"/>
              </w:rPr>
            </w:pPr>
            <w:r>
              <w:rPr>
                <w:rFonts w:ascii="Arial" w:cs="Arial" w:eastAsia="Arial" w:hAnsi="Arial"/>
                <w:sz w:val="16"/>
                <w:szCs w:val="16"/>
                <w:b w:val="1"/>
                <w:bCs w:val="1"/>
                <w:color w:val="auto"/>
              </w:rPr>
              <w:t>Amortization of Intangible Assets and Impairment of Goodwill and Other Long-Lived Assets</w:t>
            </w: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36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5,162</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7,516</w:t>
            </w:r>
          </w:p>
        </w:tc>
        <w:tc>
          <w:tcPr>
            <w:tcW w:w="0" w:type="dxa"/>
            <w:vAlign w:val="bottom"/>
          </w:tcPr>
          <w:p>
            <w:pPr>
              <w:spacing w:after="0"/>
              <w:rPr>
                <w:sz w:val="1"/>
                <w:szCs w:val="1"/>
                <w:color w:val="auto"/>
              </w:rPr>
            </w:pPr>
          </w:p>
        </w:tc>
      </w:tr>
      <w:tr>
        <w:trPr>
          <w:trHeight w:val="270"/>
        </w:trPr>
        <w:tc>
          <w:tcPr>
            <w:tcW w:w="836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340" w:type="dxa"/>
            <w:vAlign w:val="bottom"/>
          </w:tcPr>
          <w:p>
            <w:pPr>
              <w:spacing w:after="0"/>
              <w:rPr>
                <w:sz w:val="23"/>
                <w:szCs w:val="23"/>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6,349</w:t>
            </w:r>
          </w:p>
        </w:tc>
        <w:tc>
          <w:tcPr>
            <w:tcW w:w="4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251</w:t>
            </w:r>
          </w:p>
        </w:tc>
        <w:tc>
          <w:tcPr>
            <w:tcW w:w="0" w:type="dxa"/>
            <w:vAlign w:val="bottom"/>
          </w:tcPr>
          <w:p>
            <w:pPr>
              <w:spacing w:after="0"/>
              <w:rPr>
                <w:sz w:val="1"/>
                <w:szCs w:val="1"/>
                <w:color w:val="auto"/>
              </w:rPr>
            </w:pPr>
          </w:p>
        </w:tc>
      </w:tr>
      <w:tr>
        <w:trPr>
          <w:trHeight w:val="270"/>
        </w:trPr>
        <w:tc>
          <w:tcPr>
            <w:tcW w:w="8360" w:type="dxa"/>
            <w:vAlign w:val="bottom"/>
          </w:tcPr>
          <w:p>
            <w:pPr>
              <w:ind w:left="280"/>
              <w:spacing w:after="0"/>
              <w:rPr>
                <w:sz w:val="20"/>
                <w:szCs w:val="20"/>
                <w:color w:val="auto"/>
              </w:rPr>
            </w:pPr>
            <w:r>
              <w:rPr>
                <w:rFonts w:ascii="Arial" w:cs="Arial" w:eastAsia="Arial" w:hAnsi="Arial"/>
                <w:sz w:val="16"/>
                <w:szCs w:val="16"/>
                <w:color w:val="auto"/>
              </w:rPr>
              <w:t>Healthcare</w:t>
            </w:r>
          </w:p>
        </w:tc>
        <w:tc>
          <w:tcPr>
            <w:tcW w:w="340" w:type="dxa"/>
            <w:vAlign w:val="bottom"/>
          </w:tcPr>
          <w:p>
            <w:pPr>
              <w:spacing w:after="0"/>
              <w:rPr>
                <w:sz w:val="23"/>
                <w:szCs w:val="23"/>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7,905</w:t>
            </w:r>
          </w:p>
        </w:tc>
        <w:tc>
          <w:tcPr>
            <w:tcW w:w="4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6,701</w:t>
            </w:r>
          </w:p>
        </w:tc>
        <w:tc>
          <w:tcPr>
            <w:tcW w:w="0" w:type="dxa"/>
            <w:vAlign w:val="bottom"/>
          </w:tcPr>
          <w:p>
            <w:pPr>
              <w:spacing w:after="0"/>
              <w:rPr>
                <w:sz w:val="1"/>
                <w:szCs w:val="1"/>
                <w:color w:val="auto"/>
              </w:rPr>
            </w:pPr>
          </w:p>
        </w:tc>
      </w:tr>
      <w:tr>
        <w:trPr>
          <w:trHeight w:val="270"/>
        </w:trPr>
        <w:tc>
          <w:tcPr>
            <w:tcW w:w="836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340" w:type="dxa"/>
            <w:vAlign w:val="bottom"/>
          </w:tcPr>
          <w:p>
            <w:pPr>
              <w:spacing w:after="0"/>
              <w:rPr>
                <w:sz w:val="23"/>
                <w:szCs w:val="23"/>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31,385</w:t>
            </w:r>
          </w:p>
        </w:tc>
        <w:tc>
          <w:tcPr>
            <w:tcW w:w="4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13,806</w:t>
            </w:r>
          </w:p>
        </w:tc>
        <w:tc>
          <w:tcPr>
            <w:tcW w:w="0" w:type="dxa"/>
            <w:vAlign w:val="bottom"/>
          </w:tcPr>
          <w:p>
            <w:pPr>
              <w:spacing w:after="0"/>
              <w:rPr>
                <w:sz w:val="1"/>
                <w:szCs w:val="1"/>
                <w:color w:val="auto"/>
              </w:rPr>
            </w:pPr>
          </w:p>
        </w:tc>
      </w:tr>
      <w:tr>
        <w:trPr>
          <w:trHeight w:val="283"/>
        </w:trPr>
        <w:tc>
          <w:tcPr>
            <w:tcW w:w="836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8360" w:type="dxa"/>
            <w:vAlign w:val="bottom"/>
          </w:tcPr>
          <w:p>
            <w:pPr>
              <w:spacing w:after="0"/>
              <w:rPr>
                <w:sz w:val="22"/>
                <w:szCs w:val="22"/>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50,801</w:t>
            </w:r>
          </w:p>
        </w:tc>
        <w:tc>
          <w:tcPr>
            <w:tcW w:w="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28,274</w:t>
            </w:r>
          </w:p>
        </w:tc>
        <w:tc>
          <w:tcPr>
            <w:tcW w:w="0" w:type="dxa"/>
            <w:vAlign w:val="bottom"/>
          </w:tcPr>
          <w:p>
            <w:pPr>
              <w:spacing w:after="0"/>
              <w:rPr>
                <w:sz w:val="1"/>
                <w:szCs w:val="1"/>
                <w:color w:val="auto"/>
              </w:rPr>
            </w:pPr>
          </w:p>
        </w:tc>
      </w:tr>
      <w:tr>
        <w:trPr>
          <w:trHeight w:val="251"/>
        </w:trPr>
        <w:tc>
          <w:tcPr>
            <w:tcW w:w="8360" w:type="dxa"/>
            <w:vAlign w:val="bottom"/>
          </w:tcPr>
          <w:p>
            <w:pPr>
              <w:ind w:left="40"/>
              <w:spacing w:after="0"/>
              <w:rPr>
                <w:sz w:val="20"/>
                <w:szCs w:val="20"/>
                <w:color w:val="auto"/>
              </w:rPr>
            </w:pPr>
            <w:r>
              <w:rPr>
                <w:rFonts w:ascii="Arial" w:cs="Arial" w:eastAsia="Arial" w:hAnsi="Arial"/>
                <w:sz w:val="16"/>
                <w:szCs w:val="16"/>
                <w:b w:val="1"/>
                <w:bCs w:val="1"/>
                <w:color w:val="auto"/>
              </w:rPr>
              <w:t>Pension Expense</w:t>
            </w: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36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9,720</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11,803</w:t>
            </w:r>
          </w:p>
        </w:tc>
        <w:tc>
          <w:tcPr>
            <w:tcW w:w="0" w:type="dxa"/>
            <w:vAlign w:val="bottom"/>
          </w:tcPr>
          <w:p>
            <w:pPr>
              <w:spacing w:after="0"/>
              <w:rPr>
                <w:sz w:val="1"/>
                <w:szCs w:val="1"/>
                <w:color w:val="auto"/>
              </w:rPr>
            </w:pPr>
          </w:p>
        </w:tc>
      </w:tr>
      <w:tr>
        <w:trPr>
          <w:trHeight w:val="270"/>
        </w:trPr>
        <w:tc>
          <w:tcPr>
            <w:tcW w:w="836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340" w:type="dxa"/>
            <w:vAlign w:val="bottom"/>
          </w:tcPr>
          <w:p>
            <w:pPr>
              <w:spacing w:after="0"/>
              <w:rPr>
                <w:sz w:val="23"/>
                <w:szCs w:val="23"/>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1,942</w:t>
            </w:r>
          </w:p>
        </w:tc>
        <w:tc>
          <w:tcPr>
            <w:tcW w:w="4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1,714</w:t>
            </w:r>
          </w:p>
        </w:tc>
        <w:tc>
          <w:tcPr>
            <w:tcW w:w="0" w:type="dxa"/>
            <w:vAlign w:val="bottom"/>
          </w:tcPr>
          <w:p>
            <w:pPr>
              <w:spacing w:after="0"/>
              <w:rPr>
                <w:sz w:val="1"/>
                <w:szCs w:val="1"/>
                <w:color w:val="auto"/>
              </w:rPr>
            </w:pPr>
          </w:p>
        </w:tc>
      </w:tr>
      <w:tr>
        <w:trPr>
          <w:trHeight w:val="270"/>
        </w:trPr>
        <w:tc>
          <w:tcPr>
            <w:tcW w:w="8360" w:type="dxa"/>
            <w:vAlign w:val="bottom"/>
          </w:tcPr>
          <w:p>
            <w:pPr>
              <w:ind w:left="280"/>
              <w:spacing w:after="0"/>
              <w:rPr>
                <w:sz w:val="20"/>
                <w:szCs w:val="20"/>
                <w:color w:val="auto"/>
              </w:rPr>
            </w:pPr>
            <w:r>
              <w:rPr>
                <w:rFonts w:ascii="Arial" w:cs="Arial" w:eastAsia="Arial" w:hAnsi="Arial"/>
                <w:sz w:val="16"/>
                <w:szCs w:val="16"/>
                <w:color w:val="auto"/>
              </w:rPr>
              <w:t>Healthcare</w:t>
            </w:r>
          </w:p>
        </w:tc>
        <w:tc>
          <w:tcPr>
            <w:tcW w:w="340" w:type="dxa"/>
            <w:vAlign w:val="bottom"/>
          </w:tcPr>
          <w:p>
            <w:pPr>
              <w:spacing w:after="0"/>
              <w:rPr>
                <w:sz w:val="23"/>
                <w:szCs w:val="23"/>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665</w:t>
            </w:r>
          </w:p>
        </w:tc>
        <w:tc>
          <w:tcPr>
            <w:tcW w:w="4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836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340" w:type="dxa"/>
            <w:vAlign w:val="bottom"/>
          </w:tcPr>
          <w:p>
            <w:pPr>
              <w:spacing w:after="0"/>
              <w:rPr>
                <w:sz w:val="23"/>
                <w:szCs w:val="23"/>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1,125</w:t>
            </w:r>
          </w:p>
        </w:tc>
        <w:tc>
          <w:tcPr>
            <w:tcW w:w="4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1,118</w:t>
            </w:r>
          </w:p>
        </w:tc>
        <w:tc>
          <w:tcPr>
            <w:tcW w:w="0" w:type="dxa"/>
            <w:vAlign w:val="bottom"/>
          </w:tcPr>
          <w:p>
            <w:pPr>
              <w:spacing w:after="0"/>
              <w:rPr>
                <w:sz w:val="1"/>
                <w:szCs w:val="1"/>
                <w:color w:val="auto"/>
              </w:rPr>
            </w:pPr>
          </w:p>
        </w:tc>
      </w:tr>
      <w:tr>
        <w:trPr>
          <w:trHeight w:val="283"/>
        </w:trPr>
        <w:tc>
          <w:tcPr>
            <w:tcW w:w="836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5,235</w:t>
            </w:r>
          </w:p>
        </w:tc>
        <w:tc>
          <w:tcPr>
            <w:tcW w:w="4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5,826</w:t>
            </w:r>
          </w:p>
        </w:tc>
        <w:tc>
          <w:tcPr>
            <w:tcW w:w="0" w:type="dxa"/>
            <w:vAlign w:val="bottom"/>
          </w:tcPr>
          <w:p>
            <w:pPr>
              <w:spacing w:after="0"/>
              <w:rPr>
                <w:sz w:val="1"/>
                <w:szCs w:val="1"/>
                <w:color w:val="auto"/>
              </w:rPr>
            </w:pPr>
          </w:p>
        </w:tc>
      </w:tr>
      <w:tr>
        <w:trPr>
          <w:trHeight w:val="264"/>
        </w:trPr>
        <w:tc>
          <w:tcPr>
            <w:tcW w:w="8360" w:type="dxa"/>
            <w:vAlign w:val="bottom"/>
          </w:tcPr>
          <w:p>
            <w:pPr>
              <w:spacing w:after="0"/>
              <w:rPr>
                <w:sz w:val="22"/>
                <w:szCs w:val="22"/>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18,687</w:t>
            </w:r>
          </w:p>
        </w:tc>
        <w:tc>
          <w:tcPr>
            <w:tcW w:w="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20,461</w:t>
            </w: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Asset information for the Company’s business segments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260" w:type="dxa"/>
            <w:vAlign w:val="bottom"/>
            <w:tcBorders>
              <w:bottom w:val="single" w:sz="8" w:color="auto"/>
            </w:tcBorders>
          </w:tcPr>
          <w:p>
            <w:pPr>
              <w:spacing w:after="0"/>
              <w:rPr>
                <w:sz w:val="17"/>
                <w:szCs w:val="17"/>
                <w:color w:val="auto"/>
              </w:rPr>
            </w:pPr>
          </w:p>
        </w:tc>
      </w:tr>
      <w:tr>
        <w:trPr>
          <w:trHeight w:val="258"/>
        </w:trPr>
        <w:tc>
          <w:tcPr>
            <w:tcW w:w="8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60" w:type="dxa"/>
            <w:vAlign w:val="bottom"/>
          </w:tcPr>
          <w:p>
            <w:pPr>
              <w:jc w:val="right"/>
              <w:ind w:right="361"/>
              <w:spacing w:after="0"/>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22"/>
                <w:szCs w:val="22"/>
                <w:color w:val="auto"/>
              </w:rPr>
            </w:pPr>
          </w:p>
        </w:tc>
        <w:tc>
          <w:tcPr>
            <w:tcW w:w="1260" w:type="dxa"/>
            <w:vAlign w:val="bottom"/>
          </w:tcPr>
          <w:p>
            <w:pPr>
              <w:jc w:val="right"/>
              <w:ind w:right="201"/>
              <w:spacing w:after="0"/>
              <w:rPr>
                <w:sz w:val="20"/>
                <w:szCs w:val="20"/>
                <w:color w:val="auto"/>
              </w:rPr>
            </w:pPr>
            <w:r>
              <w:rPr>
                <w:rFonts w:ascii="Arial" w:cs="Arial" w:eastAsia="Arial" w:hAnsi="Arial"/>
                <w:sz w:val="14"/>
                <w:szCs w:val="14"/>
                <w:color w:val="auto"/>
              </w:rPr>
              <w:t>December 31,</w:t>
            </w:r>
          </w:p>
        </w:tc>
      </w:tr>
      <w:tr>
        <w:trPr>
          <w:trHeight w:val="276"/>
        </w:trPr>
        <w:tc>
          <w:tcPr>
            <w:tcW w:w="83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color w:val="auto"/>
              </w:rPr>
              <w:t>2017</w:t>
            </w:r>
          </w:p>
        </w:tc>
      </w:tr>
      <w:tr>
        <w:trPr>
          <w:trHeight w:val="223"/>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Identifiable Assets</w:t>
            </w: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97"/>
        </w:trPr>
        <w:tc>
          <w:tcPr>
            <w:tcW w:w="834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260" w:type="dxa"/>
            <w:vAlign w:val="bottom"/>
          </w:tcPr>
          <w:p>
            <w:pPr>
              <w:jc w:val="right"/>
              <w:ind w:right="41"/>
              <w:spacing w:after="0"/>
              <w:rPr>
                <w:sz w:val="20"/>
                <w:szCs w:val="20"/>
                <w:color w:val="auto"/>
              </w:rPr>
            </w:pPr>
            <w:r>
              <w:rPr>
                <w:rFonts w:ascii="Arial" w:cs="Arial" w:eastAsia="Arial" w:hAnsi="Arial"/>
                <w:sz w:val="16"/>
                <w:szCs w:val="16"/>
                <w:b w:val="1"/>
                <w:bCs w:val="1"/>
                <w:color w:val="auto"/>
              </w:rPr>
              <w:t>1,577,217</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1,592,097</w:t>
            </w:r>
          </w:p>
        </w:tc>
      </w:tr>
      <w:tr>
        <w:trPr>
          <w:trHeight w:val="270"/>
        </w:trPr>
        <w:tc>
          <w:tcPr>
            <w:tcW w:w="834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260" w:type="dxa"/>
            <w:vAlign w:val="bottom"/>
          </w:tcPr>
          <w:p>
            <w:pPr>
              <w:spacing w:after="0"/>
              <w:rPr>
                <w:sz w:val="23"/>
                <w:szCs w:val="23"/>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b w:val="1"/>
                <w:bCs w:val="1"/>
                <w:color w:val="auto"/>
              </w:rPr>
              <w:t>451,070</w:t>
            </w:r>
          </w:p>
        </w:tc>
        <w:tc>
          <w:tcPr>
            <w:tcW w:w="300" w:type="dxa"/>
            <w:vAlign w:val="bottom"/>
          </w:tcPr>
          <w:p>
            <w:pPr>
              <w:spacing w:after="0"/>
              <w:rPr>
                <w:sz w:val="23"/>
                <w:szCs w:val="23"/>
                <w:color w:val="auto"/>
              </w:rPr>
            </w:pP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455,884</w:t>
            </w:r>
          </w:p>
        </w:tc>
      </w:tr>
      <w:tr>
        <w:trPr>
          <w:trHeight w:val="270"/>
        </w:trPr>
        <w:tc>
          <w:tcPr>
            <w:tcW w:w="8340" w:type="dxa"/>
            <w:vAlign w:val="bottom"/>
          </w:tcPr>
          <w:p>
            <w:pPr>
              <w:ind w:left="280"/>
              <w:spacing w:after="0"/>
              <w:rPr>
                <w:sz w:val="20"/>
                <w:szCs w:val="20"/>
                <w:color w:val="auto"/>
              </w:rPr>
            </w:pPr>
            <w:r>
              <w:rPr>
                <w:rFonts w:ascii="Arial" w:cs="Arial" w:eastAsia="Arial" w:hAnsi="Arial"/>
                <w:sz w:val="16"/>
                <w:szCs w:val="16"/>
                <w:color w:val="auto"/>
              </w:rPr>
              <w:t>Healthcare</w:t>
            </w:r>
          </w:p>
        </w:tc>
        <w:tc>
          <w:tcPr>
            <w:tcW w:w="260" w:type="dxa"/>
            <w:vAlign w:val="bottom"/>
          </w:tcPr>
          <w:p>
            <w:pPr>
              <w:spacing w:after="0"/>
              <w:rPr>
                <w:sz w:val="23"/>
                <w:szCs w:val="23"/>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b w:val="1"/>
                <w:bCs w:val="1"/>
                <w:color w:val="auto"/>
              </w:rPr>
              <w:t>125,041</w:t>
            </w:r>
          </w:p>
        </w:tc>
        <w:tc>
          <w:tcPr>
            <w:tcW w:w="300" w:type="dxa"/>
            <w:vAlign w:val="bottom"/>
          </w:tcPr>
          <w:p>
            <w:pPr>
              <w:spacing w:after="0"/>
              <w:rPr>
                <w:sz w:val="23"/>
                <w:szCs w:val="23"/>
                <w:color w:val="auto"/>
              </w:rPr>
            </w:pP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129,856</w:t>
            </w:r>
          </w:p>
        </w:tc>
      </w:tr>
      <w:tr>
        <w:trPr>
          <w:trHeight w:val="270"/>
        </w:trPr>
        <w:tc>
          <w:tcPr>
            <w:tcW w:w="834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260" w:type="dxa"/>
            <w:vAlign w:val="bottom"/>
          </w:tcPr>
          <w:p>
            <w:pPr>
              <w:spacing w:after="0"/>
              <w:rPr>
                <w:sz w:val="23"/>
                <w:szCs w:val="23"/>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b w:val="1"/>
                <w:bCs w:val="1"/>
                <w:color w:val="auto"/>
              </w:rPr>
              <w:t>789,771</w:t>
            </w:r>
          </w:p>
        </w:tc>
        <w:tc>
          <w:tcPr>
            <w:tcW w:w="300" w:type="dxa"/>
            <w:vAlign w:val="bottom"/>
          </w:tcPr>
          <w:p>
            <w:pPr>
              <w:spacing w:after="0"/>
              <w:rPr>
                <w:sz w:val="23"/>
                <w:szCs w:val="23"/>
                <w:color w:val="auto"/>
              </w:rPr>
            </w:pP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855,399</w:t>
            </w:r>
          </w:p>
        </w:tc>
      </w:tr>
      <w:tr>
        <w:trPr>
          <w:trHeight w:val="283"/>
        </w:trPr>
        <w:tc>
          <w:tcPr>
            <w:tcW w:w="834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2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140,396</w:t>
            </w:r>
          </w:p>
        </w:tc>
        <w:tc>
          <w:tcPr>
            <w:tcW w:w="3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182,905</w:t>
            </w:r>
          </w:p>
        </w:tc>
      </w:tr>
      <w:tr>
        <w:trPr>
          <w:trHeight w:val="264"/>
        </w:trPr>
        <w:tc>
          <w:tcPr>
            <w:tcW w:w="8340" w:type="dxa"/>
            <w:vAlign w:val="bottom"/>
          </w:tcPr>
          <w:p>
            <w:pPr>
              <w:spacing w:after="0"/>
              <w:rPr>
                <w:sz w:val="22"/>
                <w:szCs w:val="22"/>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3,083,495</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3,216,141</w:t>
            </w:r>
          </w:p>
        </w:tc>
      </w:tr>
      <w:tr>
        <w:trPr>
          <w:trHeight w:val="251"/>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Investments in Marketable Equity Securities</w:t>
            </w:r>
          </w:p>
        </w:tc>
        <w:tc>
          <w:tcPr>
            <w:tcW w:w="260" w:type="dxa"/>
            <w:vAlign w:val="bottom"/>
          </w:tcPr>
          <w:p>
            <w:pPr>
              <w:spacing w:after="0"/>
              <w:rPr>
                <w:sz w:val="21"/>
                <w:szCs w:val="21"/>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b w:val="1"/>
                <w:bCs w:val="1"/>
                <w:color w:val="auto"/>
              </w:rPr>
              <w:t>471,703</w:t>
            </w:r>
          </w:p>
        </w:tc>
        <w:tc>
          <w:tcPr>
            <w:tcW w:w="300" w:type="dxa"/>
            <w:vAlign w:val="bottom"/>
          </w:tcPr>
          <w:p>
            <w:pPr>
              <w:spacing w:after="0"/>
              <w:rPr>
                <w:sz w:val="21"/>
                <w:szCs w:val="21"/>
                <w:color w:val="auto"/>
              </w:rPr>
            </w:pP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536,315</w:t>
            </w:r>
          </w:p>
        </w:tc>
      </w:tr>
      <w:tr>
        <w:trPr>
          <w:trHeight w:val="270"/>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Investments in Affiliates</w:t>
            </w:r>
          </w:p>
        </w:tc>
        <w:tc>
          <w:tcPr>
            <w:tcW w:w="260" w:type="dxa"/>
            <w:vAlign w:val="bottom"/>
          </w:tcPr>
          <w:p>
            <w:pPr>
              <w:spacing w:after="0"/>
              <w:rPr>
                <w:sz w:val="23"/>
                <w:szCs w:val="23"/>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b w:val="1"/>
                <w:bCs w:val="1"/>
                <w:color w:val="auto"/>
              </w:rPr>
              <w:t>131,887</w:t>
            </w:r>
          </w:p>
        </w:tc>
        <w:tc>
          <w:tcPr>
            <w:tcW w:w="300" w:type="dxa"/>
            <w:vAlign w:val="bottom"/>
          </w:tcPr>
          <w:p>
            <w:pPr>
              <w:spacing w:after="0"/>
              <w:rPr>
                <w:sz w:val="23"/>
                <w:szCs w:val="23"/>
                <w:color w:val="auto"/>
              </w:rPr>
            </w:pP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128,590</w:t>
            </w:r>
          </w:p>
        </w:tc>
      </w:tr>
      <w:tr>
        <w:trPr>
          <w:trHeight w:val="283"/>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Prepaid Pension Cost</w:t>
            </w:r>
          </w:p>
        </w:tc>
        <w:tc>
          <w:tcPr>
            <w:tcW w:w="2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1,073,873</w:t>
            </w:r>
          </w:p>
        </w:tc>
        <w:tc>
          <w:tcPr>
            <w:tcW w:w="3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1,056,777</w:t>
            </w:r>
          </w:p>
        </w:tc>
      </w:tr>
    </w:tbl>
    <w:p>
      <w:pPr>
        <w:sectPr>
          <w:pgSz w:w="11900" w:h="16870" w:orient="portrait"/>
          <w:cols w:equalWidth="0" w:num="1">
            <w:col w:w="11420"/>
          </w:cols>
          <w:pgMar w:left="240" w:top="719" w:right="239" w:bottom="0" w:gutter="0" w:footer="0" w:header="0"/>
        </w:sectPr>
      </w:pPr>
    </w:p>
    <w:bookmarkStart w:id="28" w:name="page29"/>
    <w:bookmarkEnd w:id="28"/>
    <w:p>
      <w:pPr>
        <w:spacing w:after="0"/>
        <w:tabs>
          <w:tab w:leader="none" w:pos="8300" w:val="left"/>
          <w:tab w:leader="none" w:pos="8960" w:val="left"/>
          <w:tab w:leader="none" w:pos="9920" w:val="left"/>
          <w:tab w:leader="none" w:pos="10540" w:val="left"/>
        </w:tabs>
        <w:rPr>
          <w:sz w:val="20"/>
          <w:szCs w:val="20"/>
          <w:color w:val="auto"/>
        </w:rPr>
      </w:pPr>
      <w:r>
        <w:rPr>
          <w:rFonts w:ascii="Arial" w:cs="Arial" w:eastAsia="Arial" w:hAnsi="Arial"/>
          <w:sz w:val="16"/>
          <w:szCs w:val="16"/>
          <w:b w:val="1"/>
          <w:bCs w:val="1"/>
          <w:color w:val="auto"/>
        </w:rPr>
        <w:t>Total Assets</w:t>
      </w:r>
      <w:r>
        <w:rPr>
          <w:sz w:val="20"/>
          <w:szCs w:val="20"/>
          <w:color w:val="auto"/>
        </w:rPr>
        <w:tab/>
      </w: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b w:val="1"/>
          <w:bCs w:val="1"/>
          <w:color w:val="auto"/>
        </w:rPr>
        <w:t>4,760,958</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4,937,823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5271135</wp:posOffset>
            </wp:positionH>
            <wp:positionV relativeFrom="paragraph">
              <wp:posOffset>48895</wp:posOffset>
            </wp:positionV>
            <wp:extent cx="195516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955165" cy="8890"/>
                    </a:xfrm>
                    <a:prstGeom prst="rect">
                      <a:avLst/>
                    </a:prstGeom>
                    <a:noFill/>
                  </pic:spPr>
                </pic:pic>
              </a:graphicData>
            </a:graphic>
          </wp:anchor>
        </w:drawing>
        <w:drawing>
          <wp:anchor simplePos="0" relativeHeight="251657728" behindDoc="1" locked="0" layoutInCell="0" allowOverlap="1">
            <wp:simplePos x="0" y="0"/>
            <wp:positionH relativeFrom="column">
              <wp:posOffset>5271135</wp:posOffset>
            </wp:positionH>
            <wp:positionV relativeFrom="paragraph">
              <wp:posOffset>66040</wp:posOffset>
            </wp:positionV>
            <wp:extent cx="19551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ectPr>
          <w:pgSz w:w="11900" w:h="16838" w:orient="portrait"/>
          <w:cols w:equalWidth="0" w:num="1">
            <w:col w:w="11280"/>
          </w:cols>
          <w:pgMar w:left="28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280"/>
          </w:cols>
          <w:pgMar w:left="280" w:top="121" w:right="3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color w:val="auto"/>
        </w:rPr>
        <w:t>The following table summaries the quarterly financial information related to the operating segments of the Company’s education division:</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258"/>
        </w:trPr>
        <w:tc>
          <w:tcPr>
            <w:tcW w:w="4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jc w:val="right"/>
              <w:ind w:right="320"/>
              <w:spacing w:after="0"/>
              <w:rPr>
                <w:sz w:val="20"/>
                <w:szCs w:val="20"/>
                <w:color w:val="auto"/>
              </w:rPr>
            </w:pPr>
            <w:r>
              <w:rPr>
                <w:rFonts w:ascii="Arial" w:cs="Arial" w:eastAsia="Arial" w:hAnsi="Arial"/>
                <w:sz w:val="14"/>
                <w:szCs w:val="14"/>
                <w:b w:val="1"/>
                <w:bCs w:val="1"/>
                <w:color w:val="auto"/>
              </w:rPr>
              <w:t>March 31,</w:t>
            </w:r>
          </w:p>
        </w:tc>
        <w:tc>
          <w:tcPr>
            <w:tcW w:w="320" w:type="dxa"/>
            <w:vAlign w:val="bottom"/>
          </w:tcPr>
          <w:p>
            <w:pPr>
              <w:spacing w:after="0"/>
              <w:rPr>
                <w:sz w:val="22"/>
                <w:szCs w:val="22"/>
                <w:color w:val="auto"/>
              </w:rPr>
            </w:pPr>
          </w:p>
        </w:tc>
        <w:tc>
          <w:tcPr>
            <w:tcW w:w="1140" w:type="dxa"/>
            <w:vAlign w:val="bottom"/>
          </w:tcPr>
          <w:p>
            <w:pPr>
              <w:jc w:val="right"/>
              <w:ind w:right="300"/>
              <w:spacing w:after="0"/>
              <w:rPr>
                <w:sz w:val="20"/>
                <w:szCs w:val="20"/>
                <w:color w:val="auto"/>
              </w:rPr>
            </w:pPr>
            <w:r>
              <w:rPr>
                <w:rFonts w:ascii="Arial" w:cs="Arial" w:eastAsia="Arial" w:hAnsi="Arial"/>
                <w:sz w:val="14"/>
                <w:szCs w:val="14"/>
                <w:color w:val="auto"/>
              </w:rPr>
              <w:t>March 31,</w:t>
            </w:r>
          </w:p>
        </w:tc>
        <w:tc>
          <w:tcPr>
            <w:tcW w:w="360" w:type="dxa"/>
            <w:vAlign w:val="bottom"/>
          </w:tcPr>
          <w:p>
            <w:pPr>
              <w:spacing w:after="0"/>
              <w:rPr>
                <w:sz w:val="22"/>
                <w:szCs w:val="22"/>
                <w:color w:val="auto"/>
              </w:rPr>
            </w:pPr>
          </w:p>
        </w:tc>
        <w:tc>
          <w:tcPr>
            <w:tcW w:w="1180" w:type="dxa"/>
            <w:vAlign w:val="bottom"/>
          </w:tcPr>
          <w:p>
            <w:pPr>
              <w:jc w:val="center"/>
              <w:ind w:right="260"/>
              <w:spacing w:after="0"/>
              <w:rPr>
                <w:sz w:val="20"/>
                <w:szCs w:val="20"/>
                <w:color w:val="auto"/>
              </w:rPr>
            </w:pPr>
            <w:r>
              <w:rPr>
                <w:rFonts w:ascii="Arial" w:cs="Arial" w:eastAsia="Arial" w:hAnsi="Arial"/>
                <w:sz w:val="14"/>
                <w:szCs w:val="14"/>
                <w:color w:val="auto"/>
              </w:rPr>
              <w:t>June 30,</w:t>
            </w:r>
          </w:p>
        </w:tc>
        <w:tc>
          <w:tcPr>
            <w:tcW w:w="180" w:type="dxa"/>
            <w:vAlign w:val="bottom"/>
          </w:tcPr>
          <w:p>
            <w:pPr>
              <w:spacing w:after="0"/>
              <w:rPr>
                <w:sz w:val="22"/>
                <w:szCs w:val="22"/>
                <w:color w:val="auto"/>
              </w:rPr>
            </w:pPr>
          </w:p>
        </w:tc>
        <w:tc>
          <w:tcPr>
            <w:tcW w:w="1240" w:type="dxa"/>
            <w:vAlign w:val="bottom"/>
          </w:tcPr>
          <w:p>
            <w:pPr>
              <w:jc w:val="right"/>
              <w:ind w:right="160"/>
              <w:spacing w:after="0"/>
              <w:rPr>
                <w:sz w:val="20"/>
                <w:szCs w:val="20"/>
                <w:color w:val="auto"/>
              </w:rPr>
            </w:pPr>
            <w:r>
              <w:rPr>
                <w:rFonts w:ascii="Arial" w:cs="Arial" w:eastAsia="Arial" w:hAnsi="Arial"/>
                <w:sz w:val="14"/>
                <w:szCs w:val="14"/>
                <w:color w:val="auto"/>
              </w:rPr>
              <w:t>September 30,</w:t>
            </w:r>
          </w:p>
        </w:tc>
        <w:tc>
          <w:tcPr>
            <w:tcW w:w="240" w:type="dxa"/>
            <w:vAlign w:val="bottom"/>
          </w:tcPr>
          <w:p>
            <w:pPr>
              <w:spacing w:after="0"/>
              <w:rPr>
                <w:sz w:val="22"/>
                <w:szCs w:val="22"/>
                <w:color w:val="auto"/>
              </w:rPr>
            </w:pPr>
          </w:p>
        </w:tc>
        <w:tc>
          <w:tcPr>
            <w:tcW w:w="1200" w:type="dxa"/>
            <w:vAlign w:val="bottom"/>
          </w:tcPr>
          <w:p>
            <w:pPr>
              <w:jc w:val="right"/>
              <w:ind w:right="160"/>
              <w:spacing w:after="0"/>
              <w:rPr>
                <w:sz w:val="20"/>
                <w:szCs w:val="20"/>
                <w:color w:val="auto"/>
              </w:rPr>
            </w:pPr>
            <w:r>
              <w:rPr>
                <w:rFonts w:ascii="Arial" w:cs="Arial" w:eastAsia="Arial" w:hAnsi="Arial"/>
                <w:sz w:val="14"/>
                <w:szCs w:val="14"/>
                <w:color w:val="auto"/>
              </w:rPr>
              <w:t>December 31,</w:t>
            </w:r>
          </w:p>
        </w:tc>
      </w:tr>
      <w:tr>
        <w:trPr>
          <w:trHeight w:val="276"/>
        </w:trPr>
        <w:tc>
          <w:tcPr>
            <w:tcW w:w="40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color w:val="auto"/>
              </w:rPr>
              <w:t>2017</w:t>
            </w: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center"/>
              <w:ind w:right="260"/>
              <w:spacing w:after="0"/>
              <w:rPr>
                <w:sz w:val="20"/>
                <w:szCs w:val="20"/>
                <w:color w:val="auto"/>
              </w:rPr>
            </w:pPr>
            <w:r>
              <w:rPr>
                <w:rFonts w:ascii="Arial" w:cs="Arial" w:eastAsia="Arial" w:hAnsi="Arial"/>
                <w:sz w:val="14"/>
                <w:szCs w:val="14"/>
                <w:color w:val="auto"/>
              </w:rPr>
              <w:t>2017</w:t>
            </w:r>
          </w:p>
        </w:tc>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color w:val="auto"/>
              </w:rPr>
              <w:t>2017</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2017</w:t>
            </w:r>
          </w:p>
        </w:tc>
      </w:tr>
      <w:tr>
        <w:trPr>
          <w:trHeight w:val="250"/>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0"/>
        </w:trPr>
        <w:tc>
          <w:tcPr>
            <w:tcW w:w="400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38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1180" w:type="dxa"/>
            <w:vAlign w:val="bottom"/>
          </w:tcPr>
          <w:p>
            <w:pPr>
              <w:jc w:val="right"/>
              <w:ind w:right="60"/>
              <w:spacing w:after="0"/>
              <w:rPr>
                <w:sz w:val="20"/>
                <w:szCs w:val="20"/>
                <w:color w:val="auto"/>
              </w:rPr>
            </w:pPr>
            <w:r>
              <w:rPr>
                <w:rFonts w:ascii="Arial" w:cs="Arial" w:eastAsia="Arial" w:hAnsi="Arial"/>
                <w:sz w:val="16"/>
                <w:szCs w:val="16"/>
                <w:b w:val="1"/>
                <w:bCs w:val="1"/>
                <w:color w:val="auto"/>
              </w:rPr>
              <w:t>183,582</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164,562</w:t>
            </w:r>
          </w:p>
        </w:tc>
        <w:tc>
          <w:tcPr>
            <w:tcW w:w="3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20"/>
              <w:spacing w:after="0"/>
              <w:rPr>
                <w:sz w:val="20"/>
                <w:szCs w:val="20"/>
                <w:color w:val="auto"/>
              </w:rPr>
            </w:pPr>
            <w:r>
              <w:rPr>
                <w:rFonts w:ascii="Arial" w:cs="Arial" w:eastAsia="Arial" w:hAnsi="Arial"/>
                <w:sz w:val="16"/>
                <w:szCs w:val="16"/>
                <w:color w:val="auto"/>
              </w:rPr>
              <w:t>171,747</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60"/>
              <w:spacing w:after="0"/>
              <w:rPr>
                <w:sz w:val="20"/>
                <w:szCs w:val="20"/>
                <w:color w:val="auto"/>
              </w:rPr>
            </w:pPr>
            <w:r>
              <w:rPr>
                <w:rFonts w:ascii="Arial" w:cs="Arial" w:eastAsia="Arial" w:hAnsi="Arial"/>
                <w:sz w:val="16"/>
                <w:szCs w:val="16"/>
                <w:color w:val="auto"/>
              </w:rPr>
              <w:t>171,259</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190,431</w:t>
            </w:r>
          </w:p>
        </w:tc>
      </w:tr>
      <w:tr>
        <w:trPr>
          <w:trHeight w:val="270"/>
        </w:trPr>
        <w:tc>
          <w:tcPr>
            <w:tcW w:w="400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b w:val="1"/>
                <w:bCs w:val="1"/>
                <w:color w:val="auto"/>
              </w:rPr>
              <w:t>99,830</w:t>
            </w:r>
          </w:p>
        </w:tc>
        <w:tc>
          <w:tcPr>
            <w:tcW w:w="32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111,111</w:t>
            </w:r>
          </w:p>
        </w:tc>
        <w:tc>
          <w:tcPr>
            <w:tcW w:w="360" w:type="dxa"/>
            <w:vAlign w:val="bottom"/>
          </w:tcPr>
          <w:p>
            <w:pPr>
              <w:spacing w:after="0"/>
              <w:rPr>
                <w:sz w:val="23"/>
                <w:szCs w:val="23"/>
                <w:color w:val="auto"/>
              </w:rPr>
            </w:pPr>
          </w:p>
        </w:tc>
        <w:tc>
          <w:tcPr>
            <w:tcW w:w="1180" w:type="dxa"/>
            <w:vAlign w:val="bottom"/>
          </w:tcPr>
          <w:p>
            <w:pPr>
              <w:jc w:val="right"/>
              <w:ind w:right="120"/>
              <w:spacing w:after="0"/>
              <w:rPr>
                <w:sz w:val="20"/>
                <w:szCs w:val="20"/>
                <w:color w:val="auto"/>
              </w:rPr>
            </w:pPr>
            <w:r>
              <w:rPr>
                <w:rFonts w:ascii="Arial" w:cs="Arial" w:eastAsia="Arial" w:hAnsi="Arial"/>
                <w:sz w:val="16"/>
                <w:szCs w:val="16"/>
                <w:color w:val="auto"/>
              </w:rPr>
              <w:t>111,840</w:t>
            </w:r>
          </w:p>
        </w:tc>
        <w:tc>
          <w:tcPr>
            <w:tcW w:w="180" w:type="dxa"/>
            <w:vAlign w:val="bottom"/>
          </w:tcPr>
          <w:p>
            <w:pPr>
              <w:spacing w:after="0"/>
              <w:rPr>
                <w:sz w:val="23"/>
                <w:szCs w:val="23"/>
                <w:color w:val="auto"/>
              </w:rPr>
            </w:pPr>
          </w:p>
        </w:tc>
        <w:tc>
          <w:tcPr>
            <w:tcW w:w="1240" w:type="dxa"/>
            <w:vAlign w:val="bottom"/>
          </w:tcPr>
          <w:p>
            <w:pPr>
              <w:jc w:val="right"/>
              <w:ind w:right="60"/>
              <w:spacing w:after="0"/>
              <w:rPr>
                <w:sz w:val="20"/>
                <w:szCs w:val="20"/>
                <w:color w:val="auto"/>
              </w:rPr>
            </w:pPr>
            <w:r>
              <w:rPr>
                <w:rFonts w:ascii="Arial" w:cs="Arial" w:eastAsia="Arial" w:hAnsi="Arial"/>
                <w:sz w:val="16"/>
                <w:szCs w:val="16"/>
                <w:color w:val="auto"/>
              </w:rPr>
              <w:t>105,210</w:t>
            </w:r>
          </w:p>
        </w:tc>
        <w:tc>
          <w:tcPr>
            <w:tcW w:w="240" w:type="dxa"/>
            <w:vAlign w:val="bottom"/>
          </w:tcPr>
          <w:p>
            <w:pPr>
              <w:spacing w:after="0"/>
              <w:rPr>
                <w:sz w:val="23"/>
                <w:szCs w:val="23"/>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103,264</w:t>
            </w:r>
          </w:p>
        </w:tc>
      </w:tr>
      <w:tr>
        <w:trPr>
          <w:trHeight w:val="270"/>
        </w:trPr>
        <w:tc>
          <w:tcPr>
            <w:tcW w:w="400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b w:val="1"/>
                <w:bCs w:val="1"/>
                <w:color w:val="auto"/>
              </w:rPr>
              <w:t>59,151</w:t>
            </w:r>
          </w:p>
        </w:tc>
        <w:tc>
          <w:tcPr>
            <w:tcW w:w="32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64,568</w:t>
            </w:r>
          </w:p>
        </w:tc>
        <w:tc>
          <w:tcPr>
            <w:tcW w:w="360" w:type="dxa"/>
            <w:vAlign w:val="bottom"/>
          </w:tcPr>
          <w:p>
            <w:pPr>
              <w:spacing w:after="0"/>
              <w:rPr>
                <w:sz w:val="23"/>
                <w:szCs w:val="23"/>
                <w:color w:val="auto"/>
              </w:rPr>
            </w:pPr>
          </w:p>
        </w:tc>
        <w:tc>
          <w:tcPr>
            <w:tcW w:w="1180" w:type="dxa"/>
            <w:vAlign w:val="bottom"/>
          </w:tcPr>
          <w:p>
            <w:pPr>
              <w:jc w:val="right"/>
              <w:ind w:right="120"/>
              <w:spacing w:after="0"/>
              <w:rPr>
                <w:sz w:val="20"/>
                <w:szCs w:val="20"/>
                <w:color w:val="auto"/>
              </w:rPr>
            </w:pPr>
            <w:r>
              <w:rPr>
                <w:rFonts w:ascii="Arial" w:cs="Arial" w:eastAsia="Arial" w:hAnsi="Arial"/>
                <w:sz w:val="16"/>
                <w:szCs w:val="16"/>
                <w:color w:val="auto"/>
              </w:rPr>
              <w:t>75,730</w:t>
            </w:r>
          </w:p>
        </w:tc>
        <w:tc>
          <w:tcPr>
            <w:tcW w:w="180" w:type="dxa"/>
            <w:vAlign w:val="bottom"/>
          </w:tcPr>
          <w:p>
            <w:pPr>
              <w:spacing w:after="0"/>
              <w:rPr>
                <w:sz w:val="23"/>
                <w:szCs w:val="23"/>
                <w:color w:val="auto"/>
              </w:rPr>
            </w:pPr>
          </w:p>
        </w:tc>
        <w:tc>
          <w:tcPr>
            <w:tcW w:w="1240" w:type="dxa"/>
            <w:vAlign w:val="bottom"/>
          </w:tcPr>
          <w:p>
            <w:pPr>
              <w:jc w:val="right"/>
              <w:ind w:right="60"/>
              <w:spacing w:after="0"/>
              <w:rPr>
                <w:sz w:val="20"/>
                <w:szCs w:val="20"/>
                <w:color w:val="auto"/>
              </w:rPr>
            </w:pPr>
            <w:r>
              <w:rPr>
                <w:rFonts w:ascii="Arial" w:cs="Arial" w:eastAsia="Arial" w:hAnsi="Arial"/>
                <w:sz w:val="16"/>
                <w:szCs w:val="16"/>
                <w:color w:val="auto"/>
              </w:rPr>
              <w:t>72,680</w:t>
            </w:r>
          </w:p>
        </w:tc>
        <w:tc>
          <w:tcPr>
            <w:tcW w:w="240" w:type="dxa"/>
            <w:vAlign w:val="bottom"/>
          </w:tcPr>
          <w:p>
            <w:pPr>
              <w:spacing w:after="0"/>
              <w:rPr>
                <w:sz w:val="23"/>
                <w:szCs w:val="23"/>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60,320</w:t>
            </w:r>
          </w:p>
        </w:tc>
      </w:tr>
      <w:tr>
        <w:trPr>
          <w:trHeight w:val="270"/>
        </w:trPr>
        <w:tc>
          <w:tcPr>
            <w:tcW w:w="4000" w:type="dxa"/>
            <w:vAlign w:val="bottom"/>
          </w:tcPr>
          <w:p>
            <w:pPr>
              <w:ind w:left="280"/>
              <w:spacing w:after="0"/>
              <w:rPr>
                <w:sz w:val="20"/>
                <w:szCs w:val="20"/>
                <w:color w:val="auto"/>
              </w:rPr>
            </w:pPr>
            <w:r>
              <w:rPr>
                <w:rFonts w:ascii="Arial" w:cs="Arial" w:eastAsia="Arial" w:hAnsi="Arial"/>
                <w:sz w:val="16"/>
                <w:szCs w:val="16"/>
                <w:color w:val="auto"/>
              </w:rPr>
              <w:t>Professional (U.S.)</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b w:val="1"/>
                <w:bCs w:val="1"/>
                <w:color w:val="auto"/>
              </w:rPr>
              <w:t>33,356</w:t>
            </w:r>
          </w:p>
        </w:tc>
        <w:tc>
          <w:tcPr>
            <w:tcW w:w="32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33,199</w:t>
            </w:r>
          </w:p>
        </w:tc>
        <w:tc>
          <w:tcPr>
            <w:tcW w:w="360" w:type="dxa"/>
            <w:vAlign w:val="bottom"/>
          </w:tcPr>
          <w:p>
            <w:pPr>
              <w:spacing w:after="0"/>
              <w:rPr>
                <w:sz w:val="23"/>
                <w:szCs w:val="23"/>
                <w:color w:val="auto"/>
              </w:rPr>
            </w:pPr>
          </w:p>
        </w:tc>
        <w:tc>
          <w:tcPr>
            <w:tcW w:w="1180" w:type="dxa"/>
            <w:vAlign w:val="bottom"/>
          </w:tcPr>
          <w:p>
            <w:pPr>
              <w:jc w:val="right"/>
              <w:ind w:right="120"/>
              <w:spacing w:after="0"/>
              <w:rPr>
                <w:sz w:val="20"/>
                <w:szCs w:val="20"/>
                <w:color w:val="auto"/>
              </w:rPr>
            </w:pPr>
            <w:r>
              <w:rPr>
                <w:rFonts w:ascii="Arial" w:cs="Arial" w:eastAsia="Arial" w:hAnsi="Arial"/>
                <w:sz w:val="16"/>
                <w:szCs w:val="16"/>
                <w:color w:val="auto"/>
              </w:rPr>
              <w:t>27,364</w:t>
            </w:r>
          </w:p>
        </w:tc>
        <w:tc>
          <w:tcPr>
            <w:tcW w:w="180" w:type="dxa"/>
            <w:vAlign w:val="bottom"/>
          </w:tcPr>
          <w:p>
            <w:pPr>
              <w:spacing w:after="0"/>
              <w:rPr>
                <w:sz w:val="23"/>
                <w:szCs w:val="23"/>
                <w:color w:val="auto"/>
              </w:rPr>
            </w:pPr>
          </w:p>
        </w:tc>
        <w:tc>
          <w:tcPr>
            <w:tcW w:w="1240" w:type="dxa"/>
            <w:vAlign w:val="bottom"/>
          </w:tcPr>
          <w:p>
            <w:pPr>
              <w:jc w:val="right"/>
              <w:ind w:right="60"/>
              <w:spacing w:after="0"/>
              <w:rPr>
                <w:sz w:val="20"/>
                <w:szCs w:val="20"/>
                <w:color w:val="auto"/>
              </w:rPr>
            </w:pPr>
            <w:r>
              <w:rPr>
                <w:rFonts w:ascii="Arial" w:cs="Arial" w:eastAsia="Arial" w:hAnsi="Arial"/>
                <w:sz w:val="16"/>
                <w:szCs w:val="16"/>
                <w:color w:val="auto"/>
              </w:rPr>
              <w:t>28,249</w:t>
            </w:r>
          </w:p>
        </w:tc>
        <w:tc>
          <w:tcPr>
            <w:tcW w:w="240" w:type="dxa"/>
            <w:vAlign w:val="bottom"/>
          </w:tcPr>
          <w:p>
            <w:pPr>
              <w:spacing w:after="0"/>
              <w:rPr>
                <w:sz w:val="23"/>
                <w:szCs w:val="23"/>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27,027</w:t>
            </w:r>
          </w:p>
        </w:tc>
      </w:tr>
      <w:tr>
        <w:trPr>
          <w:trHeight w:val="270"/>
        </w:trPr>
        <w:tc>
          <w:tcPr>
            <w:tcW w:w="400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b w:val="1"/>
                <w:bCs w:val="1"/>
                <w:color w:val="auto"/>
              </w:rPr>
              <w:t>285</w:t>
            </w:r>
          </w:p>
        </w:tc>
        <w:tc>
          <w:tcPr>
            <w:tcW w:w="32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14</w:t>
            </w:r>
          </w:p>
        </w:tc>
        <w:tc>
          <w:tcPr>
            <w:tcW w:w="360" w:type="dxa"/>
            <w:vAlign w:val="bottom"/>
          </w:tcPr>
          <w:p>
            <w:pPr>
              <w:spacing w:after="0"/>
              <w:rPr>
                <w:sz w:val="23"/>
                <w:szCs w:val="23"/>
                <w:color w:val="auto"/>
              </w:rPr>
            </w:pPr>
          </w:p>
        </w:tc>
        <w:tc>
          <w:tcPr>
            <w:tcW w:w="1180" w:type="dxa"/>
            <w:vAlign w:val="bottom"/>
          </w:tcPr>
          <w:p>
            <w:pPr>
              <w:jc w:val="right"/>
              <w:ind w:right="120"/>
              <w:spacing w:after="0"/>
              <w:rPr>
                <w:sz w:val="20"/>
                <w:szCs w:val="20"/>
                <w:color w:val="auto"/>
              </w:rPr>
            </w:pPr>
            <w:r>
              <w:rPr>
                <w:rFonts w:ascii="Arial" w:cs="Arial" w:eastAsia="Arial" w:hAnsi="Arial"/>
                <w:sz w:val="16"/>
                <w:szCs w:val="16"/>
                <w:color w:val="auto"/>
              </w:rPr>
              <w:t>57</w:t>
            </w:r>
          </w:p>
        </w:tc>
        <w:tc>
          <w:tcPr>
            <w:tcW w:w="180" w:type="dxa"/>
            <w:vAlign w:val="bottom"/>
          </w:tcPr>
          <w:p>
            <w:pPr>
              <w:spacing w:after="0"/>
              <w:rPr>
                <w:sz w:val="23"/>
                <w:szCs w:val="23"/>
                <w:color w:val="auto"/>
              </w:rPr>
            </w:pPr>
          </w:p>
        </w:tc>
        <w:tc>
          <w:tcPr>
            <w:tcW w:w="1240" w:type="dxa"/>
            <w:vAlign w:val="bottom"/>
          </w:tcPr>
          <w:p>
            <w:pPr>
              <w:jc w:val="right"/>
              <w:ind w:right="60"/>
              <w:spacing w:after="0"/>
              <w:rPr>
                <w:sz w:val="20"/>
                <w:szCs w:val="20"/>
                <w:color w:val="auto"/>
              </w:rPr>
            </w:pPr>
            <w:r>
              <w:rPr>
                <w:rFonts w:ascii="Arial" w:cs="Arial" w:eastAsia="Arial" w:hAnsi="Arial"/>
                <w:sz w:val="16"/>
                <w:szCs w:val="16"/>
                <w:color w:val="auto"/>
              </w:rPr>
              <w:t>49</w:t>
            </w:r>
          </w:p>
        </w:tc>
        <w:tc>
          <w:tcPr>
            <w:tcW w:w="240" w:type="dxa"/>
            <w:vAlign w:val="bottom"/>
          </w:tcPr>
          <w:p>
            <w:pPr>
              <w:spacing w:after="0"/>
              <w:rPr>
                <w:sz w:val="23"/>
                <w:szCs w:val="23"/>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174</w:t>
            </w:r>
          </w:p>
        </w:tc>
      </w:tr>
      <w:tr>
        <w:trPr>
          <w:trHeight w:val="283"/>
        </w:trPr>
        <w:tc>
          <w:tcPr>
            <w:tcW w:w="400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(705)</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(557)</w:t>
            </w: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(239)</w:t>
            </w:r>
          </w:p>
        </w:tc>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(642)</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(641)</w:t>
            </w:r>
          </w:p>
        </w:tc>
      </w:tr>
      <w:tr>
        <w:trPr>
          <w:trHeight w:val="264"/>
        </w:trPr>
        <w:tc>
          <w:tcPr>
            <w:tcW w:w="4000" w:type="dxa"/>
            <w:vAlign w:val="bottom"/>
          </w:tcPr>
          <w:p>
            <w:pPr>
              <w:spacing w:after="0"/>
              <w:rPr>
                <w:sz w:val="22"/>
                <w:szCs w:val="22"/>
                <w:color w:val="auto"/>
              </w:rPr>
            </w:pPr>
          </w:p>
        </w:tc>
        <w:tc>
          <w:tcPr>
            <w:tcW w:w="3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375,499</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372,897</w:t>
            </w:r>
          </w:p>
        </w:tc>
        <w:tc>
          <w:tcPr>
            <w:tcW w:w="3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386,499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376,805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380,575</w:t>
            </w:r>
          </w:p>
        </w:tc>
      </w:tr>
      <w:tr>
        <w:trPr>
          <w:trHeight w:val="251"/>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Income (Loss) from Operations</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0"/>
        </w:trPr>
        <w:tc>
          <w:tcPr>
            <w:tcW w:w="400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38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1180" w:type="dxa"/>
            <w:vAlign w:val="bottom"/>
          </w:tcPr>
          <w:p>
            <w:pPr>
              <w:jc w:val="right"/>
              <w:ind w:right="60"/>
              <w:spacing w:after="0"/>
              <w:rPr>
                <w:sz w:val="20"/>
                <w:szCs w:val="20"/>
                <w:color w:val="auto"/>
              </w:rPr>
            </w:pPr>
            <w:r>
              <w:rPr>
                <w:rFonts w:ascii="Arial" w:cs="Arial" w:eastAsia="Arial" w:hAnsi="Arial"/>
                <w:sz w:val="16"/>
                <w:szCs w:val="16"/>
                <w:b w:val="1"/>
                <w:bCs w:val="1"/>
                <w:color w:val="auto"/>
              </w:rPr>
              <w:t>20,404</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7,707</w:t>
            </w:r>
          </w:p>
        </w:tc>
        <w:tc>
          <w:tcPr>
            <w:tcW w:w="3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20"/>
              <w:spacing w:after="0"/>
              <w:rPr>
                <w:sz w:val="20"/>
                <w:szCs w:val="20"/>
                <w:color w:val="auto"/>
              </w:rPr>
            </w:pPr>
            <w:r>
              <w:rPr>
                <w:rFonts w:ascii="Arial" w:cs="Arial" w:eastAsia="Arial" w:hAnsi="Arial"/>
                <w:sz w:val="16"/>
                <w:szCs w:val="16"/>
                <w:color w:val="auto"/>
              </w:rPr>
              <w:t>15,954</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60"/>
              <w:spacing w:after="0"/>
              <w:rPr>
                <w:sz w:val="20"/>
                <w:szCs w:val="20"/>
                <w:color w:val="auto"/>
              </w:rPr>
            </w:pPr>
            <w:r>
              <w:rPr>
                <w:rFonts w:ascii="Arial" w:cs="Arial" w:eastAsia="Arial" w:hAnsi="Arial"/>
                <w:sz w:val="16"/>
                <w:szCs w:val="16"/>
                <w:color w:val="auto"/>
              </w:rPr>
              <w:t>5,348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22,614</w:t>
            </w:r>
          </w:p>
        </w:tc>
      </w:tr>
      <w:tr>
        <w:trPr>
          <w:trHeight w:val="270"/>
        </w:trPr>
        <w:tc>
          <w:tcPr>
            <w:tcW w:w="400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b w:val="1"/>
                <w:bCs w:val="1"/>
                <w:color w:val="auto"/>
              </w:rPr>
              <w:t>1,355</w:t>
            </w:r>
          </w:p>
        </w:tc>
        <w:tc>
          <w:tcPr>
            <w:tcW w:w="32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2,446</w:t>
            </w:r>
          </w:p>
        </w:tc>
        <w:tc>
          <w:tcPr>
            <w:tcW w:w="360" w:type="dxa"/>
            <w:vAlign w:val="bottom"/>
          </w:tcPr>
          <w:p>
            <w:pPr>
              <w:spacing w:after="0"/>
              <w:rPr>
                <w:sz w:val="23"/>
                <w:szCs w:val="23"/>
                <w:color w:val="auto"/>
              </w:rPr>
            </w:pPr>
          </w:p>
        </w:tc>
        <w:tc>
          <w:tcPr>
            <w:tcW w:w="1180" w:type="dxa"/>
            <w:vAlign w:val="bottom"/>
          </w:tcPr>
          <w:p>
            <w:pPr>
              <w:jc w:val="right"/>
              <w:ind w:right="120"/>
              <w:spacing w:after="0"/>
              <w:rPr>
                <w:sz w:val="20"/>
                <w:szCs w:val="20"/>
                <w:color w:val="auto"/>
              </w:rPr>
            </w:pPr>
            <w:r>
              <w:rPr>
                <w:rFonts w:ascii="Arial" w:cs="Arial" w:eastAsia="Arial" w:hAnsi="Arial"/>
                <w:sz w:val="16"/>
                <w:szCs w:val="16"/>
                <w:color w:val="auto"/>
              </w:rPr>
              <w:t>13,140</w:t>
            </w:r>
          </w:p>
        </w:tc>
        <w:tc>
          <w:tcPr>
            <w:tcW w:w="180" w:type="dxa"/>
            <w:vAlign w:val="bottom"/>
          </w:tcPr>
          <w:p>
            <w:pPr>
              <w:spacing w:after="0"/>
              <w:rPr>
                <w:sz w:val="23"/>
                <w:szCs w:val="23"/>
                <w:color w:val="auto"/>
              </w:rPr>
            </w:pPr>
          </w:p>
        </w:tc>
        <w:tc>
          <w:tcPr>
            <w:tcW w:w="1240" w:type="dxa"/>
            <w:vAlign w:val="bottom"/>
          </w:tcPr>
          <w:p>
            <w:pPr>
              <w:jc w:val="right"/>
              <w:ind w:right="60"/>
              <w:spacing w:after="0"/>
              <w:rPr>
                <w:sz w:val="20"/>
                <w:szCs w:val="20"/>
                <w:color w:val="auto"/>
              </w:rPr>
            </w:pPr>
            <w:r>
              <w:rPr>
                <w:rFonts w:ascii="Arial" w:cs="Arial" w:eastAsia="Arial" w:hAnsi="Arial"/>
                <w:sz w:val="16"/>
                <w:szCs w:val="16"/>
                <w:color w:val="auto"/>
              </w:rPr>
              <w:t>1,493</w:t>
            </w:r>
          </w:p>
        </w:tc>
        <w:tc>
          <w:tcPr>
            <w:tcW w:w="2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(360)</w:t>
            </w:r>
          </w:p>
        </w:tc>
      </w:tr>
      <w:tr>
        <w:trPr>
          <w:trHeight w:val="270"/>
        </w:trPr>
        <w:tc>
          <w:tcPr>
            <w:tcW w:w="400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b w:val="1"/>
                <w:bCs w:val="1"/>
                <w:color w:val="auto"/>
              </w:rPr>
              <w:t>521</w:t>
            </w: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(2,864)</w:t>
            </w:r>
          </w:p>
        </w:tc>
        <w:tc>
          <w:tcPr>
            <w:tcW w:w="360" w:type="dxa"/>
            <w:vAlign w:val="bottom"/>
          </w:tcPr>
          <w:p>
            <w:pPr>
              <w:spacing w:after="0"/>
              <w:rPr>
                <w:sz w:val="23"/>
                <w:szCs w:val="23"/>
                <w:color w:val="auto"/>
              </w:rPr>
            </w:pPr>
          </w:p>
        </w:tc>
        <w:tc>
          <w:tcPr>
            <w:tcW w:w="1180" w:type="dxa"/>
            <w:vAlign w:val="bottom"/>
          </w:tcPr>
          <w:p>
            <w:pPr>
              <w:jc w:val="right"/>
              <w:ind w:right="120"/>
              <w:spacing w:after="0"/>
              <w:rPr>
                <w:sz w:val="20"/>
                <w:szCs w:val="20"/>
                <w:color w:val="auto"/>
              </w:rPr>
            </w:pPr>
            <w:r>
              <w:rPr>
                <w:rFonts w:ascii="Arial" w:cs="Arial" w:eastAsia="Arial" w:hAnsi="Arial"/>
                <w:sz w:val="16"/>
                <w:szCs w:val="16"/>
                <w:color w:val="auto"/>
              </w:rPr>
              <w:t>5,741</w:t>
            </w:r>
          </w:p>
        </w:tc>
        <w:tc>
          <w:tcPr>
            <w:tcW w:w="180" w:type="dxa"/>
            <w:vAlign w:val="bottom"/>
          </w:tcPr>
          <w:p>
            <w:pPr>
              <w:spacing w:after="0"/>
              <w:rPr>
                <w:sz w:val="23"/>
                <w:szCs w:val="23"/>
                <w:color w:val="auto"/>
              </w:rPr>
            </w:pPr>
          </w:p>
        </w:tc>
        <w:tc>
          <w:tcPr>
            <w:tcW w:w="1240" w:type="dxa"/>
            <w:vAlign w:val="bottom"/>
          </w:tcPr>
          <w:p>
            <w:pPr>
              <w:jc w:val="right"/>
              <w:ind w:right="60"/>
              <w:spacing w:after="0"/>
              <w:rPr>
                <w:sz w:val="20"/>
                <w:szCs w:val="20"/>
                <w:color w:val="auto"/>
              </w:rPr>
            </w:pPr>
            <w:r>
              <w:rPr>
                <w:rFonts w:ascii="Arial" w:cs="Arial" w:eastAsia="Arial" w:hAnsi="Arial"/>
                <w:sz w:val="16"/>
                <w:szCs w:val="16"/>
                <w:color w:val="auto"/>
              </w:rPr>
              <w:t>7,330</w:t>
            </w:r>
          </w:p>
        </w:tc>
        <w:tc>
          <w:tcPr>
            <w:tcW w:w="240" w:type="dxa"/>
            <w:vAlign w:val="bottom"/>
          </w:tcPr>
          <w:p>
            <w:pPr>
              <w:spacing w:after="0"/>
              <w:rPr>
                <w:sz w:val="23"/>
                <w:szCs w:val="23"/>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1,300</w:t>
            </w:r>
          </w:p>
        </w:tc>
      </w:tr>
      <w:tr>
        <w:trPr>
          <w:trHeight w:val="270"/>
        </w:trPr>
        <w:tc>
          <w:tcPr>
            <w:tcW w:w="4000" w:type="dxa"/>
            <w:vAlign w:val="bottom"/>
          </w:tcPr>
          <w:p>
            <w:pPr>
              <w:ind w:left="280"/>
              <w:spacing w:after="0"/>
              <w:rPr>
                <w:sz w:val="20"/>
                <w:szCs w:val="20"/>
                <w:color w:val="auto"/>
              </w:rPr>
            </w:pPr>
            <w:r>
              <w:rPr>
                <w:rFonts w:ascii="Arial" w:cs="Arial" w:eastAsia="Arial" w:hAnsi="Arial"/>
                <w:sz w:val="16"/>
                <w:szCs w:val="16"/>
                <w:color w:val="auto"/>
              </w:rPr>
              <w:t>Professional (U.S.)</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b w:val="1"/>
                <w:bCs w:val="1"/>
                <w:color w:val="auto"/>
              </w:rPr>
              <w:t>9,315</w:t>
            </w:r>
          </w:p>
        </w:tc>
        <w:tc>
          <w:tcPr>
            <w:tcW w:w="32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10,158</w:t>
            </w:r>
          </w:p>
        </w:tc>
        <w:tc>
          <w:tcPr>
            <w:tcW w:w="360" w:type="dxa"/>
            <w:vAlign w:val="bottom"/>
          </w:tcPr>
          <w:p>
            <w:pPr>
              <w:spacing w:after="0"/>
              <w:rPr>
                <w:sz w:val="23"/>
                <w:szCs w:val="23"/>
                <w:color w:val="auto"/>
              </w:rPr>
            </w:pPr>
          </w:p>
        </w:tc>
        <w:tc>
          <w:tcPr>
            <w:tcW w:w="1180" w:type="dxa"/>
            <w:vAlign w:val="bottom"/>
          </w:tcPr>
          <w:p>
            <w:pPr>
              <w:jc w:val="right"/>
              <w:ind w:right="120"/>
              <w:spacing w:after="0"/>
              <w:rPr>
                <w:sz w:val="20"/>
                <w:szCs w:val="20"/>
                <w:color w:val="auto"/>
              </w:rPr>
            </w:pPr>
            <w:r>
              <w:rPr>
                <w:rFonts w:ascii="Arial" w:cs="Arial" w:eastAsia="Arial" w:hAnsi="Arial"/>
                <w:sz w:val="16"/>
                <w:szCs w:val="16"/>
                <w:color w:val="auto"/>
              </w:rPr>
              <w:t>4,571</w:t>
            </w:r>
          </w:p>
        </w:tc>
        <w:tc>
          <w:tcPr>
            <w:tcW w:w="180" w:type="dxa"/>
            <w:vAlign w:val="bottom"/>
          </w:tcPr>
          <w:p>
            <w:pPr>
              <w:spacing w:after="0"/>
              <w:rPr>
                <w:sz w:val="23"/>
                <w:szCs w:val="23"/>
                <w:color w:val="auto"/>
              </w:rPr>
            </w:pPr>
          </w:p>
        </w:tc>
        <w:tc>
          <w:tcPr>
            <w:tcW w:w="1240" w:type="dxa"/>
            <w:vAlign w:val="bottom"/>
          </w:tcPr>
          <w:p>
            <w:pPr>
              <w:jc w:val="right"/>
              <w:ind w:right="60"/>
              <w:spacing w:after="0"/>
              <w:rPr>
                <w:sz w:val="20"/>
                <w:szCs w:val="20"/>
                <w:color w:val="auto"/>
              </w:rPr>
            </w:pPr>
            <w:r>
              <w:rPr>
                <w:rFonts w:ascii="Arial" w:cs="Arial" w:eastAsia="Arial" w:hAnsi="Arial"/>
                <w:sz w:val="16"/>
                <w:szCs w:val="16"/>
                <w:color w:val="auto"/>
              </w:rPr>
              <w:t>7,316</w:t>
            </w:r>
          </w:p>
        </w:tc>
        <w:tc>
          <w:tcPr>
            <w:tcW w:w="240" w:type="dxa"/>
            <w:vAlign w:val="bottom"/>
          </w:tcPr>
          <w:p>
            <w:pPr>
              <w:spacing w:after="0"/>
              <w:rPr>
                <w:sz w:val="23"/>
                <w:szCs w:val="23"/>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5,513</w:t>
            </w:r>
          </w:p>
        </w:tc>
      </w:tr>
      <w:tr>
        <w:trPr>
          <w:trHeight w:val="270"/>
        </w:trPr>
        <w:tc>
          <w:tcPr>
            <w:tcW w:w="400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b w:val="1"/>
                <w:bCs w:val="1"/>
                <w:color w:val="auto"/>
              </w:rPr>
              <w:t>(8,895)</w:t>
            </w: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(8,063)</w:t>
            </w:r>
          </w:p>
        </w:tc>
        <w:tc>
          <w:tcPr>
            <w:tcW w:w="360" w:type="dxa"/>
            <w:vAlign w:val="bottom"/>
          </w:tcPr>
          <w:p>
            <w:pPr>
              <w:spacing w:after="0"/>
              <w:rPr>
                <w:sz w:val="23"/>
                <w:szCs w:val="23"/>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(6,045)</w:t>
            </w:r>
          </w:p>
        </w:tc>
        <w:tc>
          <w:tcPr>
            <w:tcW w:w="1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(7,631)</w:t>
            </w:r>
          </w:p>
        </w:tc>
        <w:tc>
          <w:tcPr>
            <w:tcW w:w="2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(8,124)</w:t>
            </w:r>
          </w:p>
        </w:tc>
      </w:tr>
      <w:tr>
        <w:trPr>
          <w:trHeight w:val="283"/>
        </w:trPr>
        <w:tc>
          <w:tcPr>
            <w:tcW w:w="400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53</w:t>
            </w: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(30)</w:t>
            </w:r>
          </w:p>
        </w:tc>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179</w:t>
            </w:r>
          </w:p>
        </w:tc>
      </w:tr>
      <w:tr>
        <w:trPr>
          <w:trHeight w:val="264"/>
        </w:trPr>
        <w:tc>
          <w:tcPr>
            <w:tcW w:w="4000" w:type="dxa"/>
            <w:vAlign w:val="bottom"/>
          </w:tcPr>
          <w:p>
            <w:pPr>
              <w:spacing w:after="0"/>
              <w:rPr>
                <w:sz w:val="22"/>
                <w:szCs w:val="22"/>
                <w:color w:val="auto"/>
              </w:rPr>
            </w:pPr>
          </w:p>
        </w:tc>
        <w:tc>
          <w:tcPr>
            <w:tcW w:w="3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22,700</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9,437</w:t>
            </w:r>
          </w:p>
        </w:tc>
        <w:tc>
          <w:tcPr>
            <w:tcW w:w="3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33,331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13,797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21,122</w:t>
            </w:r>
          </w:p>
        </w:tc>
      </w:tr>
      <w:tr>
        <w:trPr>
          <w:trHeight w:val="251"/>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Depreciation of Property, Plant and Equipment</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0"/>
        </w:trPr>
        <w:tc>
          <w:tcPr>
            <w:tcW w:w="400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38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1180" w:type="dxa"/>
            <w:vAlign w:val="bottom"/>
          </w:tcPr>
          <w:p>
            <w:pPr>
              <w:jc w:val="right"/>
              <w:ind w:right="60"/>
              <w:spacing w:after="0"/>
              <w:rPr>
                <w:sz w:val="20"/>
                <w:szCs w:val="20"/>
                <w:color w:val="auto"/>
              </w:rPr>
            </w:pPr>
            <w:r>
              <w:rPr>
                <w:rFonts w:ascii="Arial" w:cs="Arial" w:eastAsia="Arial" w:hAnsi="Arial"/>
                <w:sz w:val="16"/>
                <w:szCs w:val="16"/>
                <w:b w:val="1"/>
                <w:bCs w:val="1"/>
                <w:color w:val="auto"/>
              </w:rPr>
              <w:t>3,974</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3,682</w:t>
            </w:r>
          </w:p>
        </w:tc>
        <w:tc>
          <w:tcPr>
            <w:tcW w:w="3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20"/>
              <w:spacing w:after="0"/>
              <w:rPr>
                <w:sz w:val="20"/>
                <w:szCs w:val="20"/>
                <w:color w:val="auto"/>
              </w:rPr>
            </w:pPr>
            <w:r>
              <w:rPr>
                <w:rFonts w:ascii="Arial" w:cs="Arial" w:eastAsia="Arial" w:hAnsi="Arial"/>
                <w:sz w:val="16"/>
                <w:szCs w:val="16"/>
                <w:color w:val="auto"/>
              </w:rPr>
              <w:t>3,609</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60"/>
              <w:spacing w:after="0"/>
              <w:rPr>
                <w:sz w:val="20"/>
                <w:szCs w:val="20"/>
                <w:color w:val="auto"/>
              </w:rPr>
            </w:pPr>
            <w:r>
              <w:rPr>
                <w:rFonts w:ascii="Arial" w:cs="Arial" w:eastAsia="Arial" w:hAnsi="Arial"/>
                <w:sz w:val="16"/>
                <w:szCs w:val="16"/>
                <w:color w:val="auto"/>
              </w:rPr>
              <w:t>3,780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3,821</w:t>
            </w:r>
          </w:p>
        </w:tc>
      </w:tr>
      <w:tr>
        <w:trPr>
          <w:trHeight w:val="270"/>
        </w:trPr>
        <w:tc>
          <w:tcPr>
            <w:tcW w:w="400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b w:val="1"/>
                <w:bCs w:val="1"/>
                <w:color w:val="auto"/>
              </w:rPr>
              <w:t>1,858</w:t>
            </w:r>
          </w:p>
        </w:tc>
        <w:tc>
          <w:tcPr>
            <w:tcW w:w="32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2,648</w:t>
            </w:r>
          </w:p>
        </w:tc>
        <w:tc>
          <w:tcPr>
            <w:tcW w:w="360" w:type="dxa"/>
            <w:vAlign w:val="bottom"/>
          </w:tcPr>
          <w:p>
            <w:pPr>
              <w:spacing w:after="0"/>
              <w:rPr>
                <w:sz w:val="23"/>
                <w:szCs w:val="23"/>
                <w:color w:val="auto"/>
              </w:rPr>
            </w:pPr>
          </w:p>
        </w:tc>
        <w:tc>
          <w:tcPr>
            <w:tcW w:w="1180" w:type="dxa"/>
            <w:vAlign w:val="bottom"/>
          </w:tcPr>
          <w:p>
            <w:pPr>
              <w:jc w:val="right"/>
              <w:ind w:right="120"/>
              <w:spacing w:after="0"/>
              <w:rPr>
                <w:sz w:val="20"/>
                <w:szCs w:val="20"/>
                <w:color w:val="auto"/>
              </w:rPr>
            </w:pPr>
            <w:r>
              <w:rPr>
                <w:rFonts w:ascii="Arial" w:cs="Arial" w:eastAsia="Arial" w:hAnsi="Arial"/>
                <w:sz w:val="16"/>
                <w:szCs w:val="16"/>
                <w:color w:val="auto"/>
              </w:rPr>
              <w:t>2,484</w:t>
            </w:r>
          </w:p>
        </w:tc>
        <w:tc>
          <w:tcPr>
            <w:tcW w:w="180" w:type="dxa"/>
            <w:vAlign w:val="bottom"/>
          </w:tcPr>
          <w:p>
            <w:pPr>
              <w:spacing w:after="0"/>
              <w:rPr>
                <w:sz w:val="23"/>
                <w:szCs w:val="23"/>
                <w:color w:val="auto"/>
              </w:rPr>
            </w:pPr>
          </w:p>
        </w:tc>
        <w:tc>
          <w:tcPr>
            <w:tcW w:w="1240" w:type="dxa"/>
            <w:vAlign w:val="bottom"/>
          </w:tcPr>
          <w:p>
            <w:pPr>
              <w:jc w:val="right"/>
              <w:ind w:right="60"/>
              <w:spacing w:after="0"/>
              <w:rPr>
                <w:sz w:val="20"/>
                <w:szCs w:val="20"/>
                <w:color w:val="auto"/>
              </w:rPr>
            </w:pPr>
            <w:r>
              <w:rPr>
                <w:rFonts w:ascii="Arial" w:cs="Arial" w:eastAsia="Arial" w:hAnsi="Arial"/>
                <w:sz w:val="16"/>
                <w:szCs w:val="16"/>
                <w:color w:val="auto"/>
              </w:rPr>
              <w:t>2,010</w:t>
            </w:r>
          </w:p>
        </w:tc>
        <w:tc>
          <w:tcPr>
            <w:tcW w:w="240" w:type="dxa"/>
            <w:vAlign w:val="bottom"/>
          </w:tcPr>
          <w:p>
            <w:pPr>
              <w:spacing w:after="0"/>
              <w:rPr>
                <w:sz w:val="23"/>
                <w:szCs w:val="23"/>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1,975</w:t>
            </w:r>
          </w:p>
        </w:tc>
      </w:tr>
      <w:tr>
        <w:trPr>
          <w:trHeight w:val="270"/>
        </w:trPr>
        <w:tc>
          <w:tcPr>
            <w:tcW w:w="400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b w:val="1"/>
                <w:bCs w:val="1"/>
                <w:color w:val="auto"/>
              </w:rPr>
              <w:t>978</w:t>
            </w:r>
          </w:p>
        </w:tc>
        <w:tc>
          <w:tcPr>
            <w:tcW w:w="32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1,341</w:t>
            </w:r>
          </w:p>
        </w:tc>
        <w:tc>
          <w:tcPr>
            <w:tcW w:w="360" w:type="dxa"/>
            <w:vAlign w:val="bottom"/>
          </w:tcPr>
          <w:p>
            <w:pPr>
              <w:spacing w:after="0"/>
              <w:rPr>
                <w:sz w:val="23"/>
                <w:szCs w:val="23"/>
                <w:color w:val="auto"/>
              </w:rPr>
            </w:pPr>
          </w:p>
        </w:tc>
        <w:tc>
          <w:tcPr>
            <w:tcW w:w="1180" w:type="dxa"/>
            <w:vAlign w:val="bottom"/>
          </w:tcPr>
          <w:p>
            <w:pPr>
              <w:jc w:val="right"/>
              <w:ind w:right="120"/>
              <w:spacing w:after="0"/>
              <w:rPr>
                <w:sz w:val="20"/>
                <w:szCs w:val="20"/>
                <w:color w:val="auto"/>
              </w:rPr>
            </w:pPr>
            <w:r>
              <w:rPr>
                <w:rFonts w:ascii="Arial" w:cs="Arial" w:eastAsia="Arial" w:hAnsi="Arial"/>
                <w:sz w:val="16"/>
                <w:szCs w:val="16"/>
                <w:color w:val="auto"/>
              </w:rPr>
              <w:t>1,332</w:t>
            </w:r>
          </w:p>
        </w:tc>
        <w:tc>
          <w:tcPr>
            <w:tcW w:w="180" w:type="dxa"/>
            <w:vAlign w:val="bottom"/>
          </w:tcPr>
          <w:p>
            <w:pPr>
              <w:spacing w:after="0"/>
              <w:rPr>
                <w:sz w:val="23"/>
                <w:szCs w:val="23"/>
                <w:color w:val="auto"/>
              </w:rPr>
            </w:pPr>
          </w:p>
        </w:tc>
        <w:tc>
          <w:tcPr>
            <w:tcW w:w="1240" w:type="dxa"/>
            <w:vAlign w:val="bottom"/>
          </w:tcPr>
          <w:p>
            <w:pPr>
              <w:jc w:val="right"/>
              <w:ind w:right="60"/>
              <w:spacing w:after="0"/>
              <w:rPr>
                <w:sz w:val="20"/>
                <w:szCs w:val="20"/>
                <w:color w:val="auto"/>
              </w:rPr>
            </w:pPr>
            <w:r>
              <w:rPr>
                <w:rFonts w:ascii="Arial" w:cs="Arial" w:eastAsia="Arial" w:hAnsi="Arial"/>
                <w:sz w:val="16"/>
                <w:szCs w:val="16"/>
                <w:color w:val="auto"/>
              </w:rPr>
              <w:t>1,407</w:t>
            </w:r>
          </w:p>
        </w:tc>
        <w:tc>
          <w:tcPr>
            <w:tcW w:w="240" w:type="dxa"/>
            <w:vAlign w:val="bottom"/>
          </w:tcPr>
          <w:p>
            <w:pPr>
              <w:spacing w:after="0"/>
              <w:rPr>
                <w:sz w:val="23"/>
                <w:szCs w:val="23"/>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1,206</w:t>
            </w:r>
          </w:p>
        </w:tc>
      </w:tr>
      <w:tr>
        <w:trPr>
          <w:trHeight w:val="270"/>
        </w:trPr>
        <w:tc>
          <w:tcPr>
            <w:tcW w:w="4000" w:type="dxa"/>
            <w:vAlign w:val="bottom"/>
          </w:tcPr>
          <w:p>
            <w:pPr>
              <w:ind w:left="280"/>
              <w:spacing w:after="0"/>
              <w:rPr>
                <w:sz w:val="20"/>
                <w:szCs w:val="20"/>
                <w:color w:val="auto"/>
              </w:rPr>
            </w:pPr>
            <w:r>
              <w:rPr>
                <w:rFonts w:ascii="Arial" w:cs="Arial" w:eastAsia="Arial" w:hAnsi="Arial"/>
                <w:sz w:val="16"/>
                <w:szCs w:val="16"/>
                <w:color w:val="auto"/>
              </w:rPr>
              <w:t>Professional (U.S.)</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b w:val="1"/>
                <w:bCs w:val="1"/>
                <w:color w:val="auto"/>
              </w:rPr>
              <w:t>642</w:t>
            </w:r>
          </w:p>
        </w:tc>
        <w:tc>
          <w:tcPr>
            <w:tcW w:w="32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783</w:t>
            </w:r>
          </w:p>
        </w:tc>
        <w:tc>
          <w:tcPr>
            <w:tcW w:w="360" w:type="dxa"/>
            <w:vAlign w:val="bottom"/>
          </w:tcPr>
          <w:p>
            <w:pPr>
              <w:spacing w:after="0"/>
              <w:rPr>
                <w:sz w:val="23"/>
                <w:szCs w:val="23"/>
                <w:color w:val="auto"/>
              </w:rPr>
            </w:pPr>
          </w:p>
        </w:tc>
        <w:tc>
          <w:tcPr>
            <w:tcW w:w="1180" w:type="dxa"/>
            <w:vAlign w:val="bottom"/>
          </w:tcPr>
          <w:p>
            <w:pPr>
              <w:jc w:val="right"/>
              <w:ind w:right="120"/>
              <w:spacing w:after="0"/>
              <w:rPr>
                <w:sz w:val="20"/>
                <w:szCs w:val="20"/>
                <w:color w:val="auto"/>
              </w:rPr>
            </w:pPr>
            <w:r>
              <w:rPr>
                <w:rFonts w:ascii="Arial" w:cs="Arial" w:eastAsia="Arial" w:hAnsi="Arial"/>
                <w:sz w:val="16"/>
                <w:szCs w:val="16"/>
                <w:color w:val="auto"/>
              </w:rPr>
              <w:t>765</w:t>
            </w:r>
          </w:p>
        </w:tc>
        <w:tc>
          <w:tcPr>
            <w:tcW w:w="180" w:type="dxa"/>
            <w:vAlign w:val="bottom"/>
          </w:tcPr>
          <w:p>
            <w:pPr>
              <w:spacing w:after="0"/>
              <w:rPr>
                <w:sz w:val="23"/>
                <w:szCs w:val="23"/>
                <w:color w:val="auto"/>
              </w:rPr>
            </w:pPr>
          </w:p>
        </w:tc>
        <w:tc>
          <w:tcPr>
            <w:tcW w:w="1240" w:type="dxa"/>
            <w:vAlign w:val="bottom"/>
          </w:tcPr>
          <w:p>
            <w:pPr>
              <w:jc w:val="right"/>
              <w:ind w:right="60"/>
              <w:spacing w:after="0"/>
              <w:rPr>
                <w:sz w:val="20"/>
                <w:szCs w:val="20"/>
                <w:color w:val="auto"/>
              </w:rPr>
            </w:pPr>
            <w:r>
              <w:rPr>
                <w:rFonts w:ascii="Arial" w:cs="Arial" w:eastAsia="Arial" w:hAnsi="Arial"/>
                <w:sz w:val="16"/>
                <w:szCs w:val="16"/>
                <w:color w:val="auto"/>
              </w:rPr>
              <w:t>758</w:t>
            </w:r>
          </w:p>
        </w:tc>
        <w:tc>
          <w:tcPr>
            <w:tcW w:w="240" w:type="dxa"/>
            <w:vAlign w:val="bottom"/>
          </w:tcPr>
          <w:p>
            <w:pPr>
              <w:spacing w:after="0"/>
              <w:rPr>
                <w:sz w:val="23"/>
                <w:szCs w:val="23"/>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735</w:t>
            </w:r>
          </w:p>
        </w:tc>
      </w:tr>
      <w:tr>
        <w:trPr>
          <w:trHeight w:val="283"/>
        </w:trPr>
        <w:tc>
          <w:tcPr>
            <w:tcW w:w="400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154</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130</w:t>
            </w: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135</w:t>
            </w:r>
          </w:p>
        </w:tc>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130</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175</w:t>
            </w:r>
          </w:p>
        </w:tc>
      </w:tr>
      <w:tr>
        <w:trPr>
          <w:trHeight w:val="264"/>
        </w:trPr>
        <w:tc>
          <w:tcPr>
            <w:tcW w:w="4000" w:type="dxa"/>
            <w:vAlign w:val="bottom"/>
          </w:tcPr>
          <w:p>
            <w:pPr>
              <w:spacing w:after="0"/>
              <w:rPr>
                <w:sz w:val="22"/>
                <w:szCs w:val="22"/>
                <w:color w:val="auto"/>
              </w:rPr>
            </w:pPr>
          </w:p>
        </w:tc>
        <w:tc>
          <w:tcPr>
            <w:tcW w:w="3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7,606</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8,584</w:t>
            </w:r>
          </w:p>
        </w:tc>
        <w:tc>
          <w:tcPr>
            <w:tcW w:w="3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8,325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8,085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7,912</w:t>
            </w:r>
          </w:p>
        </w:tc>
      </w:tr>
      <w:tr>
        <w:trPr>
          <w:trHeight w:val="251"/>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Amortization of Intangible Assets</w:t>
            </w:r>
          </w:p>
        </w:tc>
        <w:tc>
          <w:tcPr>
            <w:tcW w:w="38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1180" w:type="dxa"/>
            <w:vAlign w:val="bottom"/>
          </w:tcPr>
          <w:p>
            <w:pPr>
              <w:jc w:val="right"/>
              <w:ind w:right="60"/>
              <w:spacing w:after="0"/>
              <w:rPr>
                <w:sz w:val="20"/>
                <w:szCs w:val="20"/>
                <w:color w:val="auto"/>
              </w:rPr>
            </w:pPr>
            <w:r>
              <w:rPr>
                <w:rFonts w:ascii="Arial" w:cs="Arial" w:eastAsia="Arial" w:hAnsi="Arial"/>
                <w:sz w:val="16"/>
                <w:szCs w:val="16"/>
                <w:b w:val="1"/>
                <w:bCs w:val="1"/>
                <w:color w:val="auto"/>
              </w:rPr>
              <w:t>1,149</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1,120</w:t>
            </w:r>
          </w:p>
        </w:tc>
        <w:tc>
          <w:tcPr>
            <w:tcW w:w="3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20"/>
              <w:spacing w:after="0"/>
              <w:rPr>
                <w:sz w:val="20"/>
                <w:szCs w:val="20"/>
                <w:color w:val="auto"/>
              </w:rPr>
            </w:pPr>
            <w:r>
              <w:rPr>
                <w:rFonts w:ascii="Arial" w:cs="Arial" w:eastAsia="Arial" w:hAnsi="Arial"/>
                <w:sz w:val="16"/>
                <w:szCs w:val="16"/>
                <w:color w:val="auto"/>
              </w:rPr>
              <w:t>1,323</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60"/>
              <w:spacing w:after="0"/>
              <w:rPr>
                <w:sz w:val="20"/>
                <w:szCs w:val="20"/>
                <w:color w:val="auto"/>
              </w:rPr>
            </w:pPr>
            <w:r>
              <w:rPr>
                <w:rFonts w:ascii="Arial" w:cs="Arial" w:eastAsia="Arial" w:hAnsi="Arial"/>
                <w:sz w:val="16"/>
                <w:szCs w:val="16"/>
                <w:color w:val="auto"/>
              </w:rPr>
              <w:t>1,355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1,364</w:t>
            </w:r>
          </w:p>
        </w:tc>
      </w:tr>
      <w:tr>
        <w:trPr>
          <w:trHeight w:val="270"/>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Pension Expense</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70"/>
        </w:trPr>
        <w:tc>
          <w:tcPr>
            <w:tcW w:w="400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38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1180" w:type="dxa"/>
            <w:vAlign w:val="bottom"/>
          </w:tcPr>
          <w:p>
            <w:pPr>
              <w:jc w:val="right"/>
              <w:ind w:right="60"/>
              <w:spacing w:after="0"/>
              <w:rPr>
                <w:sz w:val="20"/>
                <w:szCs w:val="20"/>
                <w:color w:val="auto"/>
              </w:rPr>
            </w:pPr>
            <w:r>
              <w:rPr>
                <w:rFonts w:ascii="Arial" w:cs="Arial" w:eastAsia="Arial" w:hAnsi="Arial"/>
                <w:sz w:val="16"/>
                <w:szCs w:val="16"/>
                <w:b w:val="1"/>
                <w:bCs w:val="1"/>
                <w:color w:val="auto"/>
              </w:rPr>
              <w:t>83</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87</w:t>
            </w:r>
          </w:p>
        </w:tc>
        <w:tc>
          <w:tcPr>
            <w:tcW w:w="3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20"/>
              <w:spacing w:after="0"/>
              <w:rPr>
                <w:sz w:val="20"/>
                <w:szCs w:val="20"/>
                <w:color w:val="auto"/>
              </w:rPr>
            </w:pPr>
            <w:r>
              <w:rPr>
                <w:rFonts w:ascii="Arial" w:cs="Arial" w:eastAsia="Arial" w:hAnsi="Arial"/>
                <w:sz w:val="16"/>
                <w:szCs w:val="16"/>
                <w:color w:val="auto"/>
              </w:rPr>
              <w:t>87</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60"/>
              <w:spacing w:after="0"/>
              <w:rPr>
                <w:sz w:val="20"/>
                <w:szCs w:val="20"/>
                <w:color w:val="auto"/>
              </w:rPr>
            </w:pPr>
            <w:r>
              <w:rPr>
                <w:rFonts w:ascii="Arial" w:cs="Arial" w:eastAsia="Arial" w:hAnsi="Arial"/>
                <w:sz w:val="16"/>
                <w:szCs w:val="16"/>
                <w:color w:val="auto"/>
              </w:rPr>
              <w:t>24</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66</w:t>
            </w:r>
          </w:p>
        </w:tc>
      </w:tr>
      <w:tr>
        <w:trPr>
          <w:trHeight w:val="270"/>
        </w:trPr>
        <w:tc>
          <w:tcPr>
            <w:tcW w:w="400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b w:val="1"/>
                <w:bCs w:val="1"/>
                <w:color w:val="auto"/>
              </w:rPr>
              <w:t>1,406</w:t>
            </w:r>
          </w:p>
        </w:tc>
        <w:tc>
          <w:tcPr>
            <w:tcW w:w="32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1,742</w:t>
            </w:r>
          </w:p>
        </w:tc>
        <w:tc>
          <w:tcPr>
            <w:tcW w:w="360" w:type="dxa"/>
            <w:vAlign w:val="bottom"/>
          </w:tcPr>
          <w:p>
            <w:pPr>
              <w:spacing w:after="0"/>
              <w:rPr>
                <w:sz w:val="23"/>
                <w:szCs w:val="23"/>
                <w:color w:val="auto"/>
              </w:rPr>
            </w:pPr>
          </w:p>
        </w:tc>
        <w:tc>
          <w:tcPr>
            <w:tcW w:w="1180" w:type="dxa"/>
            <w:vAlign w:val="bottom"/>
          </w:tcPr>
          <w:p>
            <w:pPr>
              <w:jc w:val="right"/>
              <w:ind w:right="120"/>
              <w:spacing w:after="0"/>
              <w:rPr>
                <w:sz w:val="20"/>
                <w:szCs w:val="20"/>
                <w:color w:val="auto"/>
              </w:rPr>
            </w:pPr>
            <w:r>
              <w:rPr>
                <w:rFonts w:ascii="Arial" w:cs="Arial" w:eastAsia="Arial" w:hAnsi="Arial"/>
                <w:sz w:val="16"/>
                <w:szCs w:val="16"/>
                <w:color w:val="auto"/>
              </w:rPr>
              <w:t>1,742</w:t>
            </w:r>
          </w:p>
        </w:tc>
        <w:tc>
          <w:tcPr>
            <w:tcW w:w="180" w:type="dxa"/>
            <w:vAlign w:val="bottom"/>
          </w:tcPr>
          <w:p>
            <w:pPr>
              <w:spacing w:after="0"/>
              <w:rPr>
                <w:sz w:val="23"/>
                <w:szCs w:val="23"/>
                <w:color w:val="auto"/>
              </w:rPr>
            </w:pPr>
          </w:p>
        </w:tc>
        <w:tc>
          <w:tcPr>
            <w:tcW w:w="1240" w:type="dxa"/>
            <w:vAlign w:val="bottom"/>
          </w:tcPr>
          <w:p>
            <w:pPr>
              <w:jc w:val="right"/>
              <w:ind w:right="60"/>
              <w:spacing w:after="0"/>
              <w:rPr>
                <w:sz w:val="20"/>
                <w:szCs w:val="20"/>
                <w:color w:val="auto"/>
              </w:rPr>
            </w:pPr>
            <w:r>
              <w:rPr>
                <w:rFonts w:ascii="Arial" w:cs="Arial" w:eastAsia="Arial" w:hAnsi="Arial"/>
                <w:sz w:val="16"/>
                <w:szCs w:val="16"/>
                <w:color w:val="auto"/>
              </w:rPr>
              <w:t>467</w:t>
            </w:r>
          </w:p>
        </w:tc>
        <w:tc>
          <w:tcPr>
            <w:tcW w:w="240" w:type="dxa"/>
            <w:vAlign w:val="bottom"/>
          </w:tcPr>
          <w:p>
            <w:pPr>
              <w:spacing w:after="0"/>
              <w:rPr>
                <w:sz w:val="23"/>
                <w:szCs w:val="23"/>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1,318</w:t>
            </w:r>
          </w:p>
        </w:tc>
      </w:tr>
      <w:tr>
        <w:trPr>
          <w:trHeight w:val="270"/>
        </w:trPr>
        <w:tc>
          <w:tcPr>
            <w:tcW w:w="400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b w:val="1"/>
                <w:bCs w:val="1"/>
                <w:color w:val="auto"/>
              </w:rPr>
              <w:t>729</w:t>
            </w:r>
          </w:p>
        </w:tc>
        <w:tc>
          <w:tcPr>
            <w:tcW w:w="32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911</w:t>
            </w:r>
          </w:p>
        </w:tc>
        <w:tc>
          <w:tcPr>
            <w:tcW w:w="360" w:type="dxa"/>
            <w:vAlign w:val="bottom"/>
          </w:tcPr>
          <w:p>
            <w:pPr>
              <w:spacing w:after="0"/>
              <w:rPr>
                <w:sz w:val="23"/>
                <w:szCs w:val="23"/>
                <w:color w:val="auto"/>
              </w:rPr>
            </w:pPr>
          </w:p>
        </w:tc>
        <w:tc>
          <w:tcPr>
            <w:tcW w:w="1180" w:type="dxa"/>
            <w:vAlign w:val="bottom"/>
          </w:tcPr>
          <w:p>
            <w:pPr>
              <w:jc w:val="right"/>
              <w:ind w:right="120"/>
              <w:spacing w:after="0"/>
              <w:rPr>
                <w:sz w:val="20"/>
                <w:szCs w:val="20"/>
                <w:color w:val="auto"/>
              </w:rPr>
            </w:pPr>
            <w:r>
              <w:rPr>
                <w:rFonts w:ascii="Arial" w:cs="Arial" w:eastAsia="Arial" w:hAnsi="Arial"/>
                <w:sz w:val="16"/>
                <w:szCs w:val="16"/>
                <w:color w:val="auto"/>
              </w:rPr>
              <w:t>911</w:t>
            </w:r>
          </w:p>
        </w:tc>
        <w:tc>
          <w:tcPr>
            <w:tcW w:w="180" w:type="dxa"/>
            <w:vAlign w:val="bottom"/>
          </w:tcPr>
          <w:p>
            <w:pPr>
              <w:spacing w:after="0"/>
              <w:rPr>
                <w:sz w:val="23"/>
                <w:szCs w:val="23"/>
                <w:color w:val="auto"/>
              </w:rPr>
            </w:pPr>
          </w:p>
        </w:tc>
        <w:tc>
          <w:tcPr>
            <w:tcW w:w="1240" w:type="dxa"/>
            <w:vAlign w:val="bottom"/>
          </w:tcPr>
          <w:p>
            <w:pPr>
              <w:jc w:val="right"/>
              <w:ind w:right="60"/>
              <w:spacing w:after="0"/>
              <w:rPr>
                <w:sz w:val="20"/>
                <w:szCs w:val="20"/>
                <w:color w:val="auto"/>
              </w:rPr>
            </w:pPr>
            <w:r>
              <w:rPr>
                <w:rFonts w:ascii="Arial" w:cs="Arial" w:eastAsia="Arial" w:hAnsi="Arial"/>
                <w:sz w:val="16"/>
                <w:szCs w:val="16"/>
                <w:color w:val="auto"/>
              </w:rPr>
              <w:t>244</w:t>
            </w:r>
          </w:p>
        </w:tc>
        <w:tc>
          <w:tcPr>
            <w:tcW w:w="240" w:type="dxa"/>
            <w:vAlign w:val="bottom"/>
          </w:tcPr>
          <w:p>
            <w:pPr>
              <w:spacing w:after="0"/>
              <w:rPr>
                <w:sz w:val="23"/>
                <w:szCs w:val="23"/>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689</w:t>
            </w:r>
          </w:p>
        </w:tc>
      </w:tr>
      <w:tr>
        <w:trPr>
          <w:trHeight w:val="270"/>
        </w:trPr>
        <w:tc>
          <w:tcPr>
            <w:tcW w:w="4000" w:type="dxa"/>
            <w:vAlign w:val="bottom"/>
          </w:tcPr>
          <w:p>
            <w:pPr>
              <w:ind w:left="280"/>
              <w:spacing w:after="0"/>
              <w:rPr>
                <w:sz w:val="20"/>
                <w:szCs w:val="20"/>
                <w:color w:val="auto"/>
              </w:rPr>
            </w:pPr>
            <w:r>
              <w:rPr>
                <w:rFonts w:ascii="Arial" w:cs="Arial" w:eastAsia="Arial" w:hAnsi="Arial"/>
                <w:sz w:val="16"/>
                <w:szCs w:val="16"/>
                <w:color w:val="auto"/>
              </w:rPr>
              <w:t>Professional (U.S.)</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b w:val="1"/>
                <w:bCs w:val="1"/>
                <w:color w:val="auto"/>
              </w:rPr>
              <w:t>290</w:t>
            </w:r>
          </w:p>
        </w:tc>
        <w:tc>
          <w:tcPr>
            <w:tcW w:w="32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302</w:t>
            </w:r>
          </w:p>
        </w:tc>
        <w:tc>
          <w:tcPr>
            <w:tcW w:w="360" w:type="dxa"/>
            <w:vAlign w:val="bottom"/>
          </w:tcPr>
          <w:p>
            <w:pPr>
              <w:spacing w:after="0"/>
              <w:rPr>
                <w:sz w:val="23"/>
                <w:szCs w:val="23"/>
                <w:color w:val="auto"/>
              </w:rPr>
            </w:pPr>
          </w:p>
        </w:tc>
        <w:tc>
          <w:tcPr>
            <w:tcW w:w="1180" w:type="dxa"/>
            <w:vAlign w:val="bottom"/>
          </w:tcPr>
          <w:p>
            <w:pPr>
              <w:jc w:val="right"/>
              <w:ind w:right="120"/>
              <w:spacing w:after="0"/>
              <w:rPr>
                <w:sz w:val="20"/>
                <w:szCs w:val="20"/>
                <w:color w:val="auto"/>
              </w:rPr>
            </w:pPr>
            <w:r>
              <w:rPr>
                <w:rFonts w:ascii="Arial" w:cs="Arial" w:eastAsia="Arial" w:hAnsi="Arial"/>
                <w:sz w:val="16"/>
                <w:szCs w:val="16"/>
                <w:color w:val="auto"/>
              </w:rPr>
              <w:t>302</w:t>
            </w:r>
          </w:p>
        </w:tc>
        <w:tc>
          <w:tcPr>
            <w:tcW w:w="180" w:type="dxa"/>
            <w:vAlign w:val="bottom"/>
          </w:tcPr>
          <w:p>
            <w:pPr>
              <w:spacing w:after="0"/>
              <w:rPr>
                <w:sz w:val="23"/>
                <w:szCs w:val="23"/>
                <w:color w:val="auto"/>
              </w:rPr>
            </w:pPr>
          </w:p>
        </w:tc>
        <w:tc>
          <w:tcPr>
            <w:tcW w:w="1240" w:type="dxa"/>
            <w:vAlign w:val="bottom"/>
          </w:tcPr>
          <w:p>
            <w:pPr>
              <w:jc w:val="right"/>
              <w:ind w:right="60"/>
              <w:spacing w:after="0"/>
              <w:rPr>
                <w:sz w:val="20"/>
                <w:szCs w:val="20"/>
                <w:color w:val="auto"/>
              </w:rPr>
            </w:pPr>
            <w:r>
              <w:rPr>
                <w:rFonts w:ascii="Arial" w:cs="Arial" w:eastAsia="Arial" w:hAnsi="Arial"/>
                <w:sz w:val="16"/>
                <w:szCs w:val="16"/>
                <w:color w:val="auto"/>
              </w:rPr>
              <w:t>81</w:t>
            </w:r>
          </w:p>
        </w:tc>
        <w:tc>
          <w:tcPr>
            <w:tcW w:w="240" w:type="dxa"/>
            <w:vAlign w:val="bottom"/>
          </w:tcPr>
          <w:p>
            <w:pPr>
              <w:spacing w:after="0"/>
              <w:rPr>
                <w:sz w:val="23"/>
                <w:szCs w:val="23"/>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228</w:t>
            </w:r>
          </w:p>
        </w:tc>
      </w:tr>
      <w:tr>
        <w:trPr>
          <w:trHeight w:val="283"/>
        </w:trPr>
        <w:tc>
          <w:tcPr>
            <w:tcW w:w="400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156</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w:t>
            </w: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(889)</w:t>
            </w:r>
          </w:p>
        </w:tc>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1,614</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130</w:t>
            </w:r>
          </w:p>
        </w:tc>
      </w:tr>
      <w:tr>
        <w:trPr>
          <w:trHeight w:val="264"/>
        </w:trPr>
        <w:tc>
          <w:tcPr>
            <w:tcW w:w="4000" w:type="dxa"/>
            <w:vAlign w:val="bottom"/>
          </w:tcPr>
          <w:p>
            <w:pPr>
              <w:spacing w:after="0"/>
              <w:rPr>
                <w:sz w:val="22"/>
                <w:szCs w:val="22"/>
                <w:color w:val="auto"/>
              </w:rPr>
            </w:pPr>
          </w:p>
        </w:tc>
        <w:tc>
          <w:tcPr>
            <w:tcW w:w="3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2,664</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2,706</w:t>
            </w:r>
          </w:p>
        </w:tc>
        <w:tc>
          <w:tcPr>
            <w:tcW w:w="3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2,153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2,430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2,431</w:t>
            </w: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773"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The following table summarizes annual financial information related to the reportable segments of the Company's education division segments: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2016</w:t>
            </w:r>
          </w:p>
        </w:tc>
      </w:tr>
      <w:tr>
        <w:trPr>
          <w:trHeight w:val="250"/>
        </w:trPr>
        <w:tc>
          <w:tcPr>
            <w:tcW w:w="836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0"/>
        </w:trPr>
        <w:tc>
          <w:tcPr>
            <w:tcW w:w="836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697,999</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696,362</w:t>
            </w:r>
          </w:p>
        </w:tc>
      </w:tr>
      <w:tr>
        <w:trPr>
          <w:trHeight w:val="270"/>
        </w:trPr>
        <w:tc>
          <w:tcPr>
            <w:tcW w:w="836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340" w:type="dxa"/>
            <w:vAlign w:val="bottom"/>
          </w:tcPr>
          <w:p>
            <w:pPr>
              <w:spacing w:after="0"/>
              <w:rPr>
                <w:sz w:val="23"/>
                <w:szCs w:val="23"/>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431,425</w:t>
            </w:r>
          </w:p>
        </w:tc>
        <w:tc>
          <w:tcPr>
            <w:tcW w:w="4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501,784</w:t>
            </w:r>
          </w:p>
        </w:tc>
      </w:tr>
      <w:tr>
        <w:trPr>
          <w:trHeight w:val="270"/>
        </w:trPr>
        <w:tc>
          <w:tcPr>
            <w:tcW w:w="836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340" w:type="dxa"/>
            <w:vAlign w:val="bottom"/>
          </w:tcPr>
          <w:p>
            <w:pPr>
              <w:spacing w:after="0"/>
              <w:rPr>
                <w:sz w:val="23"/>
                <w:szCs w:val="23"/>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273,298</w:t>
            </w:r>
          </w:p>
        </w:tc>
        <w:tc>
          <w:tcPr>
            <w:tcW w:w="4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286,556</w:t>
            </w:r>
          </w:p>
        </w:tc>
      </w:tr>
      <w:tr>
        <w:trPr>
          <w:trHeight w:val="270"/>
        </w:trPr>
        <w:tc>
          <w:tcPr>
            <w:tcW w:w="8360" w:type="dxa"/>
            <w:vAlign w:val="bottom"/>
          </w:tcPr>
          <w:p>
            <w:pPr>
              <w:ind w:left="280"/>
              <w:spacing w:after="0"/>
              <w:rPr>
                <w:sz w:val="20"/>
                <w:szCs w:val="20"/>
                <w:color w:val="auto"/>
              </w:rPr>
            </w:pPr>
            <w:r>
              <w:rPr>
                <w:rFonts w:ascii="Arial" w:cs="Arial" w:eastAsia="Arial" w:hAnsi="Arial"/>
                <w:sz w:val="16"/>
                <w:szCs w:val="16"/>
                <w:color w:val="auto"/>
              </w:rPr>
              <w:t>Professional (U.S.)</w:t>
            </w:r>
          </w:p>
        </w:tc>
        <w:tc>
          <w:tcPr>
            <w:tcW w:w="340" w:type="dxa"/>
            <w:vAlign w:val="bottom"/>
          </w:tcPr>
          <w:p>
            <w:pPr>
              <w:spacing w:after="0"/>
              <w:rPr>
                <w:sz w:val="23"/>
                <w:szCs w:val="23"/>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115,839</w:t>
            </w:r>
          </w:p>
        </w:tc>
        <w:tc>
          <w:tcPr>
            <w:tcW w:w="4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115,263</w:t>
            </w:r>
          </w:p>
        </w:tc>
      </w:tr>
      <w:tr>
        <w:trPr>
          <w:trHeight w:val="270"/>
        </w:trPr>
        <w:tc>
          <w:tcPr>
            <w:tcW w:w="836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340" w:type="dxa"/>
            <w:vAlign w:val="bottom"/>
          </w:tcPr>
          <w:p>
            <w:pPr>
              <w:spacing w:after="0"/>
              <w:rPr>
                <w:sz w:val="23"/>
                <w:szCs w:val="23"/>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294</w:t>
            </w:r>
          </w:p>
        </w:tc>
        <w:tc>
          <w:tcPr>
            <w:tcW w:w="4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214</w:t>
            </w:r>
          </w:p>
        </w:tc>
      </w:tr>
      <w:tr>
        <w:trPr>
          <w:trHeight w:val="283"/>
        </w:trPr>
        <w:tc>
          <w:tcPr>
            <w:tcW w:w="836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(2,079)</w:t>
            </w:r>
          </w:p>
        </w:tc>
        <w:tc>
          <w:tcPr>
            <w:tcW w:w="4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(1,718)</w:t>
            </w:r>
          </w:p>
        </w:tc>
      </w:tr>
      <w:tr>
        <w:trPr>
          <w:trHeight w:val="264"/>
        </w:trPr>
        <w:tc>
          <w:tcPr>
            <w:tcW w:w="8360" w:type="dxa"/>
            <w:vAlign w:val="bottom"/>
          </w:tcPr>
          <w:p>
            <w:pPr>
              <w:spacing w:after="0"/>
              <w:rPr>
                <w:sz w:val="22"/>
                <w:szCs w:val="22"/>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1,516,776</w:t>
            </w:r>
          </w:p>
        </w:tc>
        <w:tc>
          <w:tcPr>
            <w:tcW w:w="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1,598,461</w:t>
            </w:r>
          </w:p>
        </w:tc>
      </w:tr>
      <w:tr>
        <w:trPr>
          <w:trHeight w:val="251"/>
        </w:trPr>
        <w:tc>
          <w:tcPr>
            <w:tcW w:w="8360" w:type="dxa"/>
            <w:vAlign w:val="bottom"/>
          </w:tcPr>
          <w:p>
            <w:pPr>
              <w:ind w:left="40"/>
              <w:spacing w:after="0"/>
              <w:rPr>
                <w:sz w:val="20"/>
                <w:szCs w:val="20"/>
                <w:color w:val="auto"/>
              </w:rPr>
            </w:pPr>
            <w:r>
              <w:rPr>
                <w:rFonts w:ascii="Arial" w:cs="Arial" w:eastAsia="Arial" w:hAnsi="Arial"/>
                <w:sz w:val="16"/>
                <w:szCs w:val="16"/>
                <w:b w:val="1"/>
                <w:bCs w:val="1"/>
                <w:color w:val="auto"/>
              </w:rPr>
              <w:t>Income (Loss) from Operations</w:t>
            </w: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0"/>
        </w:trPr>
        <w:tc>
          <w:tcPr>
            <w:tcW w:w="836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51,623</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48,398</w:t>
            </w:r>
          </w:p>
        </w:tc>
      </w:tr>
      <w:tr>
        <w:trPr>
          <w:trHeight w:val="270"/>
        </w:trPr>
        <w:tc>
          <w:tcPr>
            <w:tcW w:w="836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340" w:type="dxa"/>
            <w:vAlign w:val="bottom"/>
          </w:tcPr>
          <w:p>
            <w:pPr>
              <w:spacing w:after="0"/>
              <w:rPr>
                <w:sz w:val="23"/>
                <w:szCs w:val="23"/>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16,719</w:t>
            </w:r>
          </w:p>
        </w:tc>
        <w:tc>
          <w:tcPr>
            <w:tcW w:w="4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39,196</w:t>
            </w:r>
          </w:p>
        </w:tc>
      </w:tr>
      <w:tr>
        <w:trPr>
          <w:trHeight w:val="270"/>
        </w:trPr>
        <w:tc>
          <w:tcPr>
            <w:tcW w:w="836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340" w:type="dxa"/>
            <w:vAlign w:val="bottom"/>
          </w:tcPr>
          <w:p>
            <w:pPr>
              <w:spacing w:after="0"/>
              <w:rPr>
                <w:sz w:val="23"/>
                <w:szCs w:val="23"/>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11,507</w:t>
            </w:r>
          </w:p>
        </w:tc>
        <w:tc>
          <w:tcPr>
            <w:tcW w:w="4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9,599</w:t>
            </w:r>
          </w:p>
        </w:tc>
      </w:tr>
      <w:tr>
        <w:trPr>
          <w:trHeight w:val="270"/>
        </w:trPr>
        <w:tc>
          <w:tcPr>
            <w:tcW w:w="8360" w:type="dxa"/>
            <w:vAlign w:val="bottom"/>
          </w:tcPr>
          <w:p>
            <w:pPr>
              <w:ind w:left="280"/>
              <w:spacing w:after="0"/>
              <w:rPr>
                <w:sz w:val="20"/>
                <w:szCs w:val="20"/>
                <w:color w:val="auto"/>
              </w:rPr>
            </w:pPr>
            <w:r>
              <w:rPr>
                <w:rFonts w:ascii="Arial" w:cs="Arial" w:eastAsia="Arial" w:hAnsi="Arial"/>
                <w:sz w:val="16"/>
                <w:szCs w:val="16"/>
                <w:color w:val="auto"/>
              </w:rPr>
              <w:t>Professional (U.S.)</w:t>
            </w:r>
          </w:p>
        </w:tc>
        <w:tc>
          <w:tcPr>
            <w:tcW w:w="340" w:type="dxa"/>
            <w:vAlign w:val="bottom"/>
          </w:tcPr>
          <w:p>
            <w:pPr>
              <w:spacing w:after="0"/>
              <w:rPr>
                <w:sz w:val="23"/>
                <w:szCs w:val="23"/>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27,558</w:t>
            </w:r>
          </w:p>
        </w:tc>
        <w:tc>
          <w:tcPr>
            <w:tcW w:w="4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27,436</w:t>
            </w:r>
          </w:p>
        </w:tc>
      </w:tr>
      <w:tr>
        <w:trPr>
          <w:trHeight w:val="270"/>
        </w:trPr>
        <w:tc>
          <w:tcPr>
            <w:tcW w:w="836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34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(29,863)</w:t>
            </w:r>
          </w:p>
        </w:tc>
        <w:tc>
          <w:tcPr>
            <w:tcW w:w="4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(29,279)</w:t>
            </w:r>
          </w:p>
        </w:tc>
      </w:tr>
      <w:tr>
        <w:trPr>
          <w:trHeight w:val="283"/>
        </w:trPr>
        <w:tc>
          <w:tcPr>
            <w:tcW w:w="836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143</w:t>
            </w:r>
          </w:p>
        </w:tc>
        <w:tc>
          <w:tcPr>
            <w:tcW w:w="4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r>
      <w:tr>
        <w:trPr>
          <w:trHeight w:val="264"/>
        </w:trPr>
        <w:tc>
          <w:tcPr>
            <w:tcW w:w="8360" w:type="dxa"/>
            <w:vAlign w:val="bottom"/>
          </w:tcPr>
          <w:p>
            <w:pPr>
              <w:spacing w:after="0"/>
              <w:rPr>
                <w:sz w:val="22"/>
                <w:szCs w:val="22"/>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77,687</w:t>
            </w:r>
          </w:p>
        </w:tc>
        <w:tc>
          <w:tcPr>
            <w:tcW w:w="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95,321</w:t>
            </w:r>
          </w:p>
        </w:tc>
      </w:tr>
      <w:tr>
        <w:trPr>
          <w:trHeight w:val="251"/>
        </w:trPr>
        <w:tc>
          <w:tcPr>
            <w:tcW w:w="8360" w:type="dxa"/>
            <w:vAlign w:val="bottom"/>
          </w:tcPr>
          <w:p>
            <w:pPr>
              <w:ind w:left="40"/>
              <w:spacing w:after="0"/>
              <w:rPr>
                <w:sz w:val="20"/>
                <w:szCs w:val="20"/>
                <w:color w:val="auto"/>
              </w:rPr>
            </w:pPr>
            <w:r>
              <w:rPr>
                <w:rFonts w:ascii="Arial" w:cs="Arial" w:eastAsia="Arial" w:hAnsi="Arial"/>
                <w:sz w:val="16"/>
                <w:szCs w:val="16"/>
                <w:b w:val="1"/>
                <w:bCs w:val="1"/>
                <w:color w:val="auto"/>
              </w:rPr>
              <w:t>Depreciation of Property, Plant and Equipment</w:t>
            </w: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0"/>
        </w:trPr>
        <w:tc>
          <w:tcPr>
            <w:tcW w:w="836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14,892</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17,523</w:t>
            </w:r>
          </w:p>
        </w:tc>
      </w:tr>
      <w:tr>
        <w:trPr>
          <w:trHeight w:val="270"/>
        </w:trPr>
        <w:tc>
          <w:tcPr>
            <w:tcW w:w="836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340" w:type="dxa"/>
            <w:vAlign w:val="bottom"/>
          </w:tcPr>
          <w:p>
            <w:pPr>
              <w:spacing w:after="0"/>
              <w:rPr>
                <w:sz w:val="23"/>
                <w:szCs w:val="23"/>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9,117</w:t>
            </w:r>
          </w:p>
        </w:tc>
        <w:tc>
          <w:tcPr>
            <w:tcW w:w="4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13,816</w:t>
            </w:r>
          </w:p>
        </w:tc>
      </w:tr>
      <w:tr>
        <w:trPr>
          <w:trHeight w:val="270"/>
        </w:trPr>
        <w:tc>
          <w:tcPr>
            <w:tcW w:w="836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340" w:type="dxa"/>
            <w:vAlign w:val="bottom"/>
          </w:tcPr>
          <w:p>
            <w:pPr>
              <w:spacing w:after="0"/>
              <w:rPr>
                <w:sz w:val="23"/>
                <w:szCs w:val="23"/>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5,286</w:t>
            </w:r>
          </w:p>
        </w:tc>
        <w:tc>
          <w:tcPr>
            <w:tcW w:w="4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6,287</w:t>
            </w:r>
          </w:p>
        </w:tc>
      </w:tr>
      <w:tr>
        <w:trPr>
          <w:trHeight w:val="270"/>
        </w:trPr>
        <w:tc>
          <w:tcPr>
            <w:tcW w:w="8360" w:type="dxa"/>
            <w:vAlign w:val="bottom"/>
          </w:tcPr>
          <w:p>
            <w:pPr>
              <w:ind w:left="280"/>
              <w:spacing w:after="0"/>
              <w:rPr>
                <w:sz w:val="20"/>
                <w:szCs w:val="20"/>
                <w:color w:val="auto"/>
              </w:rPr>
            </w:pPr>
            <w:r>
              <w:rPr>
                <w:rFonts w:ascii="Arial" w:cs="Arial" w:eastAsia="Arial" w:hAnsi="Arial"/>
                <w:sz w:val="16"/>
                <w:szCs w:val="16"/>
                <w:color w:val="auto"/>
              </w:rPr>
              <w:t>Professional (U.S.)</w:t>
            </w:r>
          </w:p>
        </w:tc>
        <w:tc>
          <w:tcPr>
            <w:tcW w:w="340" w:type="dxa"/>
            <w:vAlign w:val="bottom"/>
          </w:tcPr>
          <w:p>
            <w:pPr>
              <w:spacing w:after="0"/>
              <w:rPr>
                <w:sz w:val="23"/>
                <w:szCs w:val="23"/>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3,041</w:t>
            </w:r>
          </w:p>
        </w:tc>
        <w:tc>
          <w:tcPr>
            <w:tcW w:w="4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3,006</w:t>
            </w:r>
          </w:p>
        </w:tc>
      </w:tr>
      <w:tr>
        <w:trPr>
          <w:trHeight w:val="283"/>
        </w:trPr>
        <w:tc>
          <w:tcPr>
            <w:tcW w:w="836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570</w:t>
            </w:r>
          </w:p>
        </w:tc>
        <w:tc>
          <w:tcPr>
            <w:tcW w:w="4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555</w:t>
            </w:r>
          </w:p>
        </w:tc>
      </w:tr>
      <w:tr>
        <w:trPr>
          <w:trHeight w:val="264"/>
        </w:trPr>
        <w:tc>
          <w:tcPr>
            <w:tcW w:w="8360" w:type="dxa"/>
            <w:vAlign w:val="bottom"/>
          </w:tcPr>
          <w:p>
            <w:pPr>
              <w:spacing w:after="0"/>
              <w:rPr>
                <w:sz w:val="22"/>
                <w:szCs w:val="22"/>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32,906</w:t>
            </w:r>
          </w:p>
        </w:tc>
        <w:tc>
          <w:tcPr>
            <w:tcW w:w="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41,187</w:t>
            </w:r>
          </w:p>
        </w:tc>
      </w:tr>
      <w:tr>
        <w:trPr>
          <w:trHeight w:val="251"/>
        </w:trPr>
        <w:tc>
          <w:tcPr>
            <w:tcW w:w="8360" w:type="dxa"/>
            <w:vAlign w:val="bottom"/>
          </w:tcPr>
          <w:p>
            <w:pPr>
              <w:ind w:left="40"/>
              <w:spacing w:after="0"/>
              <w:rPr>
                <w:sz w:val="20"/>
                <w:szCs w:val="20"/>
                <w:color w:val="auto"/>
              </w:rPr>
            </w:pPr>
            <w:r>
              <w:rPr>
                <w:rFonts w:ascii="Arial" w:cs="Arial" w:eastAsia="Arial" w:hAnsi="Arial"/>
                <w:sz w:val="16"/>
                <w:szCs w:val="16"/>
                <w:b w:val="1"/>
                <w:bCs w:val="1"/>
                <w:color w:val="auto"/>
              </w:rPr>
              <w:t>Amortization of Intangible Assets</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5,162</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7,516</w:t>
            </w:r>
          </w:p>
        </w:tc>
      </w:tr>
      <w:tr>
        <w:trPr>
          <w:trHeight w:val="270"/>
        </w:trPr>
        <w:tc>
          <w:tcPr>
            <w:tcW w:w="8360" w:type="dxa"/>
            <w:vAlign w:val="bottom"/>
          </w:tcPr>
          <w:p>
            <w:pPr>
              <w:ind w:left="40"/>
              <w:spacing w:after="0"/>
              <w:rPr>
                <w:sz w:val="20"/>
                <w:szCs w:val="20"/>
                <w:color w:val="auto"/>
              </w:rPr>
            </w:pPr>
            <w:r>
              <w:rPr>
                <w:rFonts w:ascii="Arial" w:cs="Arial" w:eastAsia="Arial" w:hAnsi="Arial"/>
                <w:sz w:val="16"/>
                <w:szCs w:val="16"/>
                <w:b w:val="1"/>
                <w:bCs w:val="1"/>
                <w:color w:val="auto"/>
              </w:rPr>
              <w:t>Pension Expense</w:t>
            </w:r>
          </w:p>
        </w:tc>
        <w:tc>
          <w:tcPr>
            <w:tcW w:w="3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0"/>
        </w:trPr>
        <w:tc>
          <w:tcPr>
            <w:tcW w:w="836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264</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268</w:t>
            </w:r>
          </w:p>
        </w:tc>
      </w:tr>
      <w:tr>
        <w:trPr>
          <w:trHeight w:val="270"/>
        </w:trPr>
        <w:tc>
          <w:tcPr>
            <w:tcW w:w="836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340" w:type="dxa"/>
            <w:vAlign w:val="bottom"/>
          </w:tcPr>
          <w:p>
            <w:pPr>
              <w:spacing w:after="0"/>
              <w:rPr>
                <w:sz w:val="23"/>
                <w:szCs w:val="23"/>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5,269</w:t>
            </w:r>
          </w:p>
        </w:tc>
        <w:tc>
          <w:tcPr>
            <w:tcW w:w="4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6,544</w:t>
            </w:r>
          </w:p>
        </w:tc>
      </w:tr>
      <w:tr>
        <w:trPr>
          <w:trHeight w:val="270"/>
        </w:trPr>
        <w:tc>
          <w:tcPr>
            <w:tcW w:w="836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340" w:type="dxa"/>
            <w:vAlign w:val="bottom"/>
          </w:tcPr>
          <w:p>
            <w:pPr>
              <w:spacing w:after="0"/>
              <w:rPr>
                <w:sz w:val="23"/>
                <w:szCs w:val="23"/>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2,755</w:t>
            </w:r>
          </w:p>
        </w:tc>
        <w:tc>
          <w:tcPr>
            <w:tcW w:w="4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3,072</w:t>
            </w:r>
          </w:p>
        </w:tc>
      </w:tr>
      <w:tr>
        <w:trPr>
          <w:trHeight w:val="270"/>
        </w:trPr>
        <w:tc>
          <w:tcPr>
            <w:tcW w:w="8360" w:type="dxa"/>
            <w:vAlign w:val="bottom"/>
          </w:tcPr>
          <w:p>
            <w:pPr>
              <w:ind w:left="280"/>
              <w:spacing w:after="0"/>
              <w:rPr>
                <w:sz w:val="20"/>
                <w:szCs w:val="20"/>
                <w:color w:val="auto"/>
              </w:rPr>
            </w:pPr>
            <w:r>
              <w:rPr>
                <w:rFonts w:ascii="Arial" w:cs="Arial" w:eastAsia="Arial" w:hAnsi="Arial"/>
                <w:sz w:val="16"/>
                <w:szCs w:val="16"/>
                <w:color w:val="auto"/>
              </w:rPr>
              <w:t>Professional (U.S.)</w:t>
            </w:r>
          </w:p>
        </w:tc>
        <w:tc>
          <w:tcPr>
            <w:tcW w:w="340" w:type="dxa"/>
            <w:vAlign w:val="bottom"/>
          </w:tcPr>
          <w:p>
            <w:pPr>
              <w:spacing w:after="0"/>
              <w:rPr>
                <w:sz w:val="23"/>
                <w:szCs w:val="23"/>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913</w:t>
            </w:r>
          </w:p>
        </w:tc>
        <w:tc>
          <w:tcPr>
            <w:tcW w:w="4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1,076</w:t>
            </w:r>
          </w:p>
        </w:tc>
      </w:tr>
      <w:tr>
        <w:trPr>
          <w:trHeight w:val="283"/>
        </w:trPr>
        <w:tc>
          <w:tcPr>
            <w:tcW w:w="836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519</w:t>
            </w:r>
          </w:p>
        </w:tc>
        <w:tc>
          <w:tcPr>
            <w:tcW w:w="4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843</w:t>
            </w:r>
          </w:p>
        </w:tc>
      </w:tr>
      <w:tr>
        <w:trPr>
          <w:trHeight w:val="264"/>
        </w:trPr>
        <w:tc>
          <w:tcPr>
            <w:tcW w:w="8360" w:type="dxa"/>
            <w:vAlign w:val="bottom"/>
          </w:tcPr>
          <w:p>
            <w:pPr>
              <w:spacing w:after="0"/>
              <w:rPr>
                <w:sz w:val="22"/>
                <w:szCs w:val="22"/>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9,720</w:t>
            </w:r>
          </w:p>
        </w:tc>
        <w:tc>
          <w:tcPr>
            <w:tcW w:w="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11,803</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Asset information for the Company’s education division is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260" w:type="dxa"/>
            <w:vAlign w:val="bottom"/>
            <w:tcBorders>
              <w:bottom w:val="single" w:sz="8" w:color="auto"/>
            </w:tcBorders>
          </w:tcPr>
          <w:p>
            <w:pPr>
              <w:spacing w:after="0"/>
              <w:rPr>
                <w:sz w:val="17"/>
                <w:szCs w:val="17"/>
                <w:color w:val="auto"/>
              </w:rPr>
            </w:pPr>
          </w:p>
        </w:tc>
      </w:tr>
      <w:tr>
        <w:trPr>
          <w:trHeight w:val="258"/>
        </w:trPr>
        <w:tc>
          <w:tcPr>
            <w:tcW w:w="8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60" w:type="dxa"/>
            <w:vAlign w:val="bottom"/>
          </w:tcPr>
          <w:p>
            <w:pPr>
              <w:jc w:val="right"/>
              <w:ind w:right="362"/>
              <w:spacing w:after="0"/>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22"/>
                <w:szCs w:val="22"/>
                <w:color w:val="auto"/>
              </w:rPr>
            </w:pPr>
          </w:p>
        </w:tc>
        <w:tc>
          <w:tcPr>
            <w:tcW w:w="1260" w:type="dxa"/>
            <w:vAlign w:val="bottom"/>
          </w:tcPr>
          <w:p>
            <w:pPr>
              <w:jc w:val="right"/>
              <w:ind w:right="201"/>
              <w:spacing w:after="0"/>
              <w:rPr>
                <w:sz w:val="20"/>
                <w:szCs w:val="20"/>
                <w:color w:val="auto"/>
              </w:rPr>
            </w:pPr>
            <w:r>
              <w:rPr>
                <w:rFonts w:ascii="Arial" w:cs="Arial" w:eastAsia="Arial" w:hAnsi="Arial"/>
                <w:sz w:val="14"/>
                <w:szCs w:val="14"/>
                <w:color w:val="auto"/>
              </w:rPr>
              <w:t>December 31,</w:t>
            </w:r>
          </w:p>
        </w:tc>
      </w:tr>
      <w:tr>
        <w:trPr>
          <w:trHeight w:val="276"/>
        </w:trPr>
        <w:tc>
          <w:tcPr>
            <w:tcW w:w="83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color w:val="auto"/>
              </w:rPr>
              <w:t>2017</w:t>
            </w:r>
          </w:p>
        </w:tc>
      </w:tr>
      <w:tr>
        <w:trPr>
          <w:trHeight w:val="250"/>
        </w:trPr>
        <w:tc>
          <w:tcPr>
            <w:tcW w:w="8340" w:type="dxa"/>
            <w:vAlign w:val="bottom"/>
          </w:tcPr>
          <w:p>
            <w:pPr>
              <w:ind w:left="40"/>
              <w:spacing w:after="0"/>
              <w:rPr>
                <w:sz w:val="20"/>
                <w:szCs w:val="20"/>
                <w:color w:val="auto"/>
              </w:rPr>
            </w:pPr>
            <w:r>
              <w:rPr>
                <w:rFonts w:ascii="Arial" w:cs="Arial" w:eastAsia="Arial" w:hAnsi="Arial"/>
                <w:sz w:val="16"/>
                <w:szCs w:val="16"/>
                <w:color w:val="auto"/>
              </w:rPr>
              <w:t>Identifiable assets</w:t>
            </w: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0"/>
        </w:trPr>
        <w:tc>
          <w:tcPr>
            <w:tcW w:w="8340" w:type="dxa"/>
            <w:vAlign w:val="bottom"/>
          </w:tcPr>
          <w:p>
            <w:pPr>
              <w:ind w:left="38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260" w:type="dxa"/>
            <w:vAlign w:val="bottom"/>
          </w:tcPr>
          <w:p>
            <w:pPr>
              <w:jc w:val="right"/>
              <w:ind w:right="42"/>
              <w:spacing w:after="0"/>
              <w:rPr>
                <w:sz w:val="20"/>
                <w:szCs w:val="20"/>
                <w:color w:val="auto"/>
              </w:rPr>
            </w:pPr>
            <w:r>
              <w:rPr>
                <w:rFonts w:ascii="Arial" w:cs="Arial" w:eastAsia="Arial" w:hAnsi="Arial"/>
                <w:sz w:val="16"/>
                <w:szCs w:val="16"/>
                <w:b w:val="1"/>
                <w:bCs w:val="1"/>
                <w:color w:val="auto"/>
              </w:rPr>
              <w:t>1,147,327</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1,115,919</w:t>
            </w:r>
          </w:p>
        </w:tc>
      </w:tr>
      <w:tr>
        <w:trPr>
          <w:trHeight w:val="270"/>
        </w:trPr>
        <w:tc>
          <w:tcPr>
            <w:tcW w:w="8340" w:type="dxa"/>
            <w:vAlign w:val="bottom"/>
          </w:tcPr>
          <w:p>
            <w:pPr>
              <w:ind w:left="380"/>
              <w:spacing w:after="0"/>
              <w:rPr>
                <w:sz w:val="20"/>
                <w:szCs w:val="20"/>
                <w:color w:val="auto"/>
              </w:rPr>
            </w:pPr>
            <w:r>
              <w:rPr>
                <w:rFonts w:ascii="Arial" w:cs="Arial" w:eastAsia="Arial" w:hAnsi="Arial"/>
                <w:sz w:val="16"/>
                <w:szCs w:val="16"/>
                <w:color w:val="auto"/>
              </w:rPr>
              <w:t>Higher education</w:t>
            </w:r>
          </w:p>
        </w:tc>
        <w:tc>
          <w:tcPr>
            <w:tcW w:w="260" w:type="dxa"/>
            <w:vAlign w:val="bottom"/>
          </w:tcPr>
          <w:p>
            <w:pPr>
              <w:spacing w:after="0"/>
              <w:rPr>
                <w:sz w:val="23"/>
                <w:szCs w:val="23"/>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b w:val="1"/>
                <w:bCs w:val="1"/>
                <w:color w:val="auto"/>
              </w:rPr>
              <w:t>172,215</w:t>
            </w:r>
          </w:p>
        </w:tc>
        <w:tc>
          <w:tcPr>
            <w:tcW w:w="300" w:type="dxa"/>
            <w:vAlign w:val="bottom"/>
          </w:tcPr>
          <w:p>
            <w:pPr>
              <w:spacing w:after="0"/>
              <w:rPr>
                <w:sz w:val="23"/>
                <w:szCs w:val="23"/>
                <w:color w:val="auto"/>
              </w:rPr>
            </w:pP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231,986</w:t>
            </w:r>
          </w:p>
        </w:tc>
      </w:tr>
      <w:tr>
        <w:trPr>
          <w:trHeight w:val="270"/>
        </w:trPr>
        <w:tc>
          <w:tcPr>
            <w:tcW w:w="8340" w:type="dxa"/>
            <w:vAlign w:val="bottom"/>
          </w:tcPr>
          <w:p>
            <w:pPr>
              <w:ind w:left="380"/>
              <w:spacing w:after="0"/>
              <w:rPr>
                <w:sz w:val="20"/>
                <w:szCs w:val="20"/>
                <w:color w:val="auto"/>
              </w:rPr>
            </w:pPr>
            <w:r>
              <w:rPr>
                <w:rFonts w:ascii="Arial" w:cs="Arial" w:eastAsia="Arial" w:hAnsi="Arial"/>
                <w:sz w:val="16"/>
                <w:szCs w:val="16"/>
                <w:color w:val="auto"/>
              </w:rPr>
              <w:t>Test preparation</w:t>
            </w:r>
          </w:p>
        </w:tc>
        <w:tc>
          <w:tcPr>
            <w:tcW w:w="260" w:type="dxa"/>
            <w:vAlign w:val="bottom"/>
          </w:tcPr>
          <w:p>
            <w:pPr>
              <w:spacing w:after="0"/>
              <w:rPr>
                <w:sz w:val="23"/>
                <w:szCs w:val="23"/>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b w:val="1"/>
                <w:bCs w:val="1"/>
                <w:color w:val="auto"/>
              </w:rPr>
              <w:t>140,793</w:t>
            </w:r>
          </w:p>
        </w:tc>
        <w:tc>
          <w:tcPr>
            <w:tcW w:w="300" w:type="dxa"/>
            <w:vAlign w:val="bottom"/>
          </w:tcPr>
          <w:p>
            <w:pPr>
              <w:spacing w:after="0"/>
              <w:rPr>
                <w:sz w:val="23"/>
                <w:szCs w:val="23"/>
                <w:color w:val="auto"/>
              </w:rPr>
            </w:pP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130,938</w:t>
            </w:r>
          </w:p>
        </w:tc>
      </w:tr>
      <w:tr>
        <w:trPr>
          <w:trHeight w:val="270"/>
        </w:trPr>
        <w:tc>
          <w:tcPr>
            <w:tcW w:w="8340" w:type="dxa"/>
            <w:vAlign w:val="bottom"/>
          </w:tcPr>
          <w:p>
            <w:pPr>
              <w:ind w:left="380"/>
              <w:spacing w:after="0"/>
              <w:rPr>
                <w:sz w:val="20"/>
                <w:szCs w:val="20"/>
                <w:color w:val="auto"/>
              </w:rPr>
            </w:pPr>
            <w:r>
              <w:rPr>
                <w:rFonts w:ascii="Arial" w:cs="Arial" w:eastAsia="Arial" w:hAnsi="Arial"/>
                <w:sz w:val="16"/>
                <w:szCs w:val="16"/>
                <w:color w:val="auto"/>
              </w:rPr>
              <w:t>Professional (U.S.)</w:t>
            </w:r>
          </w:p>
        </w:tc>
        <w:tc>
          <w:tcPr>
            <w:tcW w:w="260" w:type="dxa"/>
            <w:vAlign w:val="bottom"/>
          </w:tcPr>
          <w:p>
            <w:pPr>
              <w:spacing w:after="0"/>
              <w:rPr>
                <w:sz w:val="23"/>
                <w:szCs w:val="23"/>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b w:val="1"/>
                <w:bCs w:val="1"/>
                <w:color w:val="auto"/>
              </w:rPr>
              <w:t>90,812</w:t>
            </w:r>
          </w:p>
        </w:tc>
        <w:tc>
          <w:tcPr>
            <w:tcW w:w="300" w:type="dxa"/>
            <w:vAlign w:val="bottom"/>
          </w:tcPr>
          <w:p>
            <w:pPr>
              <w:spacing w:after="0"/>
              <w:rPr>
                <w:sz w:val="23"/>
                <w:szCs w:val="23"/>
                <w:color w:val="auto"/>
              </w:rPr>
            </w:pP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91,630</w:t>
            </w:r>
          </w:p>
        </w:tc>
      </w:tr>
      <w:tr>
        <w:trPr>
          <w:trHeight w:val="283"/>
        </w:trPr>
        <w:tc>
          <w:tcPr>
            <w:tcW w:w="8340" w:type="dxa"/>
            <w:vAlign w:val="bottom"/>
          </w:tcPr>
          <w:p>
            <w:pPr>
              <w:ind w:left="380"/>
              <w:spacing w:after="0"/>
              <w:rPr>
                <w:sz w:val="20"/>
                <w:szCs w:val="20"/>
                <w:color w:val="auto"/>
              </w:rPr>
            </w:pPr>
            <w:r>
              <w:rPr>
                <w:rFonts w:ascii="Arial" w:cs="Arial" w:eastAsia="Arial" w:hAnsi="Arial"/>
                <w:sz w:val="16"/>
                <w:szCs w:val="16"/>
                <w:color w:val="auto"/>
              </w:rPr>
              <w:t>Kaplan corporate and other</w:t>
            </w:r>
          </w:p>
        </w:tc>
        <w:tc>
          <w:tcPr>
            <w:tcW w:w="2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26,070</w:t>
            </w:r>
          </w:p>
        </w:tc>
        <w:tc>
          <w:tcPr>
            <w:tcW w:w="3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21,624</w:t>
            </w:r>
          </w:p>
        </w:tc>
      </w:tr>
      <w:tr>
        <w:trPr>
          <w:trHeight w:val="264"/>
        </w:trPr>
        <w:tc>
          <w:tcPr>
            <w:tcW w:w="8340" w:type="dxa"/>
            <w:vAlign w:val="bottom"/>
          </w:tcPr>
          <w:p>
            <w:pPr>
              <w:spacing w:after="0"/>
              <w:rPr>
                <w:sz w:val="22"/>
                <w:szCs w:val="22"/>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1,577,217</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1,592,097</w:t>
            </w:r>
          </w:p>
        </w:tc>
      </w:tr>
    </w:tbl>
    <w:p>
      <w:pPr>
        <w:spacing w:after="0" w:line="200" w:lineRule="exact"/>
        <w:rPr>
          <w:sz w:val="20"/>
          <w:szCs w:val="20"/>
          <w:color w:val="auto"/>
        </w:rPr>
      </w:pPr>
    </w:p>
    <w:p>
      <w:pPr>
        <w:sectPr>
          <w:pgSz w:w="11900" w:h="16838" w:orient="portrait"/>
          <w:cols w:equalWidth="0" w:num="1">
            <w:col w:w="11420"/>
          </w:cols>
          <w:pgMar w:left="240" w:top="773" w:right="239" w:bottom="1440" w:gutter="0" w:footer="0" w:header="0"/>
        </w:sectPr>
      </w:pP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420"/>
          </w:cols>
          <w:pgMar w:left="240" w:top="773" w:right="2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Item 2. Management’s Discussion and Analysis of Results of Operations and Financial Condition.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This analysis should be read in conjunction with the condensed consolidated financial statements and the notes thereto.</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39"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The Company reported net income attributable to common shares of $42.9 million ($7.78 per share) for the first quarter of 2018, compared to $21.1 million ($3.75 per share) for the first quarter of 2017.</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net income for the first quarter of 2018:</w:t>
      </w:r>
    </w:p>
    <w:p>
      <w:pPr>
        <w:spacing w:after="0" w:line="144" w:lineRule="exact"/>
        <w:rPr>
          <w:sz w:val="20"/>
          <w:szCs w:val="20"/>
          <w:color w:val="auto"/>
        </w:rPr>
      </w:pPr>
    </w:p>
    <w:p>
      <w:pPr>
        <w:ind w:left="180" w:hanging="172"/>
        <w:spacing w:after="0"/>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$4.3 million gain on the Kaplan University Transaction (after-tax impact of $1.8 million, or $0.33 per share);</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$14.1 million in net losses on marketable equity securities (after-tax impact of $10.7 million, or $1.94 per share);</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$0.2 million in non-operating foreign currency gains (after-tax impact of $0.1 million, or $0.02 per share); and</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$1.8 million in income tax benefits related to stock compensation ($0.33 per share).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net income for the first quarter of 2017:</w:t>
      </w:r>
    </w:p>
    <w:p>
      <w:pPr>
        <w:spacing w:after="0" w:line="144" w:lineRule="exact"/>
        <w:rPr>
          <w:sz w:val="20"/>
          <w:szCs w:val="20"/>
          <w:color w:val="auto"/>
        </w:rPr>
      </w:pPr>
    </w:p>
    <w:p>
      <w:pPr>
        <w:ind w:left="180" w:hanging="172"/>
        <w:spacing w:after="0"/>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$1.7 million in non-operating foreign currency gains (after-tax impact of $1.1 million, or $0.19 per share); and</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$5.9 million in income tax benefits related to stock compensation ($1.06 per share).</w:t>
      </w:r>
    </w:p>
    <w:p>
      <w:pPr>
        <w:spacing w:after="0" w:line="144"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Revenue for the first quarter of 2018 was $659.4 million, up 13% from $582.7 million in the first quarter of 2017. The revenue increase is due largely to growth at the television broadcasting and manufacturing businesses. The Company reported operating income of $44.2 million for the first quarter of 2018, compared to $10.3 million for the first quarter of 2017. The operating income increase is driven by higher earnings at the education, television broadcasting and manufacturing businesses.</w:t>
      </w:r>
    </w:p>
    <w:p>
      <w:pPr>
        <w:spacing w:after="0" w:line="135" w:lineRule="exact"/>
        <w:rPr>
          <w:sz w:val="20"/>
          <w:szCs w:val="20"/>
          <w:color w:val="auto"/>
        </w:rPr>
      </w:pPr>
    </w:p>
    <w:p>
      <w:pPr>
        <w:ind w:right="100"/>
        <w:spacing w:after="0" w:line="223" w:lineRule="auto"/>
        <w:rPr>
          <w:sz w:val="20"/>
          <w:szCs w:val="20"/>
          <w:color w:val="auto"/>
        </w:rPr>
      </w:pPr>
      <w:r>
        <w:rPr>
          <w:rFonts w:ascii="Arial" w:cs="Arial" w:eastAsia="Arial" w:hAnsi="Arial"/>
          <w:sz w:val="18"/>
          <w:szCs w:val="18"/>
          <w:color w:val="auto"/>
        </w:rPr>
        <w:t>On April 27, 2017, certain subsidiaries of Kaplan, Inc. (Kaplan), a subsidiary of Graham Holdings Company entered into a Contribution and Transfer Agreement (Transfer Agreement) to contribute the institutional assets and operations of Kaplan University (KU) to an Indiana non-profit, public-benefit corporation that is a subsidiary affiliated with Purdue University (Purdue). The closing of the transactions contemplated by the Transfer Agreement occurred on March 22, 2018. At the same time, the parties entered into a Transition and Operations Support Agreement (TOSA) pursuant to which Kaplan will provide key non-academic operations support to the new university. The new university will operate almost exclusively online as a new Indiana public university affiliated with Purdue under the name Purdue University Global (Purdue Global).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Division Results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Education</w:t>
      </w:r>
    </w:p>
    <w:p>
      <w:pPr>
        <w:spacing w:after="0" w:line="166" w:lineRule="exact"/>
        <w:rPr>
          <w:sz w:val="20"/>
          <w:szCs w:val="20"/>
          <w:color w:val="auto"/>
        </w:rPr>
      </w:pPr>
    </w:p>
    <w:p>
      <w:pPr>
        <w:ind w:right="220"/>
        <w:spacing w:after="0" w:line="235" w:lineRule="auto"/>
        <w:rPr>
          <w:sz w:val="20"/>
          <w:szCs w:val="20"/>
          <w:color w:val="auto"/>
        </w:rPr>
      </w:pPr>
      <w:r>
        <w:rPr>
          <w:rFonts w:ascii="Arial" w:cs="Arial" w:eastAsia="Arial" w:hAnsi="Arial"/>
          <w:sz w:val="18"/>
          <w:szCs w:val="18"/>
          <w:color w:val="auto"/>
        </w:rPr>
        <w:t>Education division revenue totaled $375.5 million for the first quarter of 2018, up 1% from $372.9 million for the same period of 2017. Kaplan reported operating income of $22.7 million for the first quarter of 2018, compared to $9.4 million for the first quarter of 2017.</w:t>
      </w:r>
    </w:p>
    <w:p>
      <w:pPr>
        <w:spacing w:after="0" w:line="135"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color w:val="auto"/>
        </w:rPr>
        <w:t>As a result of the KU Transaction that closed on March 22, 2018, the Company has revised the financial reporting for its education division to provide operating results for Higher Education and Professional (U.S.).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697" w:right="25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A summary of Kaplan’s operating results is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8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Three Months Ended</w:t>
            </w: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71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4"/>
                <w:szCs w:val="14"/>
                <w:b w:val="1"/>
                <w:bCs w:val="1"/>
                <w:color w:val="auto"/>
              </w:rPr>
              <w:t>March 31</w:t>
            </w:r>
          </w:p>
        </w:tc>
        <w:tc>
          <w:tcPr>
            <w:tcW w:w="940" w:type="dxa"/>
            <w:vAlign w:val="bottom"/>
            <w:tcBorders>
              <w:bottom w:val="single" w:sz="8" w:color="auto"/>
            </w:tcBorders>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1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rPr>
              <w:t>2017</w:t>
            </w:r>
          </w:p>
        </w:tc>
        <w:tc>
          <w:tcPr>
            <w:tcW w:w="144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50"/>
        </w:trPr>
        <w:tc>
          <w:tcPr>
            <w:tcW w:w="7180" w:type="dxa"/>
            <w:vAlign w:val="bottom"/>
          </w:tcPr>
          <w:p>
            <w:pPr>
              <w:ind w:left="40"/>
              <w:spacing w:after="0"/>
              <w:rPr>
                <w:sz w:val="20"/>
                <w:szCs w:val="20"/>
                <w:color w:val="auto"/>
              </w:rPr>
            </w:pPr>
            <w:r>
              <w:rPr>
                <w:rFonts w:ascii="Arial" w:cs="Arial" w:eastAsia="Arial" w:hAnsi="Arial"/>
                <w:sz w:val="16"/>
                <w:szCs w:val="16"/>
                <w:b w:val="1"/>
                <w:bCs w:val="1"/>
                <w:color w:val="auto"/>
              </w:rPr>
              <w:t>Revenue</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18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ind w:right="80"/>
              <w:spacing w:after="0"/>
              <w:rPr>
                <w:sz w:val="20"/>
                <w:szCs w:val="20"/>
                <w:color w:val="auto"/>
              </w:rPr>
            </w:pPr>
            <w:r>
              <w:rPr>
                <w:rFonts w:ascii="Arial" w:cs="Arial" w:eastAsia="Arial" w:hAnsi="Arial"/>
                <w:sz w:val="16"/>
                <w:szCs w:val="16"/>
                <w:b w:val="1"/>
                <w:bCs w:val="1"/>
                <w:color w:val="auto"/>
              </w:rPr>
              <w:t>183,582</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164,562</w:t>
            </w:r>
          </w:p>
        </w:tc>
        <w:tc>
          <w:tcPr>
            <w:tcW w:w="1440" w:type="dxa"/>
            <w:vAlign w:val="bottom"/>
          </w:tcPr>
          <w:p>
            <w:pPr>
              <w:jc w:val="right"/>
              <w:ind w:right="36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70"/>
        </w:trPr>
        <w:tc>
          <w:tcPr>
            <w:tcW w:w="718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320" w:type="dxa"/>
            <w:vAlign w:val="bottom"/>
          </w:tcPr>
          <w:p>
            <w:pPr>
              <w:spacing w:after="0"/>
              <w:rPr>
                <w:sz w:val="23"/>
                <w:szCs w:val="23"/>
                <w:color w:val="auto"/>
              </w:rPr>
            </w:pPr>
          </w:p>
        </w:tc>
        <w:tc>
          <w:tcPr>
            <w:tcW w:w="1080" w:type="dxa"/>
            <w:vAlign w:val="bottom"/>
          </w:tcPr>
          <w:p>
            <w:pPr>
              <w:jc w:val="right"/>
              <w:ind w:right="80"/>
              <w:spacing w:after="0"/>
              <w:rPr>
                <w:sz w:val="20"/>
                <w:szCs w:val="20"/>
                <w:color w:val="auto"/>
              </w:rPr>
            </w:pPr>
            <w:r>
              <w:rPr>
                <w:rFonts w:ascii="Arial" w:cs="Arial" w:eastAsia="Arial" w:hAnsi="Arial"/>
                <w:sz w:val="16"/>
                <w:szCs w:val="16"/>
                <w:b w:val="1"/>
                <w:bCs w:val="1"/>
                <w:color w:val="auto"/>
              </w:rPr>
              <w:t>99,830</w:t>
            </w:r>
          </w:p>
        </w:tc>
        <w:tc>
          <w:tcPr>
            <w:tcW w:w="46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111,111</w:t>
            </w:r>
          </w:p>
        </w:tc>
        <w:tc>
          <w:tcPr>
            <w:tcW w:w="1440" w:type="dxa"/>
            <w:vAlign w:val="bottom"/>
          </w:tcPr>
          <w:p>
            <w:pPr>
              <w:jc w:val="right"/>
              <w:ind w:right="30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70"/>
        </w:trPr>
        <w:tc>
          <w:tcPr>
            <w:tcW w:w="718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320" w:type="dxa"/>
            <w:vAlign w:val="bottom"/>
          </w:tcPr>
          <w:p>
            <w:pPr>
              <w:spacing w:after="0"/>
              <w:rPr>
                <w:sz w:val="23"/>
                <w:szCs w:val="23"/>
                <w:color w:val="auto"/>
              </w:rPr>
            </w:pPr>
          </w:p>
        </w:tc>
        <w:tc>
          <w:tcPr>
            <w:tcW w:w="1080" w:type="dxa"/>
            <w:vAlign w:val="bottom"/>
          </w:tcPr>
          <w:p>
            <w:pPr>
              <w:jc w:val="right"/>
              <w:ind w:right="80"/>
              <w:spacing w:after="0"/>
              <w:rPr>
                <w:sz w:val="20"/>
                <w:szCs w:val="20"/>
                <w:color w:val="auto"/>
              </w:rPr>
            </w:pPr>
            <w:r>
              <w:rPr>
                <w:rFonts w:ascii="Arial" w:cs="Arial" w:eastAsia="Arial" w:hAnsi="Arial"/>
                <w:sz w:val="16"/>
                <w:szCs w:val="16"/>
                <w:b w:val="1"/>
                <w:bCs w:val="1"/>
                <w:color w:val="auto"/>
              </w:rPr>
              <w:t>59,151</w:t>
            </w:r>
          </w:p>
        </w:tc>
        <w:tc>
          <w:tcPr>
            <w:tcW w:w="46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64,568</w:t>
            </w:r>
          </w:p>
        </w:tc>
        <w:tc>
          <w:tcPr>
            <w:tcW w:w="1440" w:type="dxa"/>
            <w:vAlign w:val="bottom"/>
          </w:tcPr>
          <w:p>
            <w:pPr>
              <w:jc w:val="right"/>
              <w:ind w:right="30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70"/>
        </w:trPr>
        <w:tc>
          <w:tcPr>
            <w:tcW w:w="7180" w:type="dxa"/>
            <w:vAlign w:val="bottom"/>
          </w:tcPr>
          <w:p>
            <w:pPr>
              <w:ind w:left="280"/>
              <w:spacing w:after="0"/>
              <w:rPr>
                <w:sz w:val="20"/>
                <w:szCs w:val="20"/>
                <w:color w:val="auto"/>
              </w:rPr>
            </w:pPr>
            <w:r>
              <w:rPr>
                <w:rFonts w:ascii="Arial" w:cs="Arial" w:eastAsia="Arial" w:hAnsi="Arial"/>
                <w:sz w:val="16"/>
                <w:szCs w:val="16"/>
                <w:color w:val="auto"/>
              </w:rPr>
              <w:t>Professional (U.S.)</w:t>
            </w:r>
          </w:p>
        </w:tc>
        <w:tc>
          <w:tcPr>
            <w:tcW w:w="320" w:type="dxa"/>
            <w:vAlign w:val="bottom"/>
          </w:tcPr>
          <w:p>
            <w:pPr>
              <w:spacing w:after="0"/>
              <w:rPr>
                <w:sz w:val="23"/>
                <w:szCs w:val="23"/>
                <w:color w:val="auto"/>
              </w:rPr>
            </w:pPr>
          </w:p>
        </w:tc>
        <w:tc>
          <w:tcPr>
            <w:tcW w:w="1080" w:type="dxa"/>
            <w:vAlign w:val="bottom"/>
          </w:tcPr>
          <w:p>
            <w:pPr>
              <w:jc w:val="right"/>
              <w:ind w:right="80"/>
              <w:spacing w:after="0"/>
              <w:rPr>
                <w:sz w:val="20"/>
                <w:szCs w:val="20"/>
                <w:color w:val="auto"/>
              </w:rPr>
            </w:pPr>
            <w:r>
              <w:rPr>
                <w:rFonts w:ascii="Arial" w:cs="Arial" w:eastAsia="Arial" w:hAnsi="Arial"/>
                <w:sz w:val="16"/>
                <w:szCs w:val="16"/>
                <w:b w:val="1"/>
                <w:bCs w:val="1"/>
                <w:color w:val="auto"/>
              </w:rPr>
              <w:t>33,356</w:t>
            </w:r>
          </w:p>
        </w:tc>
        <w:tc>
          <w:tcPr>
            <w:tcW w:w="46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33,199</w:t>
            </w:r>
          </w:p>
        </w:tc>
        <w:tc>
          <w:tcPr>
            <w:tcW w:w="144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718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320" w:type="dxa"/>
            <w:vAlign w:val="bottom"/>
          </w:tcPr>
          <w:p>
            <w:pPr>
              <w:spacing w:after="0"/>
              <w:rPr>
                <w:sz w:val="23"/>
                <w:szCs w:val="23"/>
                <w:color w:val="auto"/>
              </w:rPr>
            </w:pPr>
          </w:p>
        </w:tc>
        <w:tc>
          <w:tcPr>
            <w:tcW w:w="1080" w:type="dxa"/>
            <w:vAlign w:val="bottom"/>
          </w:tcPr>
          <w:p>
            <w:pPr>
              <w:jc w:val="right"/>
              <w:ind w:right="80"/>
              <w:spacing w:after="0"/>
              <w:rPr>
                <w:sz w:val="20"/>
                <w:szCs w:val="20"/>
                <w:color w:val="auto"/>
              </w:rPr>
            </w:pPr>
            <w:r>
              <w:rPr>
                <w:rFonts w:ascii="Arial" w:cs="Arial" w:eastAsia="Arial" w:hAnsi="Arial"/>
                <w:sz w:val="16"/>
                <w:szCs w:val="16"/>
                <w:b w:val="1"/>
                <w:bCs w:val="1"/>
                <w:color w:val="auto"/>
              </w:rPr>
              <w:t>285</w:t>
            </w:r>
          </w:p>
        </w:tc>
        <w:tc>
          <w:tcPr>
            <w:tcW w:w="46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14</w:t>
            </w:r>
          </w:p>
        </w:tc>
        <w:tc>
          <w:tcPr>
            <w:tcW w:w="144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718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(705)</w:t>
            </w:r>
          </w:p>
        </w:tc>
        <w:tc>
          <w:tcPr>
            <w:tcW w:w="4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(557)</w:t>
            </w:r>
          </w:p>
        </w:tc>
        <w:tc>
          <w:tcPr>
            <w:tcW w:w="144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7180" w:type="dxa"/>
            <w:vAlign w:val="bottom"/>
          </w:tcPr>
          <w:p>
            <w:pPr>
              <w:spacing w:after="0"/>
              <w:rPr>
                <w:sz w:val="22"/>
                <w:szCs w:val="22"/>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375,499</w:t>
            </w:r>
          </w:p>
        </w:tc>
        <w:tc>
          <w:tcPr>
            <w:tcW w:w="4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372,897</w:t>
            </w:r>
          </w:p>
        </w:tc>
        <w:tc>
          <w:tcPr>
            <w:tcW w:w="1440" w:type="dxa"/>
            <w:vAlign w:val="bottom"/>
          </w:tcPr>
          <w:p>
            <w:pPr>
              <w:jc w:val="right"/>
              <w:ind w:right="36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
        </w:trPr>
        <w:tc>
          <w:tcPr>
            <w:tcW w:w="71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18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18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ind w:right="80"/>
              <w:spacing w:after="0"/>
              <w:rPr>
                <w:sz w:val="20"/>
                <w:szCs w:val="20"/>
                <w:color w:val="auto"/>
              </w:rPr>
            </w:pPr>
            <w:r>
              <w:rPr>
                <w:rFonts w:ascii="Arial" w:cs="Arial" w:eastAsia="Arial" w:hAnsi="Arial"/>
                <w:sz w:val="16"/>
                <w:szCs w:val="16"/>
                <w:b w:val="1"/>
                <w:bCs w:val="1"/>
                <w:color w:val="auto"/>
              </w:rPr>
              <w:t>20,404</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7,707</w:t>
            </w:r>
          </w:p>
        </w:tc>
        <w:tc>
          <w:tcPr>
            <w:tcW w:w="144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718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320" w:type="dxa"/>
            <w:vAlign w:val="bottom"/>
          </w:tcPr>
          <w:p>
            <w:pPr>
              <w:spacing w:after="0"/>
              <w:rPr>
                <w:sz w:val="23"/>
                <w:szCs w:val="23"/>
                <w:color w:val="auto"/>
              </w:rPr>
            </w:pPr>
          </w:p>
        </w:tc>
        <w:tc>
          <w:tcPr>
            <w:tcW w:w="1080" w:type="dxa"/>
            <w:vAlign w:val="bottom"/>
          </w:tcPr>
          <w:p>
            <w:pPr>
              <w:jc w:val="right"/>
              <w:ind w:right="80"/>
              <w:spacing w:after="0"/>
              <w:rPr>
                <w:sz w:val="20"/>
                <w:szCs w:val="20"/>
                <w:color w:val="auto"/>
              </w:rPr>
            </w:pPr>
            <w:r>
              <w:rPr>
                <w:rFonts w:ascii="Arial" w:cs="Arial" w:eastAsia="Arial" w:hAnsi="Arial"/>
                <w:sz w:val="16"/>
                <w:szCs w:val="16"/>
                <w:b w:val="1"/>
                <w:bCs w:val="1"/>
                <w:color w:val="auto"/>
              </w:rPr>
              <w:t>1,355</w:t>
            </w:r>
          </w:p>
        </w:tc>
        <w:tc>
          <w:tcPr>
            <w:tcW w:w="46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2,446</w:t>
            </w:r>
          </w:p>
        </w:tc>
        <w:tc>
          <w:tcPr>
            <w:tcW w:w="1440" w:type="dxa"/>
            <w:vAlign w:val="bottom"/>
          </w:tcPr>
          <w:p>
            <w:pPr>
              <w:jc w:val="right"/>
              <w:ind w:right="300"/>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70"/>
        </w:trPr>
        <w:tc>
          <w:tcPr>
            <w:tcW w:w="718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320" w:type="dxa"/>
            <w:vAlign w:val="bottom"/>
          </w:tcPr>
          <w:p>
            <w:pPr>
              <w:spacing w:after="0"/>
              <w:rPr>
                <w:sz w:val="23"/>
                <w:szCs w:val="23"/>
                <w:color w:val="auto"/>
              </w:rPr>
            </w:pPr>
          </w:p>
        </w:tc>
        <w:tc>
          <w:tcPr>
            <w:tcW w:w="1080" w:type="dxa"/>
            <w:vAlign w:val="bottom"/>
          </w:tcPr>
          <w:p>
            <w:pPr>
              <w:jc w:val="right"/>
              <w:ind w:right="80"/>
              <w:spacing w:after="0"/>
              <w:rPr>
                <w:sz w:val="20"/>
                <w:szCs w:val="20"/>
                <w:color w:val="auto"/>
              </w:rPr>
            </w:pPr>
            <w:r>
              <w:rPr>
                <w:rFonts w:ascii="Arial" w:cs="Arial" w:eastAsia="Arial" w:hAnsi="Arial"/>
                <w:sz w:val="16"/>
                <w:szCs w:val="16"/>
                <w:b w:val="1"/>
                <w:bCs w:val="1"/>
                <w:color w:val="auto"/>
              </w:rPr>
              <w:t>521</w:t>
            </w:r>
          </w:p>
        </w:tc>
        <w:tc>
          <w:tcPr>
            <w:tcW w:w="4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(2,864)</w:t>
            </w:r>
          </w:p>
        </w:tc>
        <w:tc>
          <w:tcPr>
            <w:tcW w:w="144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7180" w:type="dxa"/>
            <w:vAlign w:val="bottom"/>
          </w:tcPr>
          <w:p>
            <w:pPr>
              <w:ind w:left="280"/>
              <w:spacing w:after="0"/>
              <w:rPr>
                <w:sz w:val="20"/>
                <w:szCs w:val="20"/>
                <w:color w:val="auto"/>
              </w:rPr>
            </w:pPr>
            <w:r>
              <w:rPr>
                <w:rFonts w:ascii="Arial" w:cs="Arial" w:eastAsia="Arial" w:hAnsi="Arial"/>
                <w:sz w:val="16"/>
                <w:szCs w:val="16"/>
                <w:color w:val="auto"/>
              </w:rPr>
              <w:t>Professional (U.S.)</w:t>
            </w:r>
          </w:p>
        </w:tc>
        <w:tc>
          <w:tcPr>
            <w:tcW w:w="320" w:type="dxa"/>
            <w:vAlign w:val="bottom"/>
          </w:tcPr>
          <w:p>
            <w:pPr>
              <w:spacing w:after="0"/>
              <w:rPr>
                <w:sz w:val="23"/>
                <w:szCs w:val="23"/>
                <w:color w:val="auto"/>
              </w:rPr>
            </w:pPr>
          </w:p>
        </w:tc>
        <w:tc>
          <w:tcPr>
            <w:tcW w:w="1080" w:type="dxa"/>
            <w:vAlign w:val="bottom"/>
          </w:tcPr>
          <w:p>
            <w:pPr>
              <w:jc w:val="right"/>
              <w:ind w:right="80"/>
              <w:spacing w:after="0"/>
              <w:rPr>
                <w:sz w:val="20"/>
                <w:szCs w:val="20"/>
                <w:color w:val="auto"/>
              </w:rPr>
            </w:pPr>
            <w:r>
              <w:rPr>
                <w:rFonts w:ascii="Arial" w:cs="Arial" w:eastAsia="Arial" w:hAnsi="Arial"/>
                <w:sz w:val="16"/>
                <w:szCs w:val="16"/>
                <w:b w:val="1"/>
                <w:bCs w:val="1"/>
                <w:color w:val="auto"/>
              </w:rPr>
              <w:t>9,315</w:t>
            </w:r>
          </w:p>
        </w:tc>
        <w:tc>
          <w:tcPr>
            <w:tcW w:w="46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10,158</w:t>
            </w:r>
          </w:p>
        </w:tc>
        <w:tc>
          <w:tcPr>
            <w:tcW w:w="1440" w:type="dxa"/>
            <w:vAlign w:val="bottom"/>
          </w:tcPr>
          <w:p>
            <w:pPr>
              <w:jc w:val="right"/>
              <w:ind w:right="30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70"/>
        </w:trPr>
        <w:tc>
          <w:tcPr>
            <w:tcW w:w="718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32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b w:val="1"/>
                <w:bCs w:val="1"/>
                <w:color w:val="auto"/>
              </w:rPr>
              <w:t>(7,746)</w:t>
            </w:r>
          </w:p>
        </w:tc>
        <w:tc>
          <w:tcPr>
            <w:tcW w:w="4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(6,943)</w:t>
            </w:r>
          </w:p>
        </w:tc>
        <w:tc>
          <w:tcPr>
            <w:tcW w:w="1440" w:type="dxa"/>
            <w:vAlign w:val="bottom"/>
          </w:tcPr>
          <w:p>
            <w:pPr>
              <w:jc w:val="right"/>
              <w:ind w:right="30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70"/>
        </w:trPr>
        <w:tc>
          <w:tcPr>
            <w:tcW w:w="7180" w:type="dxa"/>
            <w:vAlign w:val="bottom"/>
          </w:tcPr>
          <w:p>
            <w:pPr>
              <w:ind w:left="280"/>
              <w:spacing w:after="0"/>
              <w:rPr>
                <w:sz w:val="20"/>
                <w:szCs w:val="20"/>
                <w:color w:val="auto"/>
              </w:rPr>
            </w:pPr>
            <w:r>
              <w:rPr>
                <w:rFonts w:ascii="Arial" w:cs="Arial" w:eastAsia="Arial" w:hAnsi="Arial"/>
                <w:sz w:val="16"/>
                <w:szCs w:val="16"/>
                <w:color w:val="auto"/>
              </w:rPr>
              <w:t>Amortization of intangible assets</w:t>
            </w:r>
          </w:p>
        </w:tc>
        <w:tc>
          <w:tcPr>
            <w:tcW w:w="32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b w:val="1"/>
                <w:bCs w:val="1"/>
                <w:color w:val="auto"/>
              </w:rPr>
              <w:t>(1,149)</w:t>
            </w:r>
          </w:p>
        </w:tc>
        <w:tc>
          <w:tcPr>
            <w:tcW w:w="4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(1,120)</w:t>
            </w:r>
          </w:p>
        </w:tc>
        <w:tc>
          <w:tcPr>
            <w:tcW w:w="1440" w:type="dxa"/>
            <w:vAlign w:val="bottom"/>
          </w:tcPr>
          <w:p>
            <w:pPr>
              <w:jc w:val="right"/>
              <w:ind w:right="30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83"/>
        </w:trPr>
        <w:tc>
          <w:tcPr>
            <w:tcW w:w="718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w:t>
            </w:r>
          </w:p>
        </w:tc>
        <w:tc>
          <w:tcPr>
            <w:tcW w:w="4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53</w:t>
            </w:r>
          </w:p>
        </w:tc>
        <w:tc>
          <w:tcPr>
            <w:tcW w:w="144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7"/>
        </w:trPr>
        <w:tc>
          <w:tcPr>
            <w:tcW w:w="7180" w:type="dxa"/>
            <w:vAlign w:val="bottom"/>
          </w:tcPr>
          <w:p>
            <w:pPr>
              <w:spacing w:after="0"/>
              <w:rPr>
                <w:sz w:val="23"/>
                <w:szCs w:val="23"/>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22,700</w:t>
            </w:r>
          </w:p>
        </w:tc>
        <w:tc>
          <w:tcPr>
            <w:tcW w:w="4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9,437</w:t>
            </w:r>
          </w:p>
        </w:tc>
        <w:tc>
          <w:tcPr>
            <w:tcW w:w="144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00"/>
        <w:spacing w:after="0" w:line="227" w:lineRule="auto"/>
        <w:rPr>
          <w:sz w:val="20"/>
          <w:szCs w:val="20"/>
          <w:color w:val="auto"/>
        </w:rPr>
      </w:pPr>
      <w:r>
        <w:rPr>
          <w:rFonts w:ascii="Arial" w:cs="Arial" w:eastAsia="Arial" w:hAnsi="Arial"/>
          <w:sz w:val="18"/>
          <w:szCs w:val="18"/>
          <w:color w:val="auto"/>
        </w:rPr>
        <w:t>Kaplan International includes English-language programs, and postsecondary education and professional training businesses largely outside the United States. Kaplan International revenue increased 12% for the first quarter; 3% on a constant currency basis. Operating income increased to $20.4 million in the first quarter of 2018, compared to $7.7 million in the first quarter of 2017 due to improved results at Pathways, UK Professional, MPW and English-language.</w:t>
      </w:r>
    </w:p>
    <w:p>
      <w:pPr>
        <w:spacing w:after="0" w:line="135" w:lineRule="exact"/>
        <w:rPr>
          <w:sz w:val="20"/>
          <w:szCs w:val="20"/>
          <w:color w:val="auto"/>
        </w:rPr>
      </w:pPr>
    </w:p>
    <w:p>
      <w:pPr>
        <w:ind w:right="160"/>
        <w:spacing w:after="0" w:line="229" w:lineRule="auto"/>
        <w:rPr>
          <w:sz w:val="20"/>
          <w:szCs w:val="20"/>
          <w:color w:val="auto"/>
        </w:rPr>
      </w:pPr>
      <w:r>
        <w:rPr>
          <w:rFonts w:ascii="Arial" w:cs="Arial" w:eastAsia="Arial" w:hAnsi="Arial"/>
          <w:sz w:val="18"/>
          <w:szCs w:val="18"/>
          <w:color w:val="auto"/>
        </w:rPr>
        <w:t>Prior to the KU Transaction closing on March 22, 2018, Higher Education included Kaplan’s domestic postsecondary education businesses, made up of fixed-facility colleges and online postsecondary and career programs. Following the KU Transaction closing, the Higher Education division includes the results as a service provider to higher education institutions.</w:t>
      </w:r>
    </w:p>
    <w:p>
      <w:pPr>
        <w:spacing w:after="0" w:line="137" w:lineRule="exact"/>
        <w:rPr>
          <w:sz w:val="20"/>
          <w:szCs w:val="20"/>
          <w:color w:val="auto"/>
        </w:rPr>
      </w:pPr>
    </w:p>
    <w:p>
      <w:pPr>
        <w:ind w:right="300"/>
        <w:spacing w:after="0" w:line="235" w:lineRule="auto"/>
        <w:rPr>
          <w:sz w:val="20"/>
          <w:szCs w:val="20"/>
          <w:color w:val="auto"/>
        </w:rPr>
      </w:pPr>
      <w:r>
        <w:rPr>
          <w:rFonts w:ascii="Arial" w:cs="Arial" w:eastAsia="Arial" w:hAnsi="Arial"/>
          <w:sz w:val="18"/>
          <w:szCs w:val="18"/>
          <w:color w:val="auto"/>
        </w:rPr>
        <w:t>In the first quarter of 2018, Higher Education revenue was down 10% and operating results declined, due largely to the sale of KU on March 22, 2018 and fewer average enrollments at KU prior to the sale.</w:t>
      </w:r>
    </w:p>
    <w:p>
      <w:pPr>
        <w:spacing w:after="0" w:line="135" w:lineRule="exact"/>
        <w:rPr>
          <w:sz w:val="20"/>
          <w:szCs w:val="20"/>
          <w:color w:val="auto"/>
        </w:rPr>
      </w:pPr>
    </w:p>
    <w:p>
      <w:pPr>
        <w:ind w:right="40"/>
        <w:spacing w:after="0" w:line="225" w:lineRule="auto"/>
        <w:rPr>
          <w:sz w:val="20"/>
          <w:szCs w:val="20"/>
          <w:color w:val="auto"/>
        </w:rPr>
      </w:pPr>
      <w:r>
        <w:rPr>
          <w:rFonts w:ascii="Arial" w:cs="Arial" w:eastAsia="Arial" w:hAnsi="Arial"/>
          <w:sz w:val="18"/>
          <w:szCs w:val="18"/>
          <w:color w:val="auto"/>
        </w:rPr>
        <w:t>Kaplan Test Preparation (KTP) includes Kaplan’s standardized test preparation programs. KTP revenue declined 8% for the first quarter of 2018 due to the disposition of Dev Bootcamp, which made up the majority of KTP's new economy skills training programs, and soft enrollments in certain preparation programs. In comparison to 2017, KTP operating results improved in the first quarter of 2018, due mostly to decreased losses from the new economy skills training programs. Operating losses for the new economy skills training programs were $0.5 million and $3.8 million for the first three months of 2018 and 2017, respectively. Dev Bootcamp was closed in the second half of 2017.</w:t>
      </w:r>
    </w:p>
    <w:p>
      <w:pPr>
        <w:spacing w:after="0" w:line="137" w:lineRule="exact"/>
        <w:rPr>
          <w:sz w:val="20"/>
          <w:szCs w:val="20"/>
          <w:color w:val="auto"/>
        </w:rPr>
      </w:pPr>
    </w:p>
    <w:p>
      <w:pPr>
        <w:jc w:val="both"/>
        <w:ind w:right="200"/>
        <w:spacing w:after="0" w:line="229" w:lineRule="auto"/>
        <w:rPr>
          <w:sz w:val="20"/>
          <w:szCs w:val="20"/>
          <w:color w:val="auto"/>
        </w:rPr>
      </w:pPr>
      <w:r>
        <w:rPr>
          <w:rFonts w:ascii="Arial" w:cs="Arial" w:eastAsia="Arial" w:hAnsi="Arial"/>
          <w:sz w:val="18"/>
          <w:szCs w:val="18"/>
          <w:color w:val="auto"/>
        </w:rPr>
        <w:t>Kaplan Professional (U.S.) includes the domestic professional and other continuing education businesses. In the first quarter of 2018, Kaplan Professional (U.S.) revenue was even with the first quarter of 2017, while operating results declined 8%, due to increased spending on sales and technology.</w:t>
      </w:r>
    </w:p>
    <w:p>
      <w:pPr>
        <w:spacing w:after="0" w:line="137" w:lineRule="exact"/>
        <w:rPr>
          <w:sz w:val="20"/>
          <w:szCs w:val="20"/>
          <w:color w:val="auto"/>
        </w:rPr>
      </w:pPr>
    </w:p>
    <w:p>
      <w:pPr>
        <w:ind w:right="420"/>
        <w:spacing w:after="0" w:line="235" w:lineRule="auto"/>
        <w:rPr>
          <w:sz w:val="20"/>
          <w:szCs w:val="20"/>
          <w:color w:val="auto"/>
        </w:rPr>
      </w:pPr>
      <w:r>
        <w:rPr>
          <w:rFonts w:ascii="Arial" w:cs="Arial" w:eastAsia="Arial" w:hAnsi="Arial"/>
          <w:sz w:val="18"/>
          <w:szCs w:val="18"/>
          <w:color w:val="auto"/>
        </w:rPr>
        <w:t>Kaplan corporate and other represents unallocated expenses of Kaplan, Inc.’s corporate office, other minor businesses and certain shared activities.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Television Broadcasting</w:t>
      </w:r>
    </w:p>
    <w:p>
      <w:pPr>
        <w:spacing w:after="0" w:line="166" w:lineRule="exact"/>
        <w:rPr>
          <w:sz w:val="20"/>
          <w:szCs w:val="20"/>
          <w:color w:val="auto"/>
        </w:rPr>
      </w:pPr>
    </w:p>
    <w:p>
      <w:pPr>
        <w:ind w:right="260"/>
        <w:spacing w:after="0" w:line="225" w:lineRule="auto"/>
        <w:rPr>
          <w:sz w:val="20"/>
          <w:szCs w:val="20"/>
          <w:color w:val="auto"/>
        </w:rPr>
      </w:pPr>
      <w:r>
        <w:rPr>
          <w:rFonts w:ascii="Arial" w:cs="Arial" w:eastAsia="Arial" w:hAnsi="Arial"/>
          <w:sz w:val="18"/>
          <w:szCs w:val="18"/>
          <w:color w:val="auto"/>
        </w:rPr>
        <w:t>Revenue at the television broadcasting division increased 19% to $108.8 million in the first quarter of 2018, from $ 91.5 million in the same period of 2017 due primarily to $8.6 million in 2018 incremental winter Olympics-related advertising revenue at the Company's NBC affiliates and an $8.2 million increase in retransmission revenues. Operating income for the first quarter of 2018 increased 53% to $40.5 million, from $26.5 million in the same period of 2017 due to higher revenues. The Company's television broadcasting stations operate under a retransmission contract with Comcast that was effective on April 1, 2017.</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719"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Healthcare</w:t>
      </w:r>
    </w:p>
    <w:p>
      <w:pPr>
        <w:spacing w:after="0" w:line="166" w:lineRule="exact"/>
        <w:rPr>
          <w:sz w:val="20"/>
          <w:szCs w:val="20"/>
          <w:color w:val="auto"/>
        </w:rPr>
      </w:pPr>
    </w:p>
    <w:p>
      <w:pPr>
        <w:ind w:right="260"/>
        <w:spacing w:after="0" w:line="229" w:lineRule="auto"/>
        <w:rPr>
          <w:sz w:val="20"/>
          <w:szCs w:val="20"/>
          <w:color w:val="auto"/>
        </w:rPr>
      </w:pPr>
      <w:r>
        <w:rPr>
          <w:rFonts w:ascii="Arial" w:cs="Arial" w:eastAsia="Arial" w:hAnsi="Arial"/>
          <w:sz w:val="18"/>
          <w:szCs w:val="18"/>
          <w:color w:val="auto"/>
        </w:rPr>
        <w:t>The Graham Healthcare Group (GHG) provides home health and hospice services in three states. At the end of June 2017, GHG acquired Hometown Home Health and Hospice, a Lapeer, MI-based healthcare services provider. Healthcare revenues increased 2% in the first three months of 2018, while operating results were down, due largely to continued integration costs.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Businesses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 summary of Other Businesses’ operating results is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40" w:type="dxa"/>
            <w:vAlign w:val="bottom"/>
            <w:gridSpan w:val="3"/>
          </w:tcPr>
          <w:p>
            <w:pPr>
              <w:jc w:val="right"/>
              <w:ind w:right="279"/>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Pr>
          <w:p>
            <w:pPr>
              <w:spacing w:after="0"/>
              <w:rPr>
                <w:sz w:val="16"/>
                <w:szCs w:val="16"/>
                <w:color w:val="auto"/>
              </w:rPr>
            </w:pPr>
          </w:p>
        </w:tc>
      </w:tr>
      <w:tr>
        <w:trPr>
          <w:trHeight w:val="276"/>
        </w:trPr>
        <w:tc>
          <w:tcPr>
            <w:tcW w:w="83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700" w:type="dxa"/>
            <w:vAlign w:val="bottom"/>
            <w:tcBorders>
              <w:bottom w:val="single" w:sz="8" w:color="auto"/>
            </w:tcBorders>
          </w:tcPr>
          <w:p>
            <w:pPr>
              <w:spacing w:after="0"/>
              <w:rPr>
                <w:sz w:val="24"/>
                <w:szCs w:val="24"/>
                <w:color w:val="auto"/>
              </w:rPr>
            </w:pPr>
          </w:p>
        </w:tc>
        <w:tc>
          <w:tcPr>
            <w:tcW w:w="900" w:type="dxa"/>
            <w:vAlign w:val="bottom"/>
          </w:tcPr>
          <w:p>
            <w:pPr>
              <w:jc w:val="right"/>
              <w:ind w:right="240"/>
              <w:spacing w:after="0"/>
              <w:rPr>
                <w:sz w:val="20"/>
                <w:szCs w:val="20"/>
                <w:color w:val="auto"/>
              </w:rPr>
            </w:pPr>
            <w:r>
              <w:rPr>
                <w:rFonts w:ascii="Arial" w:cs="Arial" w:eastAsia="Arial" w:hAnsi="Arial"/>
                <w:sz w:val="14"/>
                <w:szCs w:val="14"/>
                <w:color w:val="auto"/>
              </w:rPr>
              <w:t>%</w:t>
            </w:r>
          </w:p>
        </w:tc>
      </w:tr>
      <w:tr>
        <w:trPr>
          <w:trHeight w:val="264"/>
        </w:trPr>
        <w:tc>
          <w:tcPr>
            <w:tcW w:w="83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color w:val="auto"/>
              </w:rPr>
              <w:t>2017</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color w:val="auto"/>
              </w:rPr>
              <w:t>Change</w:t>
            </w:r>
          </w:p>
        </w:tc>
      </w:tr>
      <w:tr>
        <w:trPr>
          <w:trHeight w:val="250"/>
        </w:trPr>
        <w:tc>
          <w:tcPr>
            <w:tcW w:w="836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836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117,406</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61,898</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90</w:t>
            </w:r>
          </w:p>
        </w:tc>
      </w:tr>
      <w:tr>
        <w:trPr>
          <w:trHeight w:val="270"/>
        </w:trPr>
        <w:tc>
          <w:tcPr>
            <w:tcW w:w="836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2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13,299</w:t>
            </w:r>
          </w:p>
        </w:tc>
        <w:tc>
          <w:tcPr>
            <w:tcW w:w="380" w:type="dxa"/>
            <w:vAlign w:val="bottom"/>
          </w:tcPr>
          <w:p>
            <w:pPr>
              <w:spacing w:after="0"/>
              <w:rPr>
                <w:sz w:val="23"/>
                <w:szCs w:val="23"/>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12,574</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6</w:t>
            </w:r>
          </w:p>
        </w:tc>
      </w:tr>
      <w:tr>
        <w:trPr>
          <w:trHeight w:val="283"/>
        </w:trPr>
        <w:tc>
          <w:tcPr>
            <w:tcW w:w="8360" w:type="dxa"/>
            <w:vAlign w:val="bottom"/>
          </w:tcPr>
          <w:p>
            <w:pPr>
              <w:ind w:left="18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6,833</w:t>
            </w:r>
          </w:p>
        </w:tc>
        <w:tc>
          <w:tcPr>
            <w:tcW w:w="3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6,953</w:t>
            </w: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64"/>
        </w:trPr>
        <w:tc>
          <w:tcPr>
            <w:tcW w:w="836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137,538</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81,425</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69</w:t>
            </w:r>
          </w:p>
        </w:tc>
      </w:tr>
      <w:tr>
        <w:trPr>
          <w:trHeight w:val="251"/>
        </w:trPr>
        <w:tc>
          <w:tcPr>
            <w:tcW w:w="8360" w:type="dxa"/>
            <w:vAlign w:val="bottom"/>
          </w:tcPr>
          <w:p>
            <w:pPr>
              <w:ind w:left="40"/>
              <w:spacing w:after="0"/>
              <w:rPr>
                <w:sz w:val="20"/>
                <w:szCs w:val="20"/>
                <w:color w:val="auto"/>
              </w:rPr>
            </w:pPr>
            <w:r>
              <w:rPr>
                <w:rFonts w:ascii="Arial" w:cs="Arial" w:eastAsia="Arial" w:hAnsi="Arial"/>
                <w:sz w:val="16"/>
                <w:szCs w:val="16"/>
                <w:b w:val="1"/>
                <w:bCs w:val="1"/>
                <w:color w:val="auto"/>
              </w:rPr>
              <w:t>Operating Expenses</w:t>
            </w: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836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108,778</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58,233</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87</w:t>
            </w:r>
          </w:p>
        </w:tc>
      </w:tr>
      <w:tr>
        <w:trPr>
          <w:trHeight w:val="270"/>
        </w:trPr>
        <w:tc>
          <w:tcPr>
            <w:tcW w:w="836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2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17,080</w:t>
            </w:r>
          </w:p>
        </w:tc>
        <w:tc>
          <w:tcPr>
            <w:tcW w:w="380" w:type="dxa"/>
            <w:vAlign w:val="bottom"/>
          </w:tcPr>
          <w:p>
            <w:pPr>
              <w:spacing w:after="0"/>
              <w:rPr>
                <w:sz w:val="23"/>
                <w:szCs w:val="23"/>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17,082</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83"/>
        </w:trPr>
        <w:tc>
          <w:tcPr>
            <w:tcW w:w="8360" w:type="dxa"/>
            <w:vAlign w:val="bottom"/>
          </w:tcPr>
          <w:p>
            <w:pPr>
              <w:ind w:left="18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15,375</w:t>
            </w:r>
          </w:p>
        </w:tc>
        <w:tc>
          <w:tcPr>
            <w:tcW w:w="3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15,748</w:t>
            </w: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64"/>
        </w:trPr>
        <w:tc>
          <w:tcPr>
            <w:tcW w:w="836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141,233</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91,063</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55</w:t>
            </w:r>
          </w:p>
        </w:tc>
      </w:tr>
      <w:tr>
        <w:trPr>
          <w:trHeight w:val="251"/>
        </w:trPr>
        <w:tc>
          <w:tcPr>
            <w:tcW w:w="8360" w:type="dxa"/>
            <w:vAlign w:val="bottom"/>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836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8,628</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3,665</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836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20" w:type="dxa"/>
            <w:vAlign w:val="bottom"/>
          </w:tcPr>
          <w:p>
            <w:pPr>
              <w:spacing w:after="0"/>
              <w:rPr>
                <w:sz w:val="23"/>
                <w:szCs w:val="23"/>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b w:val="1"/>
                <w:bCs w:val="1"/>
                <w:color w:val="auto"/>
              </w:rPr>
              <w:t>(3,781)</w:t>
            </w:r>
          </w:p>
        </w:tc>
        <w:tc>
          <w:tcPr>
            <w:tcW w:w="3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(4,508)</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16</w:t>
            </w:r>
          </w:p>
        </w:tc>
      </w:tr>
      <w:tr>
        <w:trPr>
          <w:trHeight w:val="283"/>
        </w:trPr>
        <w:tc>
          <w:tcPr>
            <w:tcW w:w="8360" w:type="dxa"/>
            <w:vAlign w:val="bottom"/>
          </w:tcPr>
          <w:p>
            <w:pPr>
              <w:ind w:left="18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(8,542)</w:t>
            </w:r>
          </w:p>
        </w:tc>
        <w:tc>
          <w:tcPr>
            <w:tcW w:w="3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(8,795)</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w:t>
            </w:r>
          </w:p>
        </w:tc>
      </w:tr>
      <w:tr>
        <w:trPr>
          <w:trHeight w:val="264"/>
        </w:trPr>
        <w:tc>
          <w:tcPr>
            <w:tcW w:w="836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(3,695)</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(9,638)</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62</w:t>
            </w:r>
          </w:p>
        </w:tc>
      </w:tr>
      <w:tr>
        <w:trPr>
          <w:trHeight w:val="251"/>
        </w:trPr>
        <w:tc>
          <w:tcPr>
            <w:tcW w:w="8360" w:type="dxa"/>
            <w:vAlign w:val="bottom"/>
          </w:tcPr>
          <w:p>
            <w:pPr>
              <w:ind w:left="40"/>
              <w:spacing w:after="0"/>
              <w:rPr>
                <w:sz w:val="20"/>
                <w:szCs w:val="20"/>
                <w:color w:val="auto"/>
              </w:rPr>
            </w:pPr>
            <w:r>
              <w:rPr>
                <w:rFonts w:ascii="Arial" w:cs="Arial" w:eastAsia="Arial" w:hAnsi="Arial"/>
                <w:sz w:val="16"/>
                <w:szCs w:val="16"/>
                <w:b w:val="1"/>
                <w:bCs w:val="1"/>
                <w:color w:val="auto"/>
              </w:rPr>
              <w:t>Depreciation</w:t>
            </w: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836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2,451</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1,508</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63</w:t>
            </w:r>
          </w:p>
        </w:tc>
      </w:tr>
      <w:tr>
        <w:trPr>
          <w:trHeight w:val="270"/>
        </w:trPr>
        <w:tc>
          <w:tcPr>
            <w:tcW w:w="836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2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233</w:t>
            </w:r>
          </w:p>
        </w:tc>
        <w:tc>
          <w:tcPr>
            <w:tcW w:w="380" w:type="dxa"/>
            <w:vAlign w:val="bottom"/>
          </w:tcPr>
          <w:p>
            <w:pPr>
              <w:spacing w:after="0"/>
              <w:rPr>
                <w:sz w:val="23"/>
                <w:szCs w:val="23"/>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246</w:t>
            </w:r>
          </w:p>
        </w:tc>
        <w:tc>
          <w:tcPr>
            <w:tcW w:w="9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83"/>
        </w:trPr>
        <w:tc>
          <w:tcPr>
            <w:tcW w:w="8360" w:type="dxa"/>
            <w:vAlign w:val="bottom"/>
          </w:tcPr>
          <w:p>
            <w:pPr>
              <w:ind w:left="18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375</w:t>
            </w:r>
          </w:p>
        </w:tc>
        <w:tc>
          <w:tcPr>
            <w:tcW w:w="3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361</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w:t>
            </w:r>
          </w:p>
        </w:tc>
      </w:tr>
      <w:tr>
        <w:trPr>
          <w:trHeight w:val="264"/>
        </w:trPr>
        <w:tc>
          <w:tcPr>
            <w:tcW w:w="836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3,059</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2,115</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45</w:t>
            </w:r>
          </w:p>
        </w:tc>
      </w:tr>
      <w:tr>
        <w:trPr>
          <w:trHeight w:val="251"/>
        </w:trPr>
        <w:tc>
          <w:tcPr>
            <w:tcW w:w="8360" w:type="dxa"/>
            <w:vAlign w:val="bottom"/>
          </w:tcPr>
          <w:p>
            <w:pPr>
              <w:ind w:left="40"/>
              <w:spacing w:after="0"/>
              <w:rPr>
                <w:sz w:val="20"/>
                <w:szCs w:val="20"/>
                <w:color w:val="auto"/>
              </w:rPr>
            </w:pPr>
            <w:r>
              <w:rPr>
                <w:rFonts w:ascii="Arial" w:cs="Arial" w:eastAsia="Arial" w:hAnsi="Arial"/>
                <w:sz w:val="16"/>
                <w:szCs w:val="16"/>
                <w:b w:val="1"/>
                <w:bCs w:val="1"/>
                <w:color w:val="auto"/>
              </w:rPr>
              <w:t>Amortization of Intangible Assets</w:t>
            </w: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836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5,936</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3,077</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93</w:t>
            </w:r>
          </w:p>
        </w:tc>
      </w:tr>
      <w:tr>
        <w:trPr>
          <w:trHeight w:val="270"/>
        </w:trPr>
        <w:tc>
          <w:tcPr>
            <w:tcW w:w="836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2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83</w:t>
            </w:r>
          </w:p>
        </w:tc>
        <w:tc>
          <w:tcPr>
            <w:tcW w:w="380" w:type="dxa"/>
            <w:vAlign w:val="bottom"/>
          </w:tcPr>
          <w:p>
            <w:pPr>
              <w:spacing w:after="0"/>
              <w:rPr>
                <w:sz w:val="23"/>
                <w:szCs w:val="23"/>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83</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83"/>
        </w:trPr>
        <w:tc>
          <w:tcPr>
            <w:tcW w:w="8360" w:type="dxa"/>
            <w:vAlign w:val="bottom"/>
          </w:tcPr>
          <w:p>
            <w:pPr>
              <w:ind w:left="18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w:t>
            </w:r>
          </w:p>
        </w:tc>
        <w:tc>
          <w:tcPr>
            <w:tcW w:w="3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64"/>
        </w:trPr>
        <w:tc>
          <w:tcPr>
            <w:tcW w:w="836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6,019</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3,160</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90</w:t>
            </w:r>
          </w:p>
        </w:tc>
      </w:tr>
      <w:tr>
        <w:trPr>
          <w:trHeight w:val="251"/>
        </w:trPr>
        <w:tc>
          <w:tcPr>
            <w:tcW w:w="8360" w:type="dxa"/>
            <w:vAlign w:val="bottom"/>
          </w:tcPr>
          <w:p>
            <w:pPr>
              <w:ind w:left="40"/>
              <w:spacing w:after="0"/>
              <w:rPr>
                <w:sz w:val="20"/>
                <w:szCs w:val="20"/>
                <w:color w:val="auto"/>
              </w:rPr>
            </w:pPr>
            <w:r>
              <w:rPr>
                <w:rFonts w:ascii="Arial" w:cs="Arial" w:eastAsia="Arial" w:hAnsi="Arial"/>
                <w:sz w:val="16"/>
                <w:szCs w:val="16"/>
                <w:b w:val="1"/>
                <w:bCs w:val="1"/>
                <w:color w:val="auto"/>
              </w:rPr>
              <w:t>Pension Expense</w:t>
            </w: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836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17</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25</w:t>
            </w:r>
          </w:p>
        </w:tc>
        <w:tc>
          <w:tcPr>
            <w:tcW w:w="90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270"/>
        </w:trPr>
        <w:tc>
          <w:tcPr>
            <w:tcW w:w="836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2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156</w:t>
            </w:r>
          </w:p>
        </w:tc>
        <w:tc>
          <w:tcPr>
            <w:tcW w:w="380" w:type="dxa"/>
            <w:vAlign w:val="bottom"/>
          </w:tcPr>
          <w:p>
            <w:pPr>
              <w:spacing w:after="0"/>
              <w:rPr>
                <w:sz w:val="23"/>
                <w:szCs w:val="23"/>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154</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w:t>
            </w:r>
          </w:p>
        </w:tc>
      </w:tr>
      <w:tr>
        <w:trPr>
          <w:trHeight w:val="283"/>
        </w:trPr>
        <w:tc>
          <w:tcPr>
            <w:tcW w:w="8360" w:type="dxa"/>
            <w:vAlign w:val="bottom"/>
          </w:tcPr>
          <w:p>
            <w:pPr>
              <w:ind w:left="18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116</w:t>
            </w:r>
          </w:p>
        </w:tc>
        <w:tc>
          <w:tcPr>
            <w:tcW w:w="3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138</w:t>
            </w:r>
          </w:p>
        </w:tc>
        <w:tc>
          <w:tcPr>
            <w:tcW w:w="90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64"/>
        </w:trPr>
        <w:tc>
          <w:tcPr>
            <w:tcW w:w="836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289</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317</w:t>
            </w:r>
          </w:p>
        </w:tc>
        <w:tc>
          <w:tcPr>
            <w:tcW w:w="900" w:type="dxa"/>
            <w:vAlign w:val="bottom"/>
          </w:tcPr>
          <w:p>
            <w:pPr>
              <w:jc w:val="right"/>
              <w:spacing w:after="0"/>
              <w:rPr>
                <w:sz w:val="20"/>
                <w:szCs w:val="20"/>
                <w:color w:val="auto"/>
              </w:rPr>
            </w:pPr>
            <w:r>
              <w:rPr>
                <w:rFonts w:ascii="Arial" w:cs="Arial" w:eastAsia="Arial" w:hAnsi="Arial"/>
                <w:sz w:val="16"/>
                <w:szCs w:val="16"/>
                <w:color w:val="auto"/>
              </w:rPr>
              <w:t>(9)</w:t>
            </w:r>
          </w:p>
        </w:tc>
      </w:tr>
    </w:tbl>
    <w:p>
      <w:pPr>
        <w:spacing w:after="0" w:line="148" w:lineRule="exact"/>
        <w:rPr>
          <w:sz w:val="20"/>
          <w:szCs w:val="20"/>
          <w:color w:val="auto"/>
        </w:rPr>
      </w:pPr>
    </w:p>
    <w:p>
      <w:pPr>
        <w:ind w:right="100"/>
        <w:spacing w:after="0" w:line="225" w:lineRule="auto"/>
        <w:rPr>
          <w:sz w:val="20"/>
          <w:szCs w:val="20"/>
          <w:color w:val="auto"/>
        </w:rPr>
      </w:pPr>
      <w:r>
        <w:rPr>
          <w:rFonts w:ascii="Arial" w:cs="Arial" w:eastAsia="Arial" w:hAnsi="Arial"/>
          <w:sz w:val="18"/>
          <w:szCs w:val="18"/>
          <w:color w:val="auto"/>
        </w:rPr>
        <w:t>Manufacturing includes four businesses: Dekko, a manufacturer of electrical workspace solutions, architectural lighting and electrical components and assemblies; Joyce/Dayton Corp., a manufacturer of screw jacks and other linear motion systems; Forney, a global supplier of products and systems that control and monitor combustion processes in electric utility and industrial applications; and Hoover Treated Wood Products, Inc., a supplier of pressure impregnated kiln-dried lumber and plywood products for fire retardant and preservative applications that the Company acquired in April 2017.</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Manufacturing revenues and operating income increased in the first quarter of 2018 due primarily to the Hoover acquisition.</w:t>
      </w:r>
    </w:p>
    <w:p>
      <w:pPr>
        <w:spacing w:after="0" w:line="144" w:lineRule="exact"/>
        <w:rPr>
          <w:sz w:val="20"/>
          <w:szCs w:val="20"/>
          <w:color w:val="auto"/>
        </w:rPr>
      </w:pPr>
    </w:p>
    <w:p>
      <w:pPr>
        <w:ind w:right="140"/>
        <w:spacing w:after="0" w:line="229" w:lineRule="auto"/>
        <w:rPr>
          <w:sz w:val="20"/>
          <w:szCs w:val="20"/>
          <w:color w:val="auto"/>
        </w:rPr>
      </w:pPr>
      <w:r>
        <w:rPr>
          <w:rFonts w:ascii="Arial" w:cs="Arial" w:eastAsia="Arial" w:hAnsi="Arial"/>
          <w:sz w:val="18"/>
          <w:szCs w:val="18"/>
          <w:color w:val="auto"/>
        </w:rPr>
        <w:t>SocialCode is a provider of marketing solutions on social, mobile and video platforms. SocialCode revenue increased 6% in the first quarter of 2018 due to growth in digital advertising service revenues. SocialCode reported operating losses of $3.8 million in the first quarter of 2018, compared to $4.5 million in the first quarter of 2017.</w:t>
      </w:r>
    </w:p>
    <w:p>
      <w:pPr>
        <w:spacing w:after="0" w:line="137" w:lineRule="exact"/>
        <w:rPr>
          <w:sz w:val="20"/>
          <w:szCs w:val="20"/>
          <w:color w:val="auto"/>
        </w:rPr>
      </w:pPr>
    </w:p>
    <w:p>
      <w:pPr>
        <w:ind w:right="280"/>
        <w:spacing w:after="0" w:line="235" w:lineRule="auto"/>
        <w:rPr>
          <w:sz w:val="20"/>
          <w:szCs w:val="20"/>
          <w:color w:val="auto"/>
        </w:rPr>
      </w:pPr>
      <w:r>
        <w:rPr>
          <w:rFonts w:ascii="Arial" w:cs="Arial" w:eastAsia="Arial" w:hAnsi="Arial"/>
          <w:sz w:val="18"/>
          <w:szCs w:val="18"/>
          <w:color w:val="auto"/>
        </w:rPr>
        <w:t>Other businesses include Slate and Foreign Policy, which publish online and print magazines and websites; and two investment stage businesses, Panoply and CyberVista. Losses from each of these businesses in the first quarter of 2018 adversely affected operating results.</w:t>
      </w:r>
    </w:p>
    <w:p>
      <w:pPr>
        <w:sectPr>
          <w:pgSz w:w="11900" w:h="16838" w:orient="portrait"/>
          <w:cols w:equalWidth="0" w:num="1">
            <w:col w:w="11420"/>
          </w:cols>
          <w:pgMar w:left="240" w:top="697" w:right="23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1420"/>
          </w:cols>
          <w:pgMar w:left="240" w:top="697" w:right="2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Corporate Office</w:t>
      </w:r>
    </w:p>
    <w:p>
      <w:pPr>
        <w:spacing w:after="0" w:line="166" w:lineRule="exact"/>
        <w:rPr>
          <w:sz w:val="20"/>
          <w:szCs w:val="20"/>
          <w:color w:val="auto"/>
        </w:rPr>
      </w:pPr>
    </w:p>
    <w:p>
      <w:pPr>
        <w:ind w:right="800"/>
        <w:spacing w:after="0" w:line="235" w:lineRule="auto"/>
        <w:rPr>
          <w:sz w:val="20"/>
          <w:szCs w:val="20"/>
          <w:color w:val="auto"/>
        </w:rPr>
      </w:pPr>
      <w:r>
        <w:rPr>
          <w:rFonts w:ascii="Arial" w:cs="Arial" w:eastAsia="Arial" w:hAnsi="Arial"/>
          <w:sz w:val="18"/>
          <w:szCs w:val="18"/>
          <w:color w:val="auto"/>
        </w:rPr>
        <w:t>Corporate office includes the expenses of the Company’s corporate office and certain continuing obligations related to prior business dispositions.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Equity in Earnings (Losses) of Affiliates</w:t>
      </w:r>
    </w:p>
    <w:p>
      <w:pPr>
        <w:spacing w:after="0" w:line="166"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At March 31, 2018, the Company held interests in a number of home health and hospice joint ventures, and interests in several other affiliates. In the second half of 2017, the Company acquired approximately 11% of Intersection Holdings, LLC, which provides digital marketing and advertising services and products for cities, transit systems, airports, and other public and private spaces. The Company recorded equity in earnings of affiliates of $2.6 million for the first quarter of 2018, compared to $0.6 million for the first quarter of 2017.</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Interest Expense and Related Balances</w:t>
      </w:r>
    </w:p>
    <w:p>
      <w:pPr>
        <w:spacing w:after="0" w:line="166"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The Company incurred net interest expense of $6.7 million for the first quarter of 2018, compared to $6.8 million for the first quarter of 2017. At March 31, 2018, the Company had $497.7 million in borrowings outstanding at an average interest rate of 6.2% and cash, marketable equity securities and other investments of $819.6 million.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Non-operating Pension and Postretirement Benefit Income, net</w:t>
      </w:r>
    </w:p>
    <w:p>
      <w:pPr>
        <w:spacing w:after="0" w:line="166"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color w:val="auto"/>
        </w:rPr>
        <w:t>In the first quarter of 2018, the Company adopted new accounting guidance that changes the income statement classification of net periodic pension and postretirement pension cost. Under the new guidance, service cost is included in operating income, while the other components (including expected return on assets) are included in non-operating income. The new guidance was required to be applied retrospectively, with prior period financial information revised to reflect the reclassification. From a segment reporting perspective, this change had a significant impact on Corporate office reporting, with minimal impact on the television broadcasting and Kaplan corporate reporting.</w:t>
      </w:r>
    </w:p>
    <w:p>
      <w:pPr>
        <w:spacing w:after="0" w:line="137"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Company recorded net non-operating pension and postretirement benefit income of $21.4 million for the first quarter of 2018, compared to $18.8 million for the first quarter of 2017.</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Loss on Marketable Equity Securities, net</w:t>
      </w:r>
    </w:p>
    <w:p>
      <w:pPr>
        <w:spacing w:after="0" w:line="166" w:lineRule="exact"/>
        <w:rPr>
          <w:sz w:val="20"/>
          <w:szCs w:val="20"/>
          <w:color w:val="auto"/>
        </w:rPr>
      </w:pPr>
    </w:p>
    <w:p>
      <w:pPr>
        <w:ind w:right="260"/>
        <w:spacing w:after="0" w:line="229" w:lineRule="auto"/>
        <w:rPr>
          <w:sz w:val="20"/>
          <w:szCs w:val="20"/>
          <w:color w:val="auto"/>
        </w:rPr>
      </w:pPr>
      <w:r>
        <w:rPr>
          <w:rFonts w:ascii="Arial" w:cs="Arial" w:eastAsia="Arial" w:hAnsi="Arial"/>
          <w:sz w:val="18"/>
          <w:szCs w:val="18"/>
          <w:color w:val="auto"/>
        </w:rPr>
        <w:t>In the first quarter of 2018, the Company adopted new guidance that requires changes in the fair value of marketable equity securities to be included in non-operating income (expense) on a prospective basis. Overall, the Company recognized $14.1 million in net losses on marketable equity securities in the first quarter of 2018.</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Non-Operating Income (Expense)</w:t>
      </w:r>
    </w:p>
    <w:p>
      <w:pPr>
        <w:spacing w:after="0" w:line="166"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The Company recorded total other non-operating income, net, of $9.2 million for the first quarter of 2018, compared to $0.8 million for the first quarter of 2017. The 2018 amounts included a $5.9 million gain on sales of businesses; $ 0.2 million in foreign currency gains; and other items. The 2017 amounts included $1.7 million in foreign currency gains, partially offset by other items.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Provision for Income Taxes</w:t>
      </w:r>
    </w:p>
    <w:p>
      <w:pPr>
        <w:spacing w:after="0" w:line="166" w:lineRule="exact"/>
        <w:rPr>
          <w:sz w:val="20"/>
          <w:szCs w:val="20"/>
          <w:color w:val="auto"/>
        </w:rPr>
      </w:pPr>
    </w:p>
    <w:p>
      <w:pPr>
        <w:ind w:right="240"/>
        <w:spacing w:after="0" w:line="235" w:lineRule="auto"/>
        <w:rPr>
          <w:sz w:val="20"/>
          <w:szCs w:val="20"/>
          <w:color w:val="auto"/>
        </w:rPr>
      </w:pPr>
      <w:r>
        <w:rPr>
          <w:rFonts w:ascii="Arial" w:cs="Arial" w:eastAsia="Arial" w:hAnsi="Arial"/>
          <w:sz w:val="18"/>
          <w:szCs w:val="18"/>
          <w:color w:val="auto"/>
        </w:rPr>
        <w:t>The Company’s effective tax rate for the first three months of 2018 was 24.0%. The Tax Cuts and Jobs Act was enacted in December 2017, which included lowering the federal corporate income tax rate from 35% to 21%.</w:t>
      </w:r>
    </w:p>
    <w:p>
      <w:pPr>
        <w:spacing w:after="0" w:line="135"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color w:val="auto"/>
        </w:rPr>
        <w:t>The Company's effective tax rate for the first three months of 2017 was 11.4%. This low effective tax rate is due to a $5.9 million income tax benefit related to the vesting of restricted stock awards. In the first quarter of 2017, the Company adopted a new accounting standard that requires all excess income tax benefits and deficiencies from stock compensation to be recorded as discrete items in the provision for income taxes. Excluding this $5.9 million benefit, the overall income tax rate for the first three months of 2017 was 36.3%.</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Earnings Per Share</w:t>
      </w:r>
    </w:p>
    <w:p>
      <w:pPr>
        <w:spacing w:after="0" w:line="166" w:lineRule="exact"/>
        <w:rPr>
          <w:sz w:val="20"/>
          <w:szCs w:val="20"/>
          <w:color w:val="auto"/>
        </w:rPr>
      </w:pPr>
    </w:p>
    <w:p>
      <w:pPr>
        <w:ind w:right="140"/>
        <w:spacing w:after="0" w:line="227" w:lineRule="auto"/>
        <w:rPr>
          <w:sz w:val="20"/>
          <w:szCs w:val="20"/>
          <w:color w:val="auto"/>
        </w:rPr>
      </w:pPr>
      <w:r>
        <w:rPr>
          <w:rFonts w:ascii="Arial" w:cs="Arial" w:eastAsia="Arial" w:hAnsi="Arial"/>
          <w:sz w:val="18"/>
          <w:szCs w:val="18"/>
          <w:color w:val="auto"/>
        </w:rPr>
        <w:t>The calculation of diluted earnings per share for the first quarter of 2018 was based on 5,472,643 weighted average shares outstanding, compared to 5,568,903 for the first quarter of 2017. At March 31, 2018, there were 5,373,325 shares outstanding. On November 9, 2017, the Board of Directors authorized the Company to acquire up to 500,000 shares of its Class B common stock; the Company has remaining authorization for 341,098 shares as of March 31, 2018.</w:t>
      </w:r>
    </w:p>
    <w:p>
      <w:pPr>
        <w:spacing w:after="0" w:line="37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40"/>
          </w:cols>
          <w:pgMar w:left="240" w:top="697" w:right="31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auto"/>
        </w:rPr>
        <w:t>Adoption of Revenue Recognition Standard</w:t>
      </w:r>
    </w:p>
    <w:p>
      <w:pPr>
        <w:spacing w:after="0" w:line="166" w:lineRule="exact"/>
        <w:rPr>
          <w:sz w:val="20"/>
          <w:szCs w:val="20"/>
          <w:color w:val="auto"/>
        </w:rPr>
      </w:pPr>
    </w:p>
    <w:p>
      <w:pPr>
        <w:jc w:val="both"/>
        <w:ind w:right="100"/>
        <w:spacing w:after="0" w:line="229" w:lineRule="auto"/>
        <w:rPr>
          <w:sz w:val="20"/>
          <w:szCs w:val="20"/>
          <w:color w:val="auto"/>
        </w:rPr>
      </w:pPr>
      <w:r>
        <w:rPr>
          <w:rFonts w:ascii="Arial" w:cs="Arial" w:eastAsia="Arial" w:hAnsi="Arial"/>
          <w:sz w:val="18"/>
          <w:szCs w:val="18"/>
          <w:color w:val="auto"/>
        </w:rPr>
        <w:t>On January 1, 2018, the Company adopted the new revenue recognition guidance using the modified retrospective approach. If the company applied the accounting policies under the previous guidance, revenue would have been $1.3 million lower and operating expenses would have been $3.0 million higher for the first quarter of 2018.</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Condition: Capital Resources and Liquidity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Dispositions and Exchanges</w:t>
      </w:r>
    </w:p>
    <w:p>
      <w:pPr>
        <w:spacing w:after="0" w:line="144" w:lineRule="exact"/>
        <w:rPr>
          <w:sz w:val="20"/>
          <w:szCs w:val="20"/>
          <w:color w:val="auto"/>
        </w:rPr>
      </w:pPr>
    </w:p>
    <w:p>
      <w:pPr>
        <w:jc w:val="both"/>
        <w:ind w:right="460"/>
        <w:spacing w:after="0" w:line="238" w:lineRule="auto"/>
        <w:rPr>
          <w:sz w:val="20"/>
          <w:szCs w:val="20"/>
          <w:color w:val="auto"/>
        </w:rPr>
      </w:pPr>
      <w:r>
        <w:rPr>
          <w:rFonts w:ascii="Arial" w:cs="Arial" w:eastAsia="Arial" w:hAnsi="Arial"/>
          <w:sz w:val="18"/>
          <w:szCs w:val="18"/>
          <w:b w:val="1"/>
          <w:bCs w:val="1"/>
          <w:color w:val="auto"/>
        </w:rPr>
        <w:t xml:space="preserve">Acquisitions. </w:t>
      </w:r>
      <w:r>
        <w:rPr>
          <w:rFonts w:ascii="Arial" w:cs="Arial" w:eastAsia="Arial" w:hAnsi="Arial"/>
          <w:sz w:val="18"/>
          <w:szCs w:val="18"/>
          <w:color w:val="auto"/>
        </w:rPr>
        <w:t>In the first three months of 2018, Kaplan acquired the assets of i-Human Patients, Inc., a leader in cloud-based, interactive</w:t>
      </w:r>
      <w:r>
        <w:rPr>
          <w:rFonts w:ascii="Arial" w:cs="Arial" w:eastAsia="Arial" w:hAnsi="Arial"/>
          <w:sz w:val="18"/>
          <w:szCs w:val="18"/>
          <w:b w:val="1"/>
          <w:bCs w:val="1"/>
          <w:color w:val="auto"/>
        </w:rPr>
        <w:t xml:space="preserve"> </w:t>
      </w:r>
      <w:r>
        <w:rPr>
          <w:rFonts w:ascii="Arial" w:cs="Arial" w:eastAsia="Arial" w:hAnsi="Arial"/>
          <w:sz w:val="18"/>
          <w:szCs w:val="18"/>
          <w:color w:val="auto"/>
        </w:rPr>
        <w:t>patient encounter simulations for medical and nursing professionals and educators, and another small business in its test preparation and international division, respectively, for $3.2 million. These acquisitions are expected to provide strategic benefits in the future.</w:t>
      </w:r>
    </w:p>
    <w:p>
      <w:pPr>
        <w:spacing w:after="0" w:line="136" w:lineRule="exact"/>
        <w:rPr>
          <w:sz w:val="20"/>
          <w:szCs w:val="20"/>
          <w:color w:val="auto"/>
        </w:rPr>
      </w:pPr>
    </w:p>
    <w:p>
      <w:pPr>
        <w:ind w:right="180"/>
        <w:spacing w:after="0" w:line="229" w:lineRule="auto"/>
        <w:rPr>
          <w:sz w:val="20"/>
          <w:szCs w:val="20"/>
          <w:color w:val="auto"/>
        </w:rPr>
      </w:pPr>
      <w:r>
        <w:rPr>
          <w:rFonts w:ascii="Arial" w:cs="Arial" w:eastAsia="Arial" w:hAnsi="Arial"/>
          <w:sz w:val="18"/>
          <w:szCs w:val="18"/>
          <w:color w:val="auto"/>
        </w:rPr>
        <w:t>During 2017, the Company acquired six businesses, two in its education division, two in its television broadcasting division and two in other businesses for $318.9 million in cash and contingent consideration, and the assumption of $59.1 million in certain pension and postretirement obligations.</w:t>
      </w:r>
    </w:p>
    <w:p>
      <w:pPr>
        <w:spacing w:after="0" w:line="137"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On January 17, 2017, the Company closed on its agreement with Nexstar Broadcasting Group, Inc. and Media General, Inc. to acquire the assets of WCWJ, a CW affiliate television station in Jacksonville, FL and WSLS, an NBC affiliate television station in Roanoke, VA for cash and the assumption of certain pension obligations. The acquisition of WCWJ and WSLS will complement the other stations that GMG operates. Both of these acquisitions are included in television broadcasting.</w:t>
      </w:r>
    </w:p>
    <w:p>
      <w:pPr>
        <w:spacing w:after="0" w:line="135"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In February 2017, Kaplan acquired a 100% interest in Genesis Training Institute, a Dubai-based provider of professional development training in the United Arab Emirates, by purchasing all of its issued and outstanding shares. Additionally, Kaplan acquired a 100% interest in Red Marker Pty Ltd, an Australia-based regulatory technology company by purchasing all of its outstanding shares. These acquisitions are expected to provide certain strategic benefits in the future. Both of these acquisitions are included in Kaplan International.</w:t>
      </w:r>
    </w:p>
    <w:p>
      <w:pPr>
        <w:spacing w:after="0" w:line="135" w:lineRule="exact"/>
        <w:rPr>
          <w:sz w:val="20"/>
          <w:szCs w:val="20"/>
          <w:color w:val="auto"/>
        </w:rPr>
      </w:pPr>
    </w:p>
    <w:p>
      <w:pPr>
        <w:ind w:right="180"/>
        <w:spacing w:after="0" w:line="223" w:lineRule="auto"/>
        <w:rPr>
          <w:sz w:val="20"/>
          <w:szCs w:val="20"/>
          <w:color w:val="auto"/>
        </w:rPr>
      </w:pPr>
      <w:r>
        <w:rPr>
          <w:rFonts w:ascii="Arial" w:cs="Arial" w:eastAsia="Arial" w:hAnsi="Arial"/>
          <w:sz w:val="18"/>
          <w:szCs w:val="18"/>
          <w:color w:val="auto"/>
        </w:rPr>
        <w:t>In April 2017, the Company acquired 97.72% of the issued and outstanding shares of Hoover Treated Wood Products, Inc., a Thomson, GA-based supplier of pressure impregnated kiln-dried lumber and plywood products for fire retardant and preservative applications for $206.8 million, net of cash acquired. The fair value of the redeemable noncontrolling interest in Hoover was $3.7 million at the acquisition date, determined using a market approach. The minority shareholders have an option to put some of their shares to the Company starting in 2019 and the remaining shares starting in 2021. The Company has an option to buy the shares of minority shareholders starting in 2027. This acquisition is consistent with the Company’s ongoing strategy of investing in companies with a history of profitability and strong management. Hoover is included in other businesses.</w:t>
      </w:r>
    </w:p>
    <w:p>
      <w:pPr>
        <w:spacing w:after="0" w:line="139" w:lineRule="exact"/>
        <w:rPr>
          <w:sz w:val="20"/>
          <w:szCs w:val="20"/>
          <w:color w:val="auto"/>
        </w:rPr>
      </w:pPr>
    </w:p>
    <w:p>
      <w:pPr>
        <w:ind w:right="240"/>
        <w:spacing w:after="0" w:line="229" w:lineRule="auto"/>
        <w:rPr>
          <w:sz w:val="20"/>
          <w:szCs w:val="20"/>
          <w:color w:val="auto"/>
        </w:rPr>
      </w:pPr>
      <w:r>
        <w:rPr>
          <w:rFonts w:ascii="Arial" w:cs="Arial" w:eastAsia="Arial" w:hAnsi="Arial"/>
          <w:sz w:val="18"/>
          <w:szCs w:val="18"/>
          <w:color w:val="auto"/>
        </w:rPr>
        <w:t>At the end of June 2017, Graham Healthcare Group (GHG) acquired a 100% interest in Hometown Home Health and Hospice, a Lapeer, MI-based healthcare services provider by purchasing all of its issued and outstanding shares. This acquisition expands GHG’s service area in Michigan. GHG is included in other businesses.</w:t>
      </w:r>
    </w:p>
    <w:p>
      <w:pPr>
        <w:spacing w:after="0" w:line="115" w:lineRule="exact"/>
        <w:rPr>
          <w:sz w:val="20"/>
          <w:szCs w:val="20"/>
          <w:color w:val="auto"/>
        </w:rPr>
      </w:pPr>
    </w:p>
    <w:p>
      <w:pPr>
        <w:ind w:right="80"/>
        <w:spacing w:after="0" w:line="230" w:lineRule="auto"/>
        <w:rPr>
          <w:sz w:val="20"/>
          <w:szCs w:val="20"/>
          <w:color w:val="auto"/>
        </w:rPr>
      </w:pPr>
      <w:r>
        <w:rPr>
          <w:rFonts w:ascii="Arial" w:cs="Arial" w:eastAsia="Arial" w:hAnsi="Arial"/>
          <w:sz w:val="18"/>
          <w:szCs w:val="18"/>
          <w:b w:val="1"/>
          <w:bCs w:val="1"/>
          <w:color w:val="auto"/>
        </w:rPr>
        <w:t xml:space="preserve">Kaplan University Transaction. </w:t>
      </w:r>
      <w:r>
        <w:rPr>
          <w:rFonts w:ascii="Arial" w:cs="Arial" w:eastAsia="Arial" w:hAnsi="Arial"/>
          <w:sz w:val="18"/>
          <w:szCs w:val="18"/>
          <w:color w:val="auto"/>
        </w:rPr>
        <w:t>On April 27, 2017, certain subsidiaries of Kaplan entered into a Contribution and Transfer Agreement to</w:t>
      </w:r>
      <w:r>
        <w:rPr>
          <w:rFonts w:ascii="Arial" w:cs="Arial" w:eastAsia="Arial" w:hAnsi="Arial"/>
          <w:sz w:val="18"/>
          <w:szCs w:val="18"/>
          <w:b w:val="1"/>
          <w:bCs w:val="1"/>
          <w:color w:val="auto"/>
        </w:rPr>
        <w:t xml:space="preserve"> </w:t>
      </w:r>
      <w:r>
        <w:rPr>
          <w:rFonts w:ascii="Arial" w:cs="Arial" w:eastAsia="Arial" w:hAnsi="Arial"/>
          <w:sz w:val="18"/>
          <w:szCs w:val="18"/>
          <w:color w:val="auto"/>
        </w:rPr>
        <w:t>contribute the institutional assets and operations of Kaplan University to an Indiana non-profit, public-benefit corporation that is a subsidiary affiliated with Purdue University. The closing of the transactions contemplated by the Transfer Agreement occurred on March 22, 2018. At the same time, the parties entered into a Transition and Operations Support Agreement (TOSA) pursuant to which Kaplan will provide key non-academic operations support to the new university.</w:t>
      </w:r>
    </w:p>
    <w:p>
      <w:pPr>
        <w:spacing w:after="0" w:line="138"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color w:val="auto"/>
        </w:rPr>
        <w:t>The new university will operate almost exclusively online as a new Indiana public university affiliated with Purdue under the name Purdue University Global. As part of the transfer to Purdue University Global, KU transferred students, academic personnel, faculty and operations, property leases for KU’s campuses and learning centers, Kaplan-owned academic curricula and content related to KU courses. The operations support activities that Kaplan will provide to Purdue University Global will include technology support, help-desk functions, human resources support for transferred faculty and employees, admissions support, financial aid administration, marketing and advertising, back-office business functions, certain test preparation and domestic and international student recruiting services.</w:t>
      </w:r>
    </w:p>
    <w:p>
      <w:pPr>
        <w:spacing w:after="0" w:line="137"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color w:val="auto"/>
        </w:rPr>
        <w:t>The transfer of KU does not include any of the assets of the KU School of Professional and Continuing Education, which provides professional training and exam preparation for professional certifications and licensures, nor does it include the transfer of other Kaplan businesses such as Kaplan Test Preparation and Kaplan International. Those entities, programs and business lines will remain part of Kaplan. Kaplan received nominal cash consideration upon transfer of the institutional assets.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697" w:right="239" w:bottom="1440" w:gutter="0" w:footer="0" w:header="0"/>
        </w:sectPr>
      </w:pPr>
    </w:p>
    <w:bookmarkStart w:id="36" w:name="page37"/>
    <w:bookmarkEnd w:id="36"/>
    <w:p>
      <w:pPr>
        <w:ind w:right="60"/>
        <w:spacing w:after="0" w:line="223" w:lineRule="auto"/>
        <w:rPr>
          <w:sz w:val="20"/>
          <w:szCs w:val="20"/>
          <w:color w:val="auto"/>
        </w:rPr>
      </w:pPr>
      <w:r>
        <w:rPr>
          <w:rFonts w:ascii="Arial" w:cs="Arial" w:eastAsia="Arial" w:hAnsi="Arial"/>
          <w:sz w:val="18"/>
          <w:szCs w:val="18"/>
          <w:color w:val="auto"/>
        </w:rPr>
        <w:t>Pursuant to the TOSA, Kaplan is not entitled to receive any reimbursement of costs incurred in providing support functions, or any fee, unless and until Purdue University Global has first covered all of its operating costs (subject to a cap). If Purdue University Global achieves cost efficiencies in its operations, then Purdue University Global may be entitled to an additional payment equal to 20 percent of such cost efficiencies (Purdue Efficiency Payment). In addition, during each of Purdue University Global’s first five years, prior to any payment to Kaplan, Purdue University Global is entitled to a priority payment of $10 million per year beyond costs. To the extent Purdue University Global’s revenue is insufficient to pay the $10 million per year priority payment, Kaplan is required to advance an amount to Purdue University Global to cover such insufficiency. At closing, Kaplan paid to Purdue University Global an advance in the amount of $20 million, representing, and in lieu of, priority payments for Purdue University Global’s fiscal years ending June 30, 2019 and June 30, 2020.</w:t>
      </w:r>
    </w:p>
    <w:p>
      <w:pPr>
        <w:spacing w:after="0" w:line="136" w:lineRule="exact"/>
        <w:rPr>
          <w:sz w:val="20"/>
          <w:szCs w:val="20"/>
          <w:color w:val="auto"/>
        </w:rPr>
      </w:pPr>
    </w:p>
    <w:p>
      <w:pPr>
        <w:ind w:right="60"/>
        <w:spacing w:after="0" w:line="223" w:lineRule="auto"/>
        <w:rPr>
          <w:sz w:val="20"/>
          <w:szCs w:val="20"/>
          <w:color w:val="auto"/>
        </w:rPr>
      </w:pPr>
      <w:r>
        <w:rPr>
          <w:rFonts w:ascii="Arial" w:cs="Arial" w:eastAsia="Arial" w:hAnsi="Arial"/>
          <w:sz w:val="18"/>
          <w:szCs w:val="18"/>
          <w:color w:val="auto"/>
        </w:rPr>
        <w:t>To the extent that there are sufficient revenues to pay the Purdue Efficiency Payment, Purdue University Global is reimbursed for its operating costs (subject to a cap) and the priority payment to Purdue University Global is paid. To the extent there is remaining revenue, Kaplan will then receive reimbursement for its operating costs (subject to a cap) of providing the support activities. If Kaplan achieves cost efficiencies in its operations, then Kaplan may be entitled to an additional payment equal to 20 percent of such cost efficiencies (Kaplan Efficiency Payment). If there are sufficient revenues, Kaplan may also receive a fee equal to 12.5 percent of Purdue University Global’s revenue. The fee will increase to 13 percent beginning with Purdue University Global’s fiscal year ending June 30, 2023 and continuing through Purdue University Global’s fiscal year ending June 30, 2027, and then the fee will return to 12.5 percent thereafter. Subject to certain limitations, a portion of the fee that is earned by Kaplan in one year may be carried over and instead paid to Kaplan in subsequent years.</w:t>
      </w:r>
    </w:p>
    <w:p>
      <w:pPr>
        <w:spacing w:after="0" w:line="136" w:lineRule="exact"/>
        <w:rPr>
          <w:sz w:val="20"/>
          <w:szCs w:val="20"/>
          <w:color w:val="auto"/>
        </w:rPr>
      </w:pPr>
    </w:p>
    <w:p>
      <w:pPr>
        <w:ind w:right="140"/>
        <w:spacing w:after="0" w:line="221" w:lineRule="auto"/>
        <w:rPr>
          <w:sz w:val="20"/>
          <w:szCs w:val="20"/>
          <w:color w:val="auto"/>
        </w:rPr>
      </w:pPr>
      <w:r>
        <w:rPr>
          <w:rFonts w:ascii="Arial" w:cs="Arial" w:eastAsia="Arial" w:hAnsi="Arial"/>
          <w:sz w:val="18"/>
          <w:szCs w:val="18"/>
          <w:color w:val="auto"/>
        </w:rPr>
        <w:t>After the first five years of the TOSA, Kaplan and Purdue University Global will be entitled to payments in a manner consistent with the structure described above, except that (i) Purdue University Global will no longer be entitled to a priority payment and (ii) to the extent that there are sufficient revenues after payment of the Kaplan Efficiency Payment (if any), Purdue University Global will be entitled to an annual payment equal to 10 percent of the remaining revenue after the Kaplan Efficiency Payment (if any) is paid and subject to certain other adjustments. The TOSA has a 30-year initial term, which will automatically renew for five-year periods unless terminated. After the sixth year, Purdue University Global has the right to terminate the agreement upon payment of a termination fee equal to 1.25 times Purdue University Global’s revenue for the preceding 12-month period, which payment would be made pursuant to a 10-year note, and at the election of Purdue University Global, it may receive for no additional consideration certain assets used by Kaplan to provide the support activities pursuant to the TOSA. At the end of the 30-year term, if Purdue University Global does not renew the TOSA, Purdue University Global will be obligated to make a final payment of 75% of its total revenue earned during the preceding 12-month period, which payment will be made pursuant to a 10-year note, and at the election of Purdue University Global, it may receive for no additional consideration certain assets used by Kaplan to provide the support activities pursuant to the TOSA.</w:t>
      </w:r>
    </w:p>
    <w:p>
      <w:pPr>
        <w:spacing w:after="0" w:line="144"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Either party may terminate the TOSA at any time if Purdue University Global generates (i) $25 million in cash operating losses for three consecutive years or (ii) aggregate cash operating losses greater than $75 million at any point during the initial term. Operating loss is defined as the amount of revenue Purdue University Global generates minus the sum of (1) Purdue University Global’s and Kaplan’s respective costs in performing academic and support functions and (2) the $10 million priority payment to Purdue University Global in each of the first five years. Upon termination for any reason, Purdue University Global will retain the assets that Kaplan contributed pursuant to the Transfer Agreement. Each party also has certain termination rights in connection with a material default or material breach of the TOSA by the other party.</w:t>
      </w:r>
    </w:p>
    <w:p>
      <w:pPr>
        <w:spacing w:after="0" w:line="137" w:lineRule="exact"/>
        <w:rPr>
          <w:sz w:val="20"/>
          <w:szCs w:val="20"/>
          <w:color w:val="auto"/>
        </w:rPr>
      </w:pPr>
    </w:p>
    <w:p>
      <w:pPr>
        <w:ind w:right="20"/>
        <w:spacing w:after="0" w:line="222" w:lineRule="auto"/>
        <w:rPr>
          <w:sz w:val="20"/>
          <w:szCs w:val="20"/>
          <w:color w:val="auto"/>
        </w:rPr>
      </w:pPr>
      <w:r>
        <w:rPr>
          <w:rFonts w:ascii="Arial" w:cs="Arial" w:eastAsia="Arial" w:hAnsi="Arial"/>
          <w:sz w:val="18"/>
          <w:szCs w:val="18"/>
          <w:color w:val="auto"/>
        </w:rPr>
        <w:t>Pursuant to the U.S. Department of Education (ED) requirements, Purdue assumes responsibility for any liability arising from the operation of the institution. This assumption will not limit Kaplan’s obligation to indemnify Purdue for pre-closing liabilities under the Transfer Agreement. As a result of the transfer of KU, Kaplan will no longer own or operate KU or any other institution participating in student financial aid programs that have been created under Title IV of the U.S. Federal Higher Education Act of 1965, as amended. Consequently, Kaplan is no longer responsible for operating KU. However, pursuant to the TOSA, Kaplan will be performing functions that fall within the ED's definition of a third-party servicer and will, therefore, assume certain regulatory responsibilities that require approval by the ED. The third-party servicer arrangement between Kaplan and Purdue University Global is also subject to information security requirements established by the Federal Trade Commission as well as all aspects of the Family Educational Rights and Privacy Act. As a third-party servicer, Kaplan may be required to undergo an annual compliance audit of its administration of the Title IV functions or services that it performs.</w:t>
      </w:r>
    </w:p>
    <w:p>
      <w:pPr>
        <w:spacing w:after="0" w:line="141" w:lineRule="exact"/>
        <w:rPr>
          <w:sz w:val="20"/>
          <w:szCs w:val="20"/>
          <w:color w:val="auto"/>
        </w:rPr>
      </w:pPr>
    </w:p>
    <w:p>
      <w:pPr>
        <w:ind w:right="100"/>
        <w:spacing w:after="0" w:line="227" w:lineRule="auto"/>
        <w:rPr>
          <w:sz w:val="20"/>
          <w:szCs w:val="20"/>
          <w:color w:val="auto"/>
        </w:rPr>
      </w:pPr>
      <w:r>
        <w:rPr>
          <w:rFonts w:ascii="Arial" w:cs="Arial" w:eastAsia="Arial" w:hAnsi="Arial"/>
          <w:sz w:val="18"/>
          <w:szCs w:val="18"/>
          <w:color w:val="auto"/>
        </w:rPr>
        <w:t>As a result of the KU Transaction, the Company recorded a pre-tax gain of $4.3 million in the first quarter of 2018. For financial reporting purposes, Kaplan may receive payment of additional consideration for the sale of the institutional assets as part of the fee to the extent there are sufficient revenues available after paying all amounts required by the TOSA. The Company did not recognize any contingent consideration as part of the initial disposition.</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719" w:right="239" w:bottom="1440" w:gutter="0" w:footer="0" w:header="0"/>
        </w:sectPr>
      </w:pPr>
    </w:p>
    <w:bookmarkStart w:id="37" w:name="page38"/>
    <w:bookmarkEnd w:id="37"/>
    <w:p>
      <w:pPr>
        <w:ind w:right="200"/>
        <w:spacing w:after="0" w:line="233" w:lineRule="auto"/>
        <w:rPr>
          <w:sz w:val="20"/>
          <w:szCs w:val="20"/>
          <w:color w:val="auto"/>
        </w:rPr>
      </w:pPr>
      <w:r>
        <w:rPr>
          <w:rFonts w:ascii="Arial" w:cs="Arial" w:eastAsia="Arial" w:hAnsi="Arial"/>
          <w:sz w:val="18"/>
          <w:szCs w:val="18"/>
          <w:b w:val="1"/>
          <w:bCs w:val="1"/>
          <w:color w:val="auto"/>
        </w:rPr>
        <w:t xml:space="preserve">Sale of Businesses. </w:t>
      </w:r>
      <w:r>
        <w:rPr>
          <w:rFonts w:ascii="Arial" w:cs="Arial" w:eastAsia="Arial" w:hAnsi="Arial"/>
          <w:sz w:val="18"/>
          <w:szCs w:val="18"/>
          <w:color w:val="auto"/>
        </w:rPr>
        <w:t>In February 2018, Kaplan completed the sale of a small business which was included in Test Preparation. In February</w:t>
      </w:r>
      <w:r>
        <w:rPr>
          <w:rFonts w:ascii="Arial" w:cs="Arial" w:eastAsia="Arial" w:hAnsi="Arial"/>
          <w:sz w:val="18"/>
          <w:szCs w:val="18"/>
          <w:b w:val="1"/>
          <w:bCs w:val="1"/>
          <w:color w:val="auto"/>
        </w:rPr>
        <w:t xml:space="preserve"> </w:t>
      </w:r>
      <w:r>
        <w:rPr>
          <w:rFonts w:ascii="Arial" w:cs="Arial" w:eastAsia="Arial" w:hAnsi="Arial"/>
          <w:sz w:val="18"/>
          <w:szCs w:val="18"/>
          <w:color w:val="auto"/>
        </w:rPr>
        <w:t>2017, GHG completed the sale of Celtic Healthcare of Maryland. In the fourth quarter of 2017, Kaplan Australia completed the sale of a small business, which was included in Kaplan International. As a result of these sales, the Company reported gains (losses) in other non-operating income.</w:t>
      </w:r>
    </w:p>
    <w:p>
      <w:pPr>
        <w:spacing w:after="0" w:line="115" w:lineRule="exact"/>
        <w:rPr>
          <w:sz w:val="20"/>
          <w:szCs w:val="20"/>
          <w:color w:val="auto"/>
        </w:rPr>
      </w:pPr>
    </w:p>
    <w:p>
      <w:pPr>
        <w:ind w:right="460"/>
        <w:spacing w:after="0" w:line="256" w:lineRule="auto"/>
        <w:rPr>
          <w:sz w:val="20"/>
          <w:szCs w:val="20"/>
          <w:color w:val="auto"/>
        </w:rPr>
      </w:pPr>
      <w:r>
        <w:rPr>
          <w:rFonts w:ascii="Arial" w:cs="Arial" w:eastAsia="Arial" w:hAnsi="Arial"/>
          <w:sz w:val="18"/>
          <w:szCs w:val="18"/>
          <w:b w:val="1"/>
          <w:bCs w:val="1"/>
          <w:color w:val="auto"/>
        </w:rPr>
        <w:t xml:space="preserve">Other Transactions. </w:t>
      </w:r>
      <w:r>
        <w:rPr>
          <w:rFonts w:ascii="Arial" w:cs="Arial" w:eastAsia="Arial" w:hAnsi="Arial"/>
          <w:sz w:val="18"/>
          <w:szCs w:val="18"/>
          <w:color w:val="auto"/>
        </w:rPr>
        <w:t>In the fourth quarter of 2017, Kaplan entered into an arrangement to acquire the College for Financial Planning. The</w:t>
      </w:r>
      <w:r>
        <w:rPr>
          <w:rFonts w:ascii="Arial" w:cs="Arial" w:eastAsia="Arial" w:hAnsi="Arial"/>
          <w:sz w:val="18"/>
          <w:szCs w:val="18"/>
          <w:b w:val="1"/>
          <w:bCs w:val="1"/>
          <w:color w:val="auto"/>
        </w:rPr>
        <w:t xml:space="preserve"> </w:t>
      </w:r>
      <w:r>
        <w:rPr>
          <w:rFonts w:ascii="Arial" w:cs="Arial" w:eastAsia="Arial" w:hAnsi="Arial"/>
          <w:sz w:val="18"/>
          <w:szCs w:val="18"/>
          <w:color w:val="auto"/>
        </w:rPr>
        <w:t>acquisition is subject to regulatory approval from the Higher Learning Commission (HLC), which is not expected before June 2018.</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166" w:lineRule="exact"/>
        <w:rPr>
          <w:sz w:val="20"/>
          <w:szCs w:val="20"/>
          <w:color w:val="auto"/>
        </w:rPr>
      </w:pPr>
    </w:p>
    <w:p>
      <w:pPr>
        <w:ind w:right="60"/>
        <w:spacing w:after="0" w:line="224" w:lineRule="auto"/>
        <w:rPr>
          <w:sz w:val="20"/>
          <w:szCs w:val="20"/>
          <w:color w:val="auto"/>
        </w:rPr>
      </w:pPr>
      <w:r>
        <w:rPr>
          <w:rFonts w:ascii="Arial" w:cs="Arial" w:eastAsia="Arial" w:hAnsi="Arial"/>
          <w:sz w:val="18"/>
          <w:szCs w:val="18"/>
          <w:color w:val="auto"/>
        </w:rPr>
        <w:t>During the first three months of 2018, the Company’s capital expenditures totaled $ 15.6 million. This amount includes assets acquired during the year, whereas the amounts reflected in the Company’s Condensed Statements of Cash Flows are based on cash payments made during the relevant periods. The Company estimates that its capital expenditures will be in the range of $110 million to $120 million in 2018. This includes amounts for constructing an academic and student residential facility in connection with Kaplan’s Pathways program in Liverpool, U.K. This also includes capital expenditures in connection with spectrum repacking at the Company’s television stations in Jacksonville, FL, and Roanoke, VA, as mandated by the FCC; these expenditures are expected to be largely reimbursed to the Company by the FCC.</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Company’s borrowings were $497.7 million and $493.3 million, at March 31, 2018 and December 31, 2017, respectively.</w:t>
      </w:r>
    </w:p>
    <w:p>
      <w:pPr>
        <w:spacing w:after="0" w:line="144" w:lineRule="exact"/>
        <w:rPr>
          <w:sz w:val="20"/>
          <w:szCs w:val="20"/>
          <w:color w:val="auto"/>
        </w:rPr>
      </w:pPr>
    </w:p>
    <w:p>
      <w:pPr>
        <w:ind w:right="380"/>
        <w:spacing w:after="0" w:line="225" w:lineRule="auto"/>
        <w:rPr>
          <w:sz w:val="20"/>
          <w:szCs w:val="20"/>
          <w:color w:val="auto"/>
        </w:rPr>
      </w:pPr>
      <w:r>
        <w:rPr>
          <w:rFonts w:ascii="Arial" w:cs="Arial" w:eastAsia="Arial" w:hAnsi="Arial"/>
          <w:sz w:val="18"/>
          <w:szCs w:val="18"/>
          <w:color w:val="auto"/>
        </w:rPr>
        <w:t>At March 31, 2018, the Company had cash and cash equivalents, restricted cash and investments in marketable securities and other investments totaling $ 819.6 million, compared with $964.7 million at December 31, 2017. The Company’s net cash provided by operating activities, as reported in the Company’s Condensed Consolidated Statements of Cash Flows, was $19.0 million for the first three months of 2018, compared to $ 91.9 million for the first three months of 2017. The decrease is due to a reduction in cash receipts from customers and increased payments to vendors.</w:t>
      </w:r>
    </w:p>
    <w:p>
      <w:pPr>
        <w:spacing w:after="0" w:line="137" w:lineRule="exact"/>
        <w:rPr>
          <w:sz w:val="20"/>
          <w:szCs w:val="20"/>
          <w:color w:val="auto"/>
        </w:rPr>
      </w:pPr>
    </w:p>
    <w:p>
      <w:pPr>
        <w:ind w:right="180"/>
        <w:spacing w:after="0" w:line="227" w:lineRule="auto"/>
        <w:rPr>
          <w:sz w:val="20"/>
          <w:szCs w:val="20"/>
          <w:color w:val="auto"/>
        </w:rPr>
      </w:pPr>
      <w:r>
        <w:rPr>
          <w:rFonts w:ascii="Arial" w:cs="Arial" w:eastAsia="Arial" w:hAnsi="Arial"/>
          <w:sz w:val="18"/>
          <w:szCs w:val="18"/>
          <w:color w:val="auto"/>
        </w:rPr>
        <w:t>On June 29, 2015, the Company entered into a credit agreement (the Credit Agreement) providing for a U.S. $ 200 million five-year revolving credit facility (the Facility). The Company may draw on the Facility for general corporate purposes. The Facility will expire on July 1, 2020, unless the Company and the banks agree to extend the term. The Credit Agreement contains terms and conditions, including remedies in the event of a default by the Company, typical of facilities of this type.</w:t>
      </w:r>
    </w:p>
    <w:p>
      <w:pPr>
        <w:spacing w:after="0" w:line="135"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In the first three months of 2018, the Company acquired an additional 131,580 shares of its Class B common stock at a cost of approximately $79.0 million.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On May 24, 2017, Moody’s affirmed the Company’s credit ratings, but revised the outlook from Stable to Negative.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Company’s current credit ratings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40" w:type="dxa"/>
            <w:vAlign w:val="bottom"/>
          </w:tcPr>
          <w:p>
            <w:pPr>
              <w:ind w:left="300"/>
              <w:spacing w:after="0"/>
              <w:rPr>
                <w:sz w:val="20"/>
                <w:szCs w:val="20"/>
                <w:color w:val="auto"/>
              </w:rPr>
            </w:pPr>
            <w:r>
              <w:rPr>
                <w:rFonts w:ascii="Arial" w:cs="Arial" w:eastAsia="Arial" w:hAnsi="Arial"/>
                <w:sz w:val="14"/>
                <w:szCs w:val="14"/>
                <w:b w:val="1"/>
                <w:bCs w:val="1"/>
                <w:color w:val="auto"/>
              </w:rPr>
              <w:t>Standard</w:t>
            </w:r>
          </w:p>
        </w:tc>
      </w:tr>
      <w:tr>
        <w:trPr>
          <w:trHeight w:val="196"/>
        </w:trPr>
        <w:tc>
          <w:tcPr>
            <w:tcW w:w="9440" w:type="dxa"/>
            <w:vAlign w:val="bottom"/>
            <w:tcBorders>
              <w:bottom w:val="single" w:sz="8" w:color="auto"/>
            </w:tcBorders>
          </w:tcPr>
          <w:p>
            <w:pPr>
              <w:ind w:left="8800"/>
              <w:spacing w:after="0"/>
              <w:rPr>
                <w:sz w:val="20"/>
                <w:szCs w:val="20"/>
                <w:color w:val="auto"/>
              </w:rPr>
            </w:pPr>
            <w:r>
              <w:rPr>
                <w:rFonts w:ascii="Arial" w:cs="Arial" w:eastAsia="Arial" w:hAnsi="Arial"/>
                <w:sz w:val="14"/>
                <w:szCs w:val="14"/>
                <w:b w:val="1"/>
                <w:bCs w:val="1"/>
                <w:color w:val="auto"/>
              </w:rPr>
              <w:t>Moody’s</w:t>
            </w:r>
          </w:p>
        </w:tc>
        <w:tc>
          <w:tcPr>
            <w:tcW w:w="6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&amp; Poor’s</w:t>
            </w:r>
          </w:p>
        </w:tc>
      </w:tr>
      <w:tr>
        <w:trPr>
          <w:trHeight w:val="250"/>
        </w:trPr>
        <w:tc>
          <w:tcPr>
            <w:tcW w:w="9440" w:type="dxa"/>
            <w:vAlign w:val="bottom"/>
          </w:tcPr>
          <w:p>
            <w:pPr>
              <w:ind w:left="40"/>
              <w:spacing w:after="0"/>
              <w:rPr>
                <w:sz w:val="20"/>
                <w:szCs w:val="20"/>
                <w:color w:val="auto"/>
              </w:rPr>
            </w:pPr>
            <w:r>
              <w:rPr>
                <w:rFonts w:ascii="Arial" w:cs="Arial" w:eastAsia="Arial" w:hAnsi="Arial"/>
                <w:sz w:val="16"/>
                <w:szCs w:val="16"/>
                <w:color w:val="auto"/>
              </w:rPr>
              <w:t>Long-term</w:t>
            </w:r>
          </w:p>
        </w:tc>
        <w:tc>
          <w:tcPr>
            <w:tcW w:w="640" w:type="dxa"/>
            <w:vAlign w:val="bottom"/>
          </w:tcPr>
          <w:p>
            <w:pPr>
              <w:ind w:left="80"/>
              <w:spacing w:after="0"/>
              <w:rPr>
                <w:sz w:val="20"/>
                <w:szCs w:val="20"/>
                <w:color w:val="auto"/>
              </w:rPr>
            </w:pPr>
            <w:r>
              <w:rPr>
                <w:rFonts w:ascii="Arial" w:cs="Arial" w:eastAsia="Arial" w:hAnsi="Arial"/>
                <w:sz w:val="16"/>
                <w:szCs w:val="16"/>
                <w:color w:val="auto"/>
              </w:rPr>
              <w:t>Ba1</w:t>
            </w:r>
          </w:p>
        </w:tc>
        <w:tc>
          <w:tcPr>
            <w:tcW w:w="1340" w:type="dxa"/>
            <w:vAlign w:val="bottom"/>
          </w:tcPr>
          <w:p>
            <w:pPr>
              <w:ind w:left="1000"/>
              <w:spacing w:after="0"/>
              <w:rPr>
                <w:sz w:val="20"/>
                <w:szCs w:val="20"/>
                <w:color w:val="auto"/>
              </w:rPr>
            </w:pPr>
            <w:r>
              <w:rPr>
                <w:rFonts w:ascii="Arial" w:cs="Arial" w:eastAsia="Arial" w:hAnsi="Arial"/>
                <w:sz w:val="16"/>
                <w:szCs w:val="16"/>
                <w:color w:val="auto"/>
              </w:rPr>
              <w:t>BB+</w:t>
            </w:r>
          </w:p>
        </w:tc>
      </w:tr>
    </w:tbl>
    <w:p>
      <w:pPr>
        <w:spacing w:after="0" w:line="167" w:lineRule="exact"/>
        <w:rPr>
          <w:sz w:val="20"/>
          <w:szCs w:val="20"/>
          <w:color w:val="auto"/>
        </w:rPr>
      </w:pPr>
    </w:p>
    <w:p>
      <w:pPr>
        <w:ind w:right="80"/>
        <w:spacing w:after="0" w:line="224" w:lineRule="auto"/>
        <w:rPr>
          <w:sz w:val="20"/>
          <w:szCs w:val="20"/>
          <w:color w:val="auto"/>
        </w:rPr>
      </w:pPr>
      <w:r>
        <w:rPr>
          <w:rFonts w:ascii="Arial" w:cs="Arial" w:eastAsia="Arial" w:hAnsi="Arial"/>
          <w:sz w:val="18"/>
          <w:szCs w:val="18"/>
          <w:color w:val="auto"/>
        </w:rPr>
        <w:t>At March 31, 2018 and December 31, 2017, the Company had working capital of $368.9 million and $857.2 million, respectively. The decrease is due to the current classification of the $400.0 million notes outstanding due February 1, 2019; the Company is evaluating its long-term financing needs and in 2018 may refinance all or part of these notes. The Company maintains working capital levels consistent with its underlying business requirements and consistently generates cash from operations in excess of required interest or principal payments. The Company expects to fund its estimated capital needs primarily through existing cash balances and internally generated funds. In management’s opinion, the Company will have sufficient liquidity to meet its various cash needs within the next 12 months.</w:t>
      </w:r>
    </w:p>
    <w:p>
      <w:pPr>
        <w:spacing w:after="0" w:line="137"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In July 2016, Kaplan International Holdings Limited (KIHL) entered into an agreement with University of York International Pathway College LLP (York International College) to loan the LLP approximately £25 million over the next eighteen months, to construct an academic building in the UK to be used by the College. York International College is a limited liability partnership joint venture between Kaplan York Limited (a subsidiary of Kaplan International Colleges UK Limited) and a subsidiary of the University of York, that operates a pathways college. The loan will be repayable over 25 years at an interest rate of 7% and the loan is guaranteed by the University of York. While there is no strict requirement to make annual principal and interest payments, interest will be rolled up and accrue interest at 7% if no such payments are made. The loan becomes due and payable if the partnership</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697"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agreement with Kaplan is terminated. As of December 31, 2017, KIHL advanced approximately £16.0 million to York International College.</w:t>
      </w:r>
    </w:p>
    <w:p>
      <w:pPr>
        <w:spacing w:after="0"/>
        <w:rPr>
          <w:sz w:val="20"/>
          <w:szCs w:val="20"/>
          <w:color w:val="auto"/>
        </w:rPr>
      </w:pPr>
      <w:r>
        <w:rPr>
          <w:rFonts w:ascii="Arial" w:cs="Arial" w:eastAsia="Arial" w:hAnsi="Arial"/>
          <w:sz w:val="18"/>
          <w:szCs w:val="18"/>
          <w:color w:val="auto"/>
        </w:rPr>
        <w:t>There was no additional funding advanced in the first three months of 2018.</w:t>
      </w:r>
    </w:p>
    <w:p>
      <w:pPr>
        <w:spacing w:after="0" w:line="144" w:lineRule="exact"/>
        <w:rPr>
          <w:sz w:val="20"/>
          <w:szCs w:val="20"/>
          <w:color w:val="auto"/>
        </w:rPr>
      </w:pPr>
    </w:p>
    <w:p>
      <w:pPr>
        <w:ind w:right="260"/>
        <w:spacing w:after="0" w:line="235" w:lineRule="auto"/>
        <w:rPr>
          <w:sz w:val="20"/>
          <w:szCs w:val="20"/>
          <w:color w:val="auto"/>
        </w:rPr>
      </w:pPr>
      <w:r>
        <w:rPr>
          <w:rFonts w:ascii="Arial" w:cs="Arial" w:eastAsia="Arial" w:hAnsi="Arial"/>
          <w:sz w:val="18"/>
          <w:szCs w:val="18"/>
          <w:color w:val="auto"/>
        </w:rPr>
        <w:t>There were no other significant changes to the Company’s contractual obligations or other commercial commitments from those disclosed in the Company’s Annual Report on Form 10-K for the year ended December 31, 2017.</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144" w:lineRule="exact"/>
        <w:rPr>
          <w:sz w:val="20"/>
          <w:szCs w:val="20"/>
          <w:color w:val="auto"/>
        </w:rPr>
      </w:pPr>
    </w:p>
    <w:p>
      <w:pPr>
        <w:ind w:right="120"/>
        <w:spacing w:after="0" w:line="228" w:lineRule="auto"/>
        <w:rPr>
          <w:sz w:val="20"/>
          <w:szCs w:val="20"/>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The determination of whether revenue should be reported on a gross or net basis is based on an assessment of</w:t>
      </w:r>
      <w:r>
        <w:rPr>
          <w:rFonts w:ascii="Arial" w:cs="Arial" w:eastAsia="Arial" w:hAnsi="Arial"/>
          <w:sz w:val="18"/>
          <w:szCs w:val="18"/>
          <w:b w:val="1"/>
          <w:bCs w:val="1"/>
          <w:color w:val="auto"/>
        </w:rPr>
        <w:t xml:space="preserve"> </w:t>
      </w:r>
      <w:r>
        <w:rPr>
          <w:rFonts w:ascii="Arial" w:cs="Arial" w:eastAsia="Arial" w:hAnsi="Arial"/>
          <w:sz w:val="18"/>
          <w:szCs w:val="18"/>
          <w:color w:val="auto"/>
        </w:rPr>
        <w:t>whether the Company acts as a principal or an agent in the transaction. In certain cases, the Company is considered the agent, and the Company records revenue equal to the net amount retained when the fee is earned. In these cases, costs incurred with third-party suppliers is excluded from the Company's revenue. The Company assesses whether it obtained control of the specified goods or services before they are transferred to the customer as part of this assessment. In addition, the Company considers other indicators such as the party primarily responsible for fulfillment, inventory risk and discretion in establishing price.</w:t>
      </w:r>
    </w:p>
    <w:p>
      <w:pPr>
        <w:spacing w:after="0" w:line="139"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Please refer to Note 1 - Organization, Basis of Presentation and Recent Accounting Pronouncements and Note 10 - Revenue From Contracts with Customers for further discussion of the new revenue recognition guidance.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66" w:lineRule="exact"/>
        <w:rPr>
          <w:sz w:val="20"/>
          <w:szCs w:val="20"/>
          <w:color w:val="auto"/>
        </w:rPr>
      </w:pPr>
    </w:p>
    <w:p>
      <w:pPr>
        <w:ind w:right="280"/>
        <w:spacing w:after="0" w:line="227" w:lineRule="auto"/>
        <w:rPr>
          <w:sz w:val="20"/>
          <w:szCs w:val="20"/>
          <w:color w:val="auto"/>
        </w:rPr>
      </w:pPr>
      <w:r>
        <w:rPr>
          <w:rFonts w:ascii="Arial" w:cs="Arial" w:eastAsia="Arial" w:hAnsi="Arial"/>
          <w:sz w:val="18"/>
          <w:szCs w:val="18"/>
          <w:color w:val="auto"/>
        </w:rPr>
        <w:t>This report contains certain forward-looking statements that are based largely on the Company’s current expectations. Forward-looking statements are subject to certain risks and uncertainties that could cause actual results and achievements to differ materially from those expressed in the forward-looking statements. For more information about these forward-looking statements and related risks, please refer to the section titled “Forward-Looking Statements” in Part I of the Company’s Annual Report on Form 10-K.</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66" w:lineRule="exact"/>
        <w:rPr>
          <w:sz w:val="20"/>
          <w:szCs w:val="20"/>
          <w:color w:val="auto"/>
        </w:rPr>
      </w:pPr>
    </w:p>
    <w:p>
      <w:pPr>
        <w:ind w:right="120"/>
        <w:spacing w:after="0" w:line="227" w:lineRule="auto"/>
        <w:rPr>
          <w:sz w:val="20"/>
          <w:szCs w:val="20"/>
          <w:color w:val="auto"/>
        </w:rPr>
      </w:pPr>
      <w:r>
        <w:rPr>
          <w:rFonts w:ascii="Arial" w:cs="Arial" w:eastAsia="Arial" w:hAnsi="Arial"/>
          <w:sz w:val="18"/>
          <w:szCs w:val="18"/>
          <w:color w:val="auto"/>
        </w:rPr>
        <w:t>The Company is exposed to market risk in the normal course of its business due primarily to its ownership of marketable equity securities, which are subject to equity price risk; to its borrowing and cash-management activities, which are subject to interest rate risk; and to its foreign business operations, which are subject to foreign exchange rate risk. The Company’s market risk disclosures set forth in its 2017 Annual Report filed on Form 10-K have not otherwise changed significantly.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Evaluation of Disclosure Controls and Procedures</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An evaluation was performed by the Company’s management, with the participation of the Company’s Chief Executive Officer (the Company’s principal executive officer) and the Company’s Chief Financial Officer (the Company’s principal financial officer), of the effectiveness of the Company’s disclosure controls and procedures (as defined in Exchange Act Rules 13a-15(e) and 15d-15(e)), as of March 31, 2018. Based on that evaluation, the Company’s Chief Executive Officer and Chief Financial Officer have concluded that due to the material weakness in internal control over financial reporting described in Item 9A of our 2017 Form 10-K related to the processing of refunds of student financial aid, the Company’s disclosure controls and procedures were not effective as of March 31, 2018.</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Changes in Internal Control Over Financial Reporting</w:t>
      </w:r>
    </w:p>
    <w:p>
      <w:pPr>
        <w:spacing w:after="0" w:line="19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There has been no change in the Company’s internal control over financial reporting during the quarter ended March 31, 2018 that has materially affected, or is reasonably likely to materially affect, the Company’s internal control over financial reporting.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Material Weakness Remediation Efforts</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previously described in Item 9A of our 2017 Form 10-K, the Company is implementing remediation measures to address the control deficiency that led to the material weakness surrounding the processing of refunds of student financial aid. The remediation includes strengthening the review and approval process for changes to financial aid refund policies and procedures, as well as enhancing monitoring and compensating controls. The material weakness will not be considered remediated until the controls have operated effectively for a sufficient period of time. The Company anticipates that the remediation will be completed during 2018.</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701" w:right="239" w:bottom="1440" w:gutter="0" w:footer="0" w:header="0"/>
        </w:sectPr>
      </w:pPr>
    </w:p>
    <w:bookmarkStart w:id="39" w:name="page40"/>
    <w:bookmarkEnd w:id="39"/>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66" w:lineRule="exact"/>
        <w:rPr>
          <w:sz w:val="20"/>
          <w:szCs w:val="20"/>
          <w:color w:val="auto"/>
        </w:rPr>
      </w:pPr>
    </w:p>
    <w:p>
      <w:pPr>
        <w:ind w:right="500"/>
        <w:spacing w:after="0" w:line="235" w:lineRule="auto"/>
        <w:rPr>
          <w:sz w:val="20"/>
          <w:szCs w:val="20"/>
          <w:color w:val="auto"/>
        </w:rPr>
      </w:pPr>
      <w:r>
        <w:rPr>
          <w:rFonts w:ascii="Arial" w:cs="Arial" w:eastAsia="Arial" w:hAnsi="Arial"/>
          <w:sz w:val="18"/>
          <w:szCs w:val="18"/>
          <w:color w:val="auto"/>
        </w:rPr>
        <w:t>The Company faces a number of significant risks and uncertainties in connection with its operations. If any of the events or developments described below occurs, it could have a material adverse effect on the Company’s business, financial condition or results of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Other than as subsequently discussed, there have been no material changes to the Risk Factors disclosed in our 2017 Form 10-K.</w:t>
      </w:r>
    </w:p>
    <w:p>
      <w:pPr>
        <w:spacing w:after="0" w:line="122" w:lineRule="exact"/>
        <w:rPr>
          <w:sz w:val="20"/>
          <w:szCs w:val="20"/>
          <w:color w:val="auto"/>
        </w:rPr>
      </w:pPr>
    </w:p>
    <w:p>
      <w:pPr>
        <w:ind w:left="260" w:hanging="252"/>
        <w:spacing w:after="0"/>
        <w:tabs>
          <w:tab w:leader="none" w:pos="2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Kaplan may fail to realize the anticipated benefits of the Purdue Transaction</w:t>
      </w:r>
    </w:p>
    <w:p>
      <w:pPr>
        <w:spacing w:after="0" w:line="99"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The closing of the Purdue Transaction occurred on March 22, 2018. Upon closing, Kaplan entered into a long-term services agreement to provide key non-academic operations support to Purdue University Global, including technology support, help-desk functions, human resources support for transferred faculty and employees, admissions support, financial aid administration, marketing and advertising, back-office business functions, certain test preparation and domestic and international student recruiting services. Kaplan’s ability to realize the anticipated benefits of the Purdue Transaction will depend in part on its ability to successfully and efficiently provide these services to Purdue University Global. Achieving the anticipated benefits is subject to a number of uncertainties, including whether the services can be provided in the manner and at the cost Kaplan intends and whether Purdue University Global is able to realize anticipated student enrollment levels. If Kaplan is unable to effectively execute its post-transaction strategy, it may take longer than anticipated to achieve the benefits of the transaction or it may not realize those benefits at all.</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Unregistered Sales of Equity Securities and Use of Proceeds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Purchases of Equity Securities by the Issuer and Affiliated Purchasers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During the quarter ended March 31, 2018, the Company purchased shares of its Class B Common Stock as set forth in the following table: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Total Number of Shares</w:t>
            </w:r>
          </w:p>
        </w:tc>
        <w:tc>
          <w:tcPr>
            <w:tcW w:w="2260" w:type="dxa"/>
            <w:vAlign w:val="bottom"/>
          </w:tcPr>
          <w:p>
            <w:pPr>
              <w:jc w:val="center"/>
              <w:ind w:left="364"/>
              <w:spacing w:after="0"/>
              <w:rPr>
                <w:sz w:val="20"/>
                <w:szCs w:val="20"/>
                <w:color w:val="auto"/>
              </w:rPr>
            </w:pPr>
            <w:r>
              <w:rPr>
                <w:rFonts w:ascii="Arial" w:cs="Arial" w:eastAsia="Arial" w:hAnsi="Arial"/>
                <w:sz w:val="14"/>
                <w:szCs w:val="14"/>
                <w:b w:val="1"/>
                <w:bCs w:val="1"/>
                <w:color w:val="auto"/>
              </w:rPr>
              <w:t>Maximum Number of</w:t>
            </w:r>
          </w:p>
        </w:tc>
      </w:tr>
      <w:tr>
        <w:trPr>
          <w:trHeight w:val="162"/>
        </w:trPr>
        <w:tc>
          <w:tcPr>
            <w:tcW w:w="48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Average Price</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Purchased as Part of</w:t>
            </w:r>
          </w:p>
        </w:tc>
        <w:tc>
          <w:tcPr>
            <w:tcW w:w="2260" w:type="dxa"/>
            <w:vAlign w:val="bottom"/>
          </w:tcPr>
          <w:p>
            <w:pPr>
              <w:jc w:val="right"/>
              <w:ind w:right="44"/>
              <w:spacing w:after="0"/>
              <w:rPr>
                <w:sz w:val="20"/>
                <w:szCs w:val="20"/>
                <w:color w:val="auto"/>
              </w:rPr>
            </w:pPr>
            <w:r>
              <w:rPr>
                <w:rFonts w:ascii="Arial" w:cs="Arial" w:eastAsia="Arial" w:hAnsi="Arial"/>
                <w:sz w:val="14"/>
                <w:szCs w:val="14"/>
                <w:b w:val="1"/>
                <w:bCs w:val="1"/>
                <w:color w:val="auto"/>
              </w:rPr>
              <w:t>Shares that May Yet Be</w:t>
            </w:r>
          </w:p>
        </w:tc>
      </w:tr>
      <w:tr>
        <w:trPr>
          <w:trHeight w:val="162"/>
        </w:trPr>
        <w:tc>
          <w:tcPr>
            <w:tcW w:w="4800" w:type="dxa"/>
            <w:vAlign w:val="bottom"/>
          </w:tcPr>
          <w:p>
            <w:pPr>
              <w:spacing w:after="0"/>
              <w:rPr>
                <w:sz w:val="14"/>
                <w:szCs w:val="14"/>
                <w:color w:val="auto"/>
              </w:rPr>
            </w:pPr>
          </w:p>
        </w:tc>
        <w:tc>
          <w:tcPr>
            <w:tcW w:w="1380" w:type="dxa"/>
            <w:vAlign w:val="bottom"/>
          </w:tcPr>
          <w:p>
            <w:pPr>
              <w:jc w:val="right"/>
              <w:ind w:right="62"/>
              <w:spacing w:after="0"/>
              <w:rPr>
                <w:sz w:val="20"/>
                <w:szCs w:val="20"/>
                <w:color w:val="auto"/>
              </w:rPr>
            </w:pPr>
            <w:r>
              <w:rPr>
                <w:rFonts w:ascii="Arial" w:cs="Arial" w:eastAsia="Arial" w:hAnsi="Arial"/>
                <w:sz w:val="14"/>
                <w:szCs w:val="14"/>
                <w:b w:val="1"/>
                <w:bCs w:val="1"/>
                <w:color w:val="auto"/>
              </w:rPr>
              <w:t>Total Number of</w:t>
            </w:r>
          </w:p>
        </w:tc>
        <w:tc>
          <w:tcPr>
            <w:tcW w:w="300" w:type="dxa"/>
            <w:vAlign w:val="bottom"/>
          </w:tcPr>
          <w:p>
            <w:pPr>
              <w:spacing w:after="0"/>
              <w:rPr>
                <w:sz w:val="14"/>
                <w:szCs w:val="14"/>
                <w:color w:val="auto"/>
              </w:rPr>
            </w:pPr>
          </w:p>
        </w:tc>
        <w:tc>
          <w:tcPr>
            <w:tcW w:w="960" w:type="dxa"/>
            <w:vAlign w:val="bottom"/>
          </w:tcPr>
          <w:p>
            <w:pPr>
              <w:jc w:val="right"/>
              <w:ind w:right="262"/>
              <w:spacing w:after="0"/>
              <w:rPr>
                <w:sz w:val="20"/>
                <w:szCs w:val="20"/>
                <w:color w:val="auto"/>
              </w:rPr>
            </w:pPr>
            <w:r>
              <w:rPr>
                <w:rFonts w:ascii="Arial" w:cs="Arial" w:eastAsia="Arial" w:hAnsi="Arial"/>
                <w:sz w:val="14"/>
                <w:szCs w:val="14"/>
                <w:b w:val="1"/>
                <w:bCs w:val="1"/>
                <w:color w:val="auto"/>
              </w:rPr>
              <w:t>Paid per</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Publicly Announced</w:t>
            </w:r>
          </w:p>
        </w:tc>
        <w:tc>
          <w:tcPr>
            <w:tcW w:w="2260" w:type="dxa"/>
            <w:vAlign w:val="bottom"/>
          </w:tcPr>
          <w:p>
            <w:pPr>
              <w:jc w:val="center"/>
              <w:ind w:left="364"/>
              <w:spacing w:after="0"/>
              <w:rPr>
                <w:sz w:val="20"/>
                <w:szCs w:val="20"/>
                <w:color w:val="auto"/>
              </w:rPr>
            </w:pPr>
            <w:r>
              <w:rPr>
                <w:rFonts w:ascii="Arial" w:cs="Arial" w:eastAsia="Arial" w:hAnsi="Arial"/>
                <w:sz w:val="14"/>
                <w:szCs w:val="14"/>
                <w:b w:val="1"/>
                <w:bCs w:val="1"/>
                <w:color w:val="auto"/>
              </w:rPr>
              <w:t>Purchased Under the</w:t>
            </w:r>
          </w:p>
        </w:tc>
      </w:tr>
      <w:tr>
        <w:trPr>
          <w:trHeight w:val="196"/>
        </w:trPr>
        <w:tc>
          <w:tcPr>
            <w:tcW w:w="48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Period</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Shares Purchased</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Share</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Plan*</w:t>
            </w:r>
          </w:p>
        </w:tc>
        <w:tc>
          <w:tcPr>
            <w:tcW w:w="2260" w:type="dxa"/>
            <w:vAlign w:val="bottom"/>
            <w:tcBorders>
              <w:bottom w:val="single" w:sz="8" w:color="auto"/>
            </w:tcBorders>
          </w:tcPr>
          <w:p>
            <w:pPr>
              <w:jc w:val="center"/>
              <w:ind w:left="344"/>
              <w:spacing w:after="0"/>
              <w:rPr>
                <w:sz w:val="20"/>
                <w:szCs w:val="20"/>
                <w:color w:val="auto"/>
              </w:rPr>
            </w:pPr>
            <w:r>
              <w:rPr>
                <w:rFonts w:ascii="Arial" w:cs="Arial" w:eastAsia="Arial" w:hAnsi="Arial"/>
                <w:sz w:val="14"/>
                <w:szCs w:val="14"/>
                <w:b w:val="1"/>
                <w:bCs w:val="1"/>
                <w:color w:val="auto"/>
              </w:rPr>
              <w:t>Plan*</w:t>
            </w:r>
          </w:p>
        </w:tc>
      </w:tr>
      <w:tr>
        <w:trPr>
          <w:trHeight w:val="250"/>
        </w:trPr>
        <w:tc>
          <w:tcPr>
            <w:tcW w:w="4800" w:type="dxa"/>
            <w:vAlign w:val="bottom"/>
          </w:tcPr>
          <w:p>
            <w:pPr>
              <w:ind w:left="40"/>
              <w:spacing w:after="0"/>
              <w:rPr>
                <w:sz w:val="20"/>
                <w:szCs w:val="20"/>
                <w:color w:val="auto"/>
              </w:rPr>
            </w:pPr>
            <w:r>
              <w:rPr>
                <w:rFonts w:ascii="Arial" w:cs="Arial" w:eastAsia="Arial" w:hAnsi="Arial"/>
                <w:sz w:val="16"/>
                <w:szCs w:val="16"/>
                <w:color w:val="auto"/>
              </w:rPr>
              <w:t>January</w:t>
            </w:r>
          </w:p>
        </w:tc>
        <w:tc>
          <w:tcPr>
            <w:tcW w:w="1380" w:type="dxa"/>
            <w:vAlign w:val="bottom"/>
          </w:tcPr>
          <w:p>
            <w:pPr>
              <w:jc w:val="right"/>
              <w:ind w:right="42"/>
              <w:spacing w:after="0"/>
              <w:rPr>
                <w:sz w:val="20"/>
                <w:szCs w:val="20"/>
                <w:color w:val="auto"/>
              </w:rPr>
            </w:pPr>
            <w:r>
              <w:rPr>
                <w:rFonts w:ascii="Arial" w:cs="Arial" w:eastAsia="Arial" w:hAnsi="Arial"/>
                <w:sz w:val="16"/>
                <w:szCs w:val="16"/>
                <w:color w:val="auto"/>
              </w:rPr>
              <w:t>2,102</w:t>
            </w:r>
          </w:p>
        </w:tc>
        <w:tc>
          <w:tcPr>
            <w:tcW w:w="300" w:type="dxa"/>
            <w:vAlign w:val="bottom"/>
          </w:tcPr>
          <w:p>
            <w:pPr>
              <w:ind w:left="14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42"/>
              <w:spacing w:after="0"/>
              <w:rPr>
                <w:sz w:val="20"/>
                <w:szCs w:val="20"/>
                <w:color w:val="auto"/>
              </w:rPr>
            </w:pPr>
            <w:r>
              <w:rPr>
                <w:rFonts w:ascii="Arial" w:cs="Arial" w:eastAsia="Arial" w:hAnsi="Arial"/>
                <w:sz w:val="16"/>
                <w:szCs w:val="16"/>
                <w:color w:val="auto"/>
              </w:rPr>
              <w:t>564.03</w:t>
            </w:r>
          </w:p>
        </w:tc>
        <w:tc>
          <w:tcPr>
            <w:tcW w:w="1700" w:type="dxa"/>
            <w:vAlign w:val="bottom"/>
          </w:tcPr>
          <w:p>
            <w:pPr>
              <w:jc w:val="right"/>
              <w:ind w:right="43"/>
              <w:spacing w:after="0"/>
              <w:rPr>
                <w:sz w:val="20"/>
                <w:szCs w:val="20"/>
                <w:color w:val="auto"/>
              </w:rPr>
            </w:pPr>
            <w:r>
              <w:rPr>
                <w:rFonts w:ascii="Arial" w:cs="Arial" w:eastAsia="Arial" w:hAnsi="Arial"/>
                <w:sz w:val="16"/>
                <w:szCs w:val="16"/>
                <w:color w:val="auto"/>
              </w:rPr>
              <w:t>2,102</w:t>
            </w:r>
          </w:p>
        </w:tc>
        <w:tc>
          <w:tcPr>
            <w:tcW w:w="2260" w:type="dxa"/>
            <w:vAlign w:val="bottom"/>
          </w:tcPr>
          <w:p>
            <w:pPr>
              <w:jc w:val="right"/>
              <w:ind w:right="44"/>
              <w:spacing w:after="0"/>
              <w:rPr>
                <w:sz w:val="20"/>
                <w:szCs w:val="20"/>
                <w:color w:val="auto"/>
              </w:rPr>
            </w:pPr>
            <w:r>
              <w:rPr>
                <w:rFonts w:ascii="Arial" w:cs="Arial" w:eastAsia="Arial" w:hAnsi="Arial"/>
                <w:sz w:val="16"/>
                <w:szCs w:val="16"/>
                <w:color w:val="auto"/>
              </w:rPr>
              <w:t>470,576</w:t>
            </w:r>
          </w:p>
        </w:tc>
      </w:tr>
      <w:tr>
        <w:trPr>
          <w:trHeight w:val="270"/>
        </w:trPr>
        <w:tc>
          <w:tcPr>
            <w:tcW w:w="4800" w:type="dxa"/>
            <w:vAlign w:val="bottom"/>
          </w:tcPr>
          <w:p>
            <w:pPr>
              <w:ind w:left="40"/>
              <w:spacing w:after="0"/>
              <w:rPr>
                <w:sz w:val="20"/>
                <w:szCs w:val="20"/>
                <w:color w:val="auto"/>
              </w:rPr>
            </w:pPr>
            <w:r>
              <w:rPr>
                <w:rFonts w:ascii="Arial" w:cs="Arial" w:eastAsia="Arial" w:hAnsi="Arial"/>
                <w:sz w:val="16"/>
                <w:szCs w:val="16"/>
                <w:color w:val="auto"/>
              </w:rPr>
              <w:t>February</w:t>
            </w:r>
          </w:p>
        </w:tc>
        <w:tc>
          <w:tcPr>
            <w:tcW w:w="13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960" w:type="dxa"/>
            <w:vAlign w:val="bottom"/>
          </w:tcPr>
          <w:p>
            <w:pPr>
              <w:jc w:val="right"/>
              <w:ind w:right="142"/>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2260" w:type="dxa"/>
            <w:vAlign w:val="bottom"/>
          </w:tcPr>
          <w:p>
            <w:pPr>
              <w:jc w:val="right"/>
              <w:ind w:right="44"/>
              <w:spacing w:after="0"/>
              <w:rPr>
                <w:sz w:val="20"/>
                <w:szCs w:val="20"/>
                <w:color w:val="auto"/>
              </w:rPr>
            </w:pPr>
            <w:r>
              <w:rPr>
                <w:rFonts w:ascii="Arial" w:cs="Arial" w:eastAsia="Arial" w:hAnsi="Arial"/>
                <w:sz w:val="16"/>
                <w:szCs w:val="16"/>
                <w:color w:val="auto"/>
              </w:rPr>
              <w:t>470,576</w:t>
            </w:r>
          </w:p>
        </w:tc>
      </w:tr>
      <w:tr>
        <w:trPr>
          <w:trHeight w:val="283"/>
        </w:trPr>
        <w:tc>
          <w:tcPr>
            <w:tcW w:w="4800" w:type="dxa"/>
            <w:vAlign w:val="bottom"/>
          </w:tcPr>
          <w:p>
            <w:pPr>
              <w:ind w:left="40"/>
              <w:spacing w:after="0"/>
              <w:rPr>
                <w:sz w:val="20"/>
                <w:szCs w:val="20"/>
                <w:color w:val="auto"/>
              </w:rPr>
            </w:pPr>
            <w:r>
              <w:rPr>
                <w:rFonts w:ascii="Arial" w:cs="Arial" w:eastAsia="Arial" w:hAnsi="Arial"/>
                <w:sz w:val="16"/>
                <w:szCs w:val="16"/>
                <w:color w:val="auto"/>
              </w:rPr>
              <w:t>March</w:t>
            </w:r>
          </w:p>
        </w:tc>
        <w:tc>
          <w:tcPr>
            <w:tcW w:w="13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129,478</w:t>
            </w:r>
          </w:p>
        </w:tc>
        <w:tc>
          <w:tcPr>
            <w:tcW w:w="300" w:type="dxa"/>
            <w:vAlign w:val="bottom"/>
          </w:tcPr>
          <w:p>
            <w:pPr>
              <w:spacing w:after="0"/>
              <w:rPr>
                <w:sz w:val="24"/>
                <w:szCs w:val="24"/>
                <w:color w:val="auto"/>
              </w:rPr>
            </w:pPr>
          </w:p>
        </w:tc>
        <w:tc>
          <w:tcPr>
            <w:tcW w:w="960" w:type="dxa"/>
            <w:vAlign w:val="bottom"/>
          </w:tcPr>
          <w:p>
            <w:pPr>
              <w:jc w:val="right"/>
              <w:ind w:right="142"/>
              <w:spacing w:after="0"/>
              <w:rPr>
                <w:sz w:val="20"/>
                <w:szCs w:val="20"/>
                <w:color w:val="auto"/>
              </w:rPr>
            </w:pPr>
            <w:r>
              <w:rPr>
                <w:rFonts w:ascii="Arial" w:cs="Arial" w:eastAsia="Arial" w:hAnsi="Arial"/>
                <w:sz w:val="16"/>
                <w:szCs w:val="16"/>
                <w:color w:val="auto"/>
              </w:rPr>
              <w:t>600.99</w:t>
            </w:r>
          </w:p>
        </w:tc>
        <w:tc>
          <w:tcPr>
            <w:tcW w:w="17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129,478</w:t>
            </w:r>
          </w:p>
        </w:tc>
        <w:tc>
          <w:tcPr>
            <w:tcW w:w="2260" w:type="dxa"/>
            <w:vAlign w:val="bottom"/>
          </w:tcPr>
          <w:p>
            <w:pPr>
              <w:jc w:val="right"/>
              <w:ind w:right="44"/>
              <w:spacing w:after="0"/>
              <w:rPr>
                <w:sz w:val="20"/>
                <w:szCs w:val="20"/>
                <w:color w:val="auto"/>
              </w:rPr>
            </w:pPr>
            <w:r>
              <w:rPr>
                <w:rFonts w:ascii="Arial" w:cs="Arial" w:eastAsia="Arial" w:hAnsi="Arial"/>
                <w:sz w:val="16"/>
                <w:szCs w:val="16"/>
                <w:color w:val="auto"/>
              </w:rPr>
              <w:t>341,098</w:t>
            </w:r>
          </w:p>
        </w:tc>
      </w:tr>
      <w:tr>
        <w:trPr>
          <w:trHeight w:val="237"/>
        </w:trPr>
        <w:tc>
          <w:tcPr>
            <w:tcW w:w="4800" w:type="dxa"/>
            <w:vAlign w:val="bottom"/>
          </w:tcPr>
          <w:p>
            <w:pPr>
              <w:spacing w:after="0"/>
              <w:rPr>
                <w:sz w:val="20"/>
                <w:szCs w:val="20"/>
                <w:color w:val="auto"/>
              </w:rPr>
            </w:pPr>
          </w:p>
        </w:tc>
        <w:tc>
          <w:tcPr>
            <w:tcW w:w="1380" w:type="dxa"/>
            <w:vAlign w:val="bottom"/>
          </w:tcPr>
          <w:p>
            <w:pPr>
              <w:jc w:val="right"/>
              <w:ind w:right="42"/>
              <w:spacing w:after="0"/>
              <w:rPr>
                <w:sz w:val="20"/>
                <w:szCs w:val="20"/>
                <w:color w:val="auto"/>
              </w:rPr>
            </w:pPr>
            <w:r>
              <w:rPr>
                <w:rFonts w:ascii="Arial" w:cs="Arial" w:eastAsia="Arial" w:hAnsi="Arial"/>
                <w:sz w:val="16"/>
                <w:szCs w:val="16"/>
                <w:color w:val="auto"/>
              </w:rPr>
              <w:t>131,580</w:t>
            </w:r>
          </w:p>
        </w:tc>
        <w:tc>
          <w:tcPr>
            <w:tcW w:w="300" w:type="dxa"/>
            <w:vAlign w:val="bottom"/>
          </w:tcPr>
          <w:p>
            <w:pPr>
              <w:ind w:left="14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42"/>
              <w:spacing w:after="0"/>
              <w:rPr>
                <w:sz w:val="20"/>
                <w:szCs w:val="20"/>
                <w:color w:val="auto"/>
              </w:rPr>
            </w:pPr>
            <w:r>
              <w:rPr>
                <w:rFonts w:ascii="Arial" w:cs="Arial" w:eastAsia="Arial" w:hAnsi="Arial"/>
                <w:sz w:val="16"/>
                <w:szCs w:val="16"/>
                <w:color w:val="auto"/>
              </w:rPr>
              <w:t>600.40</w:t>
            </w:r>
          </w:p>
        </w:tc>
        <w:tc>
          <w:tcPr>
            <w:tcW w:w="1700" w:type="dxa"/>
            <w:vAlign w:val="bottom"/>
          </w:tcPr>
          <w:p>
            <w:pPr>
              <w:jc w:val="right"/>
              <w:ind w:right="43"/>
              <w:spacing w:after="0"/>
              <w:rPr>
                <w:sz w:val="20"/>
                <w:szCs w:val="20"/>
                <w:color w:val="auto"/>
              </w:rPr>
            </w:pPr>
            <w:r>
              <w:rPr>
                <w:rFonts w:ascii="Arial" w:cs="Arial" w:eastAsia="Arial" w:hAnsi="Arial"/>
                <w:sz w:val="16"/>
                <w:szCs w:val="16"/>
                <w:color w:val="auto"/>
              </w:rPr>
              <w:t>131,580</w:t>
            </w:r>
          </w:p>
        </w:tc>
        <w:tc>
          <w:tcPr>
            <w:tcW w:w="2260" w:type="dxa"/>
            <w:vAlign w:val="bottom"/>
          </w:tcPr>
          <w:p>
            <w:pPr>
              <w:spacing w:after="0"/>
              <w:rPr>
                <w:sz w:val="20"/>
                <w:szCs w:val="20"/>
                <w:color w:val="auto"/>
              </w:rPr>
            </w:pPr>
          </w:p>
        </w:tc>
      </w:tr>
    </w:tbl>
    <w:p>
      <w:pPr>
        <w:spacing w:after="0" w:line="170" w:lineRule="exact"/>
        <w:rPr>
          <w:sz w:val="20"/>
          <w:szCs w:val="20"/>
          <w:color w:val="auto"/>
        </w:rPr>
      </w:pPr>
    </w:p>
    <w:p>
      <w:pPr>
        <w:jc w:val="both"/>
        <w:ind w:right="160"/>
        <w:spacing w:after="0" w:line="237" w:lineRule="auto"/>
        <w:rPr>
          <w:sz w:val="20"/>
          <w:szCs w:val="20"/>
          <w:color w:val="auto"/>
        </w:rPr>
      </w:pPr>
      <w:r>
        <w:rPr>
          <w:rFonts w:ascii="Arial" w:cs="Arial" w:eastAsia="Arial" w:hAnsi="Arial"/>
          <w:sz w:val="16"/>
          <w:szCs w:val="16"/>
          <w:color w:val="auto"/>
        </w:rPr>
        <w:t>*On November 9, 2017 the Company’s Board of Directors authorized the Company to purchase, on the open market or otherwise, up to 500,000 shares of its Class B Common Stock. There is no expiration date for that authorization. 107,575 shares acquired during the quarter ended March 31, 2018 were not open market transactions. The remaining purchases made during the quarter ended March 31, 2018 were open market transactions.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697"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Item 6. Exhibits</w:t>
      </w:r>
      <w:r>
        <w:rPr>
          <w:rFonts w:ascii="Arial" w:cs="Arial" w:eastAsia="Arial" w:hAnsi="Arial"/>
          <w:sz w:val="16"/>
          <w:szCs w:val="16"/>
          <w:b w:val="1"/>
          <w:bCs w:val="1"/>
          <w:color w:val="auto"/>
        </w:rPr>
        <w: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80" w:type="dxa"/>
            <w:vAlign w:val="bottom"/>
          </w:tcPr>
          <w:p>
            <w:pPr>
              <w:ind w:left="280"/>
              <w:spacing w:after="0"/>
              <w:rPr>
                <w:sz w:val="20"/>
                <w:szCs w:val="20"/>
                <w:color w:val="auto"/>
              </w:rPr>
            </w:pPr>
            <w:r>
              <w:rPr>
                <w:rFonts w:ascii="Arial" w:cs="Arial" w:eastAsia="Arial" w:hAnsi="Arial"/>
                <w:sz w:val="14"/>
                <w:szCs w:val="14"/>
                <w:b w:val="1"/>
                <w:bCs w:val="1"/>
                <w:color w:val="auto"/>
              </w:rPr>
              <w:t>Exhibit</w:t>
            </w:r>
          </w:p>
        </w:tc>
        <w:tc>
          <w:tcPr>
            <w:tcW w:w="2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300" w:type="dxa"/>
            <w:vAlign w:val="bottom"/>
            <w:gridSpan w:val="16"/>
            <w:vMerge w:val="restart"/>
          </w:tcPr>
          <w:p>
            <w:pPr>
              <w:ind w:left="64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196"/>
        </w:trPr>
        <w:tc>
          <w:tcPr>
            <w:tcW w:w="10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Number</w:t>
            </w:r>
          </w:p>
        </w:tc>
        <w:tc>
          <w:tcPr>
            <w:tcW w:w="25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6300" w:type="dxa"/>
            <w:vAlign w:val="bottom"/>
            <w:tcBorders>
              <w:bottom w:val="single" w:sz="8" w:color="auto"/>
            </w:tcBorders>
            <w:gridSpan w:val="16"/>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72"/>
        </w:trPr>
        <w:tc>
          <w:tcPr>
            <w:tcW w:w="1080" w:type="dxa"/>
            <w:vAlign w:val="bottom"/>
          </w:tcPr>
          <w:p>
            <w:pPr>
              <w:ind w:left="180"/>
              <w:spacing w:after="0"/>
              <w:rPr>
                <w:sz w:val="20"/>
                <w:szCs w:val="20"/>
                <w:color w:val="auto"/>
              </w:rPr>
            </w:pPr>
            <w:r>
              <w:rPr>
                <w:rFonts w:ascii="Arial" w:cs="Arial" w:eastAsia="Arial" w:hAnsi="Arial"/>
                <w:sz w:val="16"/>
                <w:szCs w:val="16"/>
                <w:color w:val="auto"/>
              </w:rPr>
              <w:t>2.1</w:t>
            </w:r>
          </w:p>
        </w:tc>
        <w:tc>
          <w:tcPr>
            <w:tcW w:w="9840" w:type="dxa"/>
            <w:vAlign w:val="bottom"/>
            <w:tcBorders>
              <w:bottom w:val="single" w:sz="8" w:color="0000FF"/>
            </w:tcBorders>
            <w:gridSpan w:val="9"/>
          </w:tcPr>
          <w:p>
            <w:pPr>
              <w:spacing w:after="0"/>
              <w:rPr>
                <w:rFonts w:ascii="Arial" w:cs="Arial" w:eastAsia="Arial" w:hAnsi="Arial"/>
                <w:sz w:val="16"/>
                <w:szCs w:val="16"/>
                <w:color w:val="0000FF"/>
              </w:rPr>
            </w:pPr>
            <w:hyperlink r:id="rId34">
              <w:r>
                <w:rPr>
                  <w:rFonts w:ascii="Arial" w:cs="Arial" w:eastAsia="Arial" w:hAnsi="Arial"/>
                  <w:sz w:val="16"/>
                  <w:szCs w:val="16"/>
                  <w:color w:val="0000FF"/>
                </w:rPr>
                <w:t>Contribution and Transfer Agreement, dated April 27, 2017, by and among Kaplan Higher Education, LLC, Iowa College Acquisition, LLC,</w:t>
              </w:r>
            </w:hyperlink>
          </w:p>
        </w:tc>
        <w:tc>
          <w:tcPr>
            <w:tcW w:w="50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0340" w:type="dxa"/>
            <w:vAlign w:val="bottom"/>
            <w:gridSpan w:val="19"/>
          </w:tcPr>
          <w:p>
            <w:pPr>
              <w:spacing w:after="0" w:line="169" w:lineRule="exact"/>
              <w:rPr>
                <w:rFonts w:ascii="Arial" w:cs="Arial" w:eastAsia="Arial" w:hAnsi="Arial"/>
                <w:sz w:val="16"/>
                <w:szCs w:val="16"/>
                <w:color w:val="0000FF"/>
              </w:rPr>
            </w:pPr>
            <w:hyperlink r:id="rId34">
              <w:r>
                <w:rPr>
                  <w:rFonts w:ascii="Arial" w:cs="Arial" w:eastAsia="Arial" w:hAnsi="Arial"/>
                  <w:sz w:val="16"/>
                  <w:szCs w:val="16"/>
                  <w:color w:val="0000FF"/>
                </w:rPr>
                <w:t xml:space="preserve">Purdue University, and Purdue New U, Inc. (incorporated by reference to the Company’s Current Report on Form 8-K filed April 27, 2017). </w:t>
              </w:r>
            </w:hyperlink>
            <w:r>
              <w:rPr>
                <w:rFonts w:ascii="Arial" w:cs="Arial" w:eastAsia="Arial" w:hAnsi="Arial"/>
                <w:sz w:val="16"/>
                <w:szCs w:val="16"/>
                <w:color w:val="000000"/>
              </w:rPr>
              <w:t>*</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5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48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1080" w:type="dxa"/>
            <w:vAlign w:val="bottom"/>
          </w:tcPr>
          <w:p>
            <w:pPr>
              <w:ind w:left="180"/>
              <w:spacing w:after="0"/>
              <w:rPr>
                <w:sz w:val="20"/>
                <w:szCs w:val="20"/>
                <w:color w:val="auto"/>
              </w:rPr>
            </w:pPr>
            <w:r>
              <w:rPr>
                <w:rFonts w:ascii="Arial" w:cs="Arial" w:eastAsia="Arial" w:hAnsi="Arial"/>
                <w:sz w:val="16"/>
                <w:szCs w:val="16"/>
                <w:color w:val="auto"/>
              </w:rPr>
              <w:t>3.1</w:t>
            </w:r>
          </w:p>
        </w:tc>
        <w:tc>
          <w:tcPr>
            <w:tcW w:w="10340" w:type="dxa"/>
            <w:vAlign w:val="bottom"/>
            <w:gridSpan w:val="19"/>
          </w:tcPr>
          <w:p>
            <w:pPr>
              <w:spacing w:after="0"/>
              <w:rPr>
                <w:rFonts w:ascii="Arial" w:cs="Arial" w:eastAsia="Arial" w:hAnsi="Arial"/>
                <w:sz w:val="16"/>
                <w:szCs w:val="16"/>
                <w:color w:val="0000FF"/>
              </w:rPr>
            </w:pPr>
            <w:hyperlink r:id="rId35">
              <w:r>
                <w:rPr>
                  <w:rFonts w:ascii="Arial" w:cs="Arial" w:eastAsia="Arial" w:hAnsi="Arial"/>
                  <w:sz w:val="16"/>
                  <w:szCs w:val="16"/>
                  <w:color w:val="0000FF"/>
                </w:rPr>
                <w:t>Restated Certificate of Incorporation of the Company dated November 13, 2003 (incorporated by reference to Exhibit 3.1 to the Company’s</w:t>
              </w:r>
            </w:hyperlink>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9920" w:type="dxa"/>
            <w:vAlign w:val="bottom"/>
            <w:tcBorders>
              <w:top w:val="single" w:sz="8" w:color="0000FF"/>
            </w:tcBorders>
            <w:gridSpan w:val="11"/>
          </w:tcPr>
          <w:p>
            <w:pPr>
              <w:spacing w:after="0" w:line="169" w:lineRule="exact"/>
              <w:rPr>
                <w:rFonts w:ascii="Arial" w:cs="Arial" w:eastAsia="Arial" w:hAnsi="Arial"/>
                <w:sz w:val="16"/>
                <w:szCs w:val="16"/>
                <w:color w:val="0000FF"/>
              </w:rPr>
            </w:pPr>
            <w:hyperlink r:id="rId35">
              <w:r>
                <w:rPr>
                  <w:rFonts w:ascii="Arial" w:cs="Arial" w:eastAsia="Arial" w:hAnsi="Arial"/>
                  <w:sz w:val="16"/>
                  <w:szCs w:val="16"/>
                  <w:color w:val="0000FF"/>
                </w:rPr>
                <w:t>Annual Report on Form 10-K for the fiscal year ended December 28, 2003).</w:t>
              </w:r>
            </w:hyperlink>
          </w:p>
        </w:tc>
        <w:tc>
          <w:tcPr>
            <w:tcW w:w="420" w:type="dxa"/>
            <w:vAlign w:val="bottom"/>
            <w:gridSpan w:val="8"/>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5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80" w:type="dxa"/>
            <w:vAlign w:val="bottom"/>
          </w:tcPr>
          <w:p>
            <w:pPr>
              <w:ind w:left="180"/>
              <w:spacing w:after="0"/>
              <w:rPr>
                <w:sz w:val="20"/>
                <w:szCs w:val="20"/>
                <w:color w:val="auto"/>
              </w:rPr>
            </w:pPr>
            <w:r>
              <w:rPr>
                <w:rFonts w:ascii="Arial" w:cs="Arial" w:eastAsia="Arial" w:hAnsi="Arial"/>
                <w:sz w:val="16"/>
                <w:szCs w:val="16"/>
                <w:color w:val="auto"/>
              </w:rPr>
              <w:t>3.2</w:t>
            </w:r>
          </w:p>
        </w:tc>
        <w:tc>
          <w:tcPr>
            <w:tcW w:w="10260" w:type="dxa"/>
            <w:vAlign w:val="bottom"/>
            <w:tcBorders>
              <w:bottom w:val="single" w:sz="8" w:color="0000FF"/>
            </w:tcBorders>
            <w:gridSpan w:val="18"/>
          </w:tcPr>
          <w:p>
            <w:pPr>
              <w:spacing w:after="0"/>
              <w:rPr>
                <w:rFonts w:ascii="Arial" w:cs="Arial" w:eastAsia="Arial" w:hAnsi="Arial"/>
                <w:sz w:val="16"/>
                <w:szCs w:val="16"/>
                <w:color w:val="0000FF"/>
              </w:rPr>
            </w:pPr>
            <w:hyperlink r:id="rId36">
              <w:r>
                <w:rPr>
                  <w:rFonts w:ascii="Arial" w:cs="Arial" w:eastAsia="Arial" w:hAnsi="Arial"/>
                  <w:sz w:val="16"/>
                  <w:szCs w:val="16"/>
                  <w:color w:val="0000FF"/>
                </w:rPr>
                <w:t>Certificate of Amendment, effective November 29, 2013, to the Restated Certificate of Incorporation of the Company (incorporated by reference</w:t>
              </w:r>
            </w:hyperlink>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6280" w:type="dxa"/>
            <w:vAlign w:val="bottom"/>
            <w:tcBorders>
              <w:bottom w:val="single" w:sz="8" w:color="0000FF"/>
            </w:tcBorders>
            <w:gridSpan w:val="7"/>
          </w:tcPr>
          <w:p>
            <w:pPr>
              <w:spacing w:after="0" w:line="169" w:lineRule="exact"/>
              <w:rPr>
                <w:rFonts w:ascii="Arial" w:cs="Arial" w:eastAsia="Arial" w:hAnsi="Arial"/>
                <w:sz w:val="16"/>
                <w:szCs w:val="16"/>
                <w:color w:val="0000FF"/>
              </w:rPr>
            </w:pPr>
            <w:hyperlink r:id="rId36">
              <w:r>
                <w:rPr>
                  <w:rFonts w:ascii="Arial" w:cs="Arial" w:eastAsia="Arial" w:hAnsi="Arial"/>
                  <w:sz w:val="16"/>
                  <w:szCs w:val="16"/>
                  <w:color w:val="0000FF"/>
                </w:rPr>
                <w:t>to Exhibit 3.1 to the Company’s current Report on Form 8-K dated November 29, 2013).</w:t>
              </w:r>
            </w:hyperlink>
          </w:p>
        </w:tc>
        <w:tc>
          <w:tcPr>
            <w:tcW w:w="4060" w:type="dxa"/>
            <w:vAlign w:val="bottom"/>
            <w:gridSpan w:val="12"/>
          </w:tcPr>
          <w:p>
            <w:pPr>
              <w:spacing w:after="0"/>
              <w:rPr>
                <w:sz w:val="14"/>
                <w:szCs w:val="14"/>
                <w:color w:val="auto"/>
              </w:rPr>
            </w:pPr>
          </w:p>
        </w:tc>
        <w:tc>
          <w:tcPr>
            <w:tcW w:w="0" w:type="dxa"/>
            <w:vAlign w:val="bottom"/>
          </w:tcPr>
          <w:p>
            <w:pPr>
              <w:spacing w:after="0"/>
              <w:rPr>
                <w:sz w:val="1"/>
                <w:szCs w:val="1"/>
                <w:color w:val="auto"/>
              </w:rPr>
            </w:pPr>
          </w:p>
        </w:tc>
      </w:tr>
      <w:tr>
        <w:trPr>
          <w:trHeight w:val="466"/>
        </w:trPr>
        <w:tc>
          <w:tcPr>
            <w:tcW w:w="1080" w:type="dxa"/>
            <w:vAlign w:val="bottom"/>
          </w:tcPr>
          <w:p>
            <w:pPr>
              <w:ind w:left="180"/>
              <w:spacing w:after="0"/>
              <w:rPr>
                <w:sz w:val="20"/>
                <w:szCs w:val="20"/>
                <w:color w:val="auto"/>
              </w:rPr>
            </w:pPr>
            <w:r>
              <w:rPr>
                <w:rFonts w:ascii="Arial" w:cs="Arial" w:eastAsia="Arial" w:hAnsi="Arial"/>
                <w:sz w:val="16"/>
                <w:szCs w:val="16"/>
                <w:color w:val="auto"/>
              </w:rPr>
              <w:t>3.3</w:t>
            </w:r>
          </w:p>
        </w:tc>
        <w:tc>
          <w:tcPr>
            <w:tcW w:w="10020" w:type="dxa"/>
            <w:vAlign w:val="bottom"/>
            <w:tcBorders>
              <w:bottom w:val="single" w:sz="8" w:color="0000FF"/>
            </w:tcBorders>
            <w:gridSpan w:val="14"/>
          </w:tcPr>
          <w:p>
            <w:pPr>
              <w:spacing w:after="0"/>
              <w:rPr>
                <w:rFonts w:ascii="Arial" w:cs="Arial" w:eastAsia="Arial" w:hAnsi="Arial"/>
                <w:sz w:val="16"/>
                <w:szCs w:val="16"/>
                <w:color w:val="0000FF"/>
              </w:rPr>
            </w:pPr>
            <w:hyperlink r:id="rId37">
              <w:r>
                <w:rPr>
                  <w:rFonts w:ascii="Arial" w:cs="Arial" w:eastAsia="Arial" w:hAnsi="Arial"/>
                  <w:sz w:val="16"/>
                  <w:szCs w:val="16"/>
                  <w:color w:val="0000FF"/>
                </w:rPr>
                <w:t>By-Laws of the Company as amended and restated through November 29, 2013 (incorporated by reference to Exhibit 3.2 to the Company’s</w:t>
              </w:r>
            </w:hyperlink>
          </w:p>
        </w:tc>
        <w:tc>
          <w:tcPr>
            <w:tcW w:w="3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4040" w:type="dxa"/>
            <w:vAlign w:val="bottom"/>
            <w:tcBorders>
              <w:bottom w:val="single" w:sz="8" w:color="0000FF"/>
            </w:tcBorders>
            <w:gridSpan w:val="3"/>
          </w:tcPr>
          <w:p>
            <w:pPr>
              <w:spacing w:after="0" w:line="169" w:lineRule="exact"/>
              <w:rPr>
                <w:rFonts w:ascii="Arial" w:cs="Arial" w:eastAsia="Arial" w:hAnsi="Arial"/>
                <w:sz w:val="16"/>
                <w:szCs w:val="16"/>
                <w:color w:val="0000FF"/>
              </w:rPr>
            </w:pPr>
            <w:hyperlink r:id="rId37">
              <w:r>
                <w:rPr>
                  <w:rFonts w:ascii="Arial" w:cs="Arial" w:eastAsia="Arial" w:hAnsi="Arial"/>
                  <w:sz w:val="16"/>
                  <w:szCs w:val="16"/>
                  <w:color w:val="0000FF"/>
                </w:rPr>
                <w:t>Current Report on Form 8-K dated November 29, 2013).</w:t>
              </w:r>
            </w:hyperlink>
          </w:p>
        </w:tc>
        <w:tc>
          <w:tcPr>
            <w:tcW w:w="6300" w:type="dxa"/>
            <w:vAlign w:val="bottom"/>
            <w:gridSpan w:val="16"/>
          </w:tcPr>
          <w:p>
            <w:pPr>
              <w:spacing w:after="0"/>
              <w:rPr>
                <w:sz w:val="14"/>
                <w:szCs w:val="14"/>
                <w:color w:val="auto"/>
              </w:rPr>
            </w:pPr>
          </w:p>
        </w:tc>
        <w:tc>
          <w:tcPr>
            <w:tcW w:w="0" w:type="dxa"/>
            <w:vAlign w:val="bottom"/>
          </w:tcPr>
          <w:p>
            <w:pPr>
              <w:spacing w:after="0"/>
              <w:rPr>
                <w:sz w:val="1"/>
                <w:szCs w:val="1"/>
                <w:color w:val="auto"/>
              </w:rPr>
            </w:pPr>
          </w:p>
        </w:tc>
      </w:tr>
      <w:tr>
        <w:trPr>
          <w:trHeight w:val="466"/>
        </w:trPr>
        <w:tc>
          <w:tcPr>
            <w:tcW w:w="1080" w:type="dxa"/>
            <w:vAlign w:val="bottom"/>
          </w:tcPr>
          <w:p>
            <w:pPr>
              <w:ind w:left="180"/>
              <w:spacing w:after="0"/>
              <w:rPr>
                <w:sz w:val="20"/>
                <w:szCs w:val="20"/>
                <w:color w:val="auto"/>
              </w:rPr>
            </w:pPr>
            <w:r>
              <w:rPr>
                <w:rFonts w:ascii="Arial" w:cs="Arial" w:eastAsia="Arial" w:hAnsi="Arial"/>
                <w:sz w:val="16"/>
                <w:szCs w:val="16"/>
                <w:color w:val="auto"/>
              </w:rPr>
              <w:t>4.1</w:t>
            </w:r>
          </w:p>
        </w:tc>
        <w:tc>
          <w:tcPr>
            <w:tcW w:w="10340" w:type="dxa"/>
            <w:vAlign w:val="bottom"/>
            <w:gridSpan w:val="19"/>
          </w:tcPr>
          <w:p>
            <w:pPr>
              <w:spacing w:after="0"/>
              <w:rPr>
                <w:rFonts w:ascii="Arial" w:cs="Arial" w:eastAsia="Arial" w:hAnsi="Arial"/>
                <w:sz w:val="16"/>
                <w:szCs w:val="16"/>
                <w:color w:val="0000FF"/>
              </w:rPr>
            </w:pPr>
            <w:hyperlink r:id="rId38">
              <w:r>
                <w:rPr>
                  <w:rFonts w:ascii="Arial" w:cs="Arial" w:eastAsia="Arial" w:hAnsi="Arial"/>
                  <w:sz w:val="16"/>
                  <w:szCs w:val="16"/>
                  <w:color w:val="0000FF"/>
                </w:rPr>
                <w:t>Second Supplemental Indenture dated January 30, 2009, between the Company and The Bank of New York Mellon Trust Company, N.A., as</w:t>
              </w:r>
            </w:hyperlink>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0000" w:type="dxa"/>
            <w:vAlign w:val="bottom"/>
            <w:tcBorders>
              <w:top w:val="single" w:sz="8" w:color="0000FF"/>
              <w:bottom w:val="single" w:sz="8" w:color="0000FF"/>
            </w:tcBorders>
            <w:gridSpan w:val="13"/>
          </w:tcPr>
          <w:p>
            <w:pPr>
              <w:spacing w:after="0" w:line="169" w:lineRule="exact"/>
              <w:rPr>
                <w:rFonts w:ascii="Arial" w:cs="Arial" w:eastAsia="Arial" w:hAnsi="Arial"/>
                <w:sz w:val="16"/>
                <w:szCs w:val="16"/>
                <w:color w:val="0000FF"/>
              </w:rPr>
            </w:pPr>
            <w:hyperlink r:id="rId38">
              <w:r>
                <w:rPr>
                  <w:rFonts w:ascii="Arial" w:cs="Arial" w:eastAsia="Arial" w:hAnsi="Arial"/>
                  <w:sz w:val="16"/>
                  <w:szCs w:val="16"/>
                  <w:color w:val="0000FF"/>
                </w:rPr>
                <w:t>successor to The First National Bank of Chicago, as Trustee (incorporated by reference to Exhibit 10.2 to the Company’s Current Report on</w:t>
              </w:r>
            </w:hyperlink>
          </w:p>
        </w:tc>
        <w:tc>
          <w:tcPr>
            <w:tcW w:w="60" w:type="dxa"/>
            <w:vAlign w:val="bottom"/>
            <w:tcBorders>
              <w:top w:val="single" w:sz="8" w:color="0000FF"/>
            </w:tcBorders>
            <w:gridSpan w:val="2"/>
          </w:tcPr>
          <w:p>
            <w:pPr>
              <w:spacing w:after="0"/>
              <w:rPr>
                <w:sz w:val="14"/>
                <w:szCs w:val="14"/>
                <w:color w:val="auto"/>
              </w:rPr>
            </w:pPr>
          </w:p>
        </w:tc>
        <w:tc>
          <w:tcPr>
            <w:tcW w:w="2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2520" w:type="dxa"/>
            <w:vAlign w:val="bottom"/>
            <w:tcBorders>
              <w:bottom w:val="single" w:sz="8" w:color="0000FF"/>
            </w:tcBorders>
          </w:tcPr>
          <w:p>
            <w:pPr>
              <w:spacing w:after="0" w:line="169" w:lineRule="exact"/>
              <w:rPr>
                <w:rFonts w:ascii="Arial" w:cs="Arial" w:eastAsia="Arial" w:hAnsi="Arial"/>
                <w:sz w:val="16"/>
                <w:szCs w:val="16"/>
                <w:color w:val="0000FF"/>
              </w:rPr>
            </w:pPr>
            <w:hyperlink r:id="rId38">
              <w:r>
                <w:rPr>
                  <w:rFonts w:ascii="Arial" w:cs="Arial" w:eastAsia="Arial" w:hAnsi="Arial"/>
                  <w:sz w:val="16"/>
                  <w:szCs w:val="16"/>
                  <w:color w:val="0000FF"/>
                </w:rPr>
                <w:t>Form 8-K dated January 30, 2009).</w:t>
              </w:r>
            </w:hyperlink>
          </w:p>
        </w:tc>
        <w:tc>
          <w:tcPr>
            <w:tcW w:w="7820" w:type="dxa"/>
            <w:vAlign w:val="bottom"/>
            <w:gridSpan w:val="18"/>
          </w:tcPr>
          <w:p>
            <w:pPr>
              <w:spacing w:after="0"/>
              <w:rPr>
                <w:sz w:val="14"/>
                <w:szCs w:val="14"/>
                <w:color w:val="auto"/>
              </w:rPr>
            </w:pPr>
          </w:p>
        </w:tc>
        <w:tc>
          <w:tcPr>
            <w:tcW w:w="0" w:type="dxa"/>
            <w:vAlign w:val="bottom"/>
          </w:tcPr>
          <w:p>
            <w:pPr>
              <w:spacing w:after="0"/>
              <w:rPr>
                <w:sz w:val="1"/>
                <w:szCs w:val="1"/>
                <w:color w:val="auto"/>
              </w:rPr>
            </w:pPr>
          </w:p>
        </w:tc>
      </w:tr>
      <w:tr>
        <w:trPr>
          <w:trHeight w:val="466"/>
        </w:trPr>
        <w:tc>
          <w:tcPr>
            <w:tcW w:w="1080" w:type="dxa"/>
            <w:vAlign w:val="bottom"/>
          </w:tcPr>
          <w:p>
            <w:pPr>
              <w:ind w:left="180"/>
              <w:spacing w:after="0"/>
              <w:rPr>
                <w:sz w:val="20"/>
                <w:szCs w:val="20"/>
                <w:color w:val="auto"/>
              </w:rPr>
            </w:pPr>
            <w:r>
              <w:rPr>
                <w:rFonts w:ascii="Arial" w:cs="Arial" w:eastAsia="Arial" w:hAnsi="Arial"/>
                <w:sz w:val="16"/>
                <w:szCs w:val="16"/>
                <w:color w:val="auto"/>
              </w:rPr>
              <w:t>4.2</w:t>
            </w:r>
          </w:p>
        </w:tc>
        <w:tc>
          <w:tcPr>
            <w:tcW w:w="9760" w:type="dxa"/>
            <w:vAlign w:val="bottom"/>
            <w:tcBorders>
              <w:bottom w:val="single" w:sz="8" w:color="0000FF"/>
            </w:tcBorders>
            <w:gridSpan w:val="8"/>
          </w:tcPr>
          <w:p>
            <w:pPr>
              <w:spacing w:after="0"/>
              <w:rPr>
                <w:rFonts w:ascii="Arial" w:cs="Arial" w:eastAsia="Arial" w:hAnsi="Arial"/>
                <w:sz w:val="16"/>
                <w:szCs w:val="16"/>
                <w:color w:val="0000FF"/>
              </w:rPr>
            </w:pPr>
            <w:hyperlink r:id="rId39">
              <w:r>
                <w:rPr>
                  <w:rFonts w:ascii="Arial" w:cs="Arial" w:eastAsia="Arial" w:hAnsi="Arial"/>
                  <w:sz w:val="16"/>
                  <w:szCs w:val="16"/>
                  <w:color w:val="0000FF"/>
                </w:rPr>
                <w:t>Five Year Credit Agreement, dated as of June 29, 2015, among the Company, and certain of its domestic subsidiaries as guarantors, the</w:t>
              </w:r>
            </w:hyperlink>
          </w:p>
        </w:tc>
        <w:tc>
          <w:tcPr>
            <w:tcW w:w="58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0340" w:type="dxa"/>
            <w:vAlign w:val="bottom"/>
            <w:gridSpan w:val="19"/>
          </w:tcPr>
          <w:p>
            <w:pPr>
              <w:spacing w:after="0" w:line="169" w:lineRule="exact"/>
              <w:rPr>
                <w:rFonts w:ascii="Arial" w:cs="Arial" w:eastAsia="Arial" w:hAnsi="Arial"/>
                <w:sz w:val="16"/>
                <w:szCs w:val="16"/>
                <w:color w:val="0000FF"/>
              </w:rPr>
            </w:pPr>
            <w:hyperlink r:id="rId39">
              <w:r>
                <w:rPr>
                  <w:rFonts w:ascii="Arial" w:cs="Arial" w:eastAsia="Arial" w:hAnsi="Arial"/>
                  <w:sz w:val="16"/>
                  <w:szCs w:val="16"/>
                  <w:color w:val="0000FF"/>
                </w:rPr>
                <w:t>several lenders from time to time party thereto, Wells Fargo Bank, National Association, as Administrative Agent and JPMorgan Chase Bank,</w:t>
              </w:r>
            </w:hyperlink>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9980" w:type="dxa"/>
            <w:vAlign w:val="bottom"/>
            <w:tcBorders>
              <w:top w:val="single" w:sz="8" w:color="0000FF"/>
              <w:bottom w:val="single" w:sz="8" w:color="0000FF"/>
            </w:tcBorders>
            <w:gridSpan w:val="12"/>
          </w:tcPr>
          <w:p>
            <w:pPr>
              <w:spacing w:after="0" w:line="169" w:lineRule="exact"/>
              <w:rPr>
                <w:rFonts w:ascii="Arial" w:cs="Arial" w:eastAsia="Arial" w:hAnsi="Arial"/>
                <w:sz w:val="16"/>
                <w:szCs w:val="16"/>
                <w:color w:val="0000FF"/>
              </w:rPr>
            </w:pPr>
            <w:hyperlink r:id="rId39">
              <w:r>
                <w:rPr>
                  <w:rFonts w:ascii="Arial" w:cs="Arial" w:eastAsia="Arial" w:hAnsi="Arial"/>
                  <w:sz w:val="16"/>
                  <w:szCs w:val="16"/>
                  <w:color w:val="0000FF"/>
                </w:rPr>
                <w:t>N.A., as Syndication Agent. (incorporated by reference to Exhibit 10.1 to the Company’s Current Report on Form 8-K dated June 29, 2015).</w:t>
              </w:r>
            </w:hyperlink>
          </w:p>
        </w:tc>
        <w:tc>
          <w:tcPr>
            <w:tcW w:w="100" w:type="dxa"/>
            <w:vAlign w:val="bottom"/>
            <w:tcBorders>
              <w:top w:val="single" w:sz="8" w:color="0000FF"/>
            </w:tcBorders>
            <w:gridSpan w:val="4"/>
          </w:tcPr>
          <w:p>
            <w:pPr>
              <w:spacing w:after="0"/>
              <w:rPr>
                <w:sz w:val="14"/>
                <w:szCs w:val="14"/>
                <w:color w:val="auto"/>
              </w:rPr>
            </w:pPr>
          </w:p>
        </w:tc>
        <w:tc>
          <w:tcPr>
            <w:tcW w:w="2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507"/>
        </w:trPr>
        <w:tc>
          <w:tcPr>
            <w:tcW w:w="1080" w:type="dxa"/>
            <w:vAlign w:val="bottom"/>
          </w:tcPr>
          <w:p>
            <w:pPr>
              <w:ind w:left="180"/>
              <w:spacing w:after="0"/>
              <w:rPr>
                <w:sz w:val="20"/>
                <w:szCs w:val="20"/>
                <w:color w:val="auto"/>
              </w:rPr>
            </w:pPr>
            <w:r>
              <w:rPr>
                <w:rFonts w:ascii="Arial" w:cs="Arial" w:eastAsia="Arial" w:hAnsi="Arial"/>
                <w:sz w:val="16"/>
                <w:szCs w:val="16"/>
                <w:color w:val="auto"/>
              </w:rPr>
              <w:t>10.1</w:t>
            </w:r>
          </w:p>
        </w:tc>
        <w:tc>
          <w:tcPr>
            <w:tcW w:w="10220" w:type="dxa"/>
            <w:vAlign w:val="bottom"/>
            <w:tcBorders>
              <w:bottom w:val="single" w:sz="8" w:color="0000FF"/>
            </w:tcBorders>
            <w:gridSpan w:val="17"/>
          </w:tcPr>
          <w:p>
            <w:pPr>
              <w:spacing w:after="0"/>
              <w:rPr>
                <w:rFonts w:ascii="Arial" w:cs="Arial" w:eastAsia="Arial" w:hAnsi="Arial"/>
                <w:sz w:val="16"/>
                <w:szCs w:val="16"/>
                <w:color w:val="0000FF"/>
              </w:rPr>
            </w:pPr>
            <w:hyperlink r:id="rId40">
              <w:r>
                <w:rPr>
                  <w:rFonts w:ascii="Arial" w:cs="Arial" w:eastAsia="Arial" w:hAnsi="Arial"/>
                  <w:sz w:val="16"/>
                  <w:szCs w:val="16"/>
                  <w:color w:val="0000FF"/>
                </w:rPr>
                <w:t>Transition and Operations Support Agreement, dated March 22, 2018, by and among Kaplan Higher Education, LLC, Iowa College Acquisition,</w:t>
              </w:r>
            </w:hyperlink>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0340" w:type="dxa"/>
            <w:vAlign w:val="bottom"/>
            <w:gridSpan w:val="19"/>
          </w:tcPr>
          <w:p>
            <w:pPr>
              <w:spacing w:after="0" w:line="169" w:lineRule="exact"/>
              <w:rPr>
                <w:rFonts w:ascii="Arial" w:cs="Arial" w:eastAsia="Arial" w:hAnsi="Arial"/>
                <w:sz w:val="16"/>
                <w:szCs w:val="16"/>
                <w:color w:val="0000FF"/>
              </w:rPr>
            </w:pPr>
            <w:hyperlink r:id="rId40">
              <w:r>
                <w:rPr>
                  <w:rFonts w:ascii="Arial" w:cs="Arial" w:eastAsia="Arial" w:hAnsi="Arial"/>
                  <w:sz w:val="16"/>
                  <w:szCs w:val="16"/>
                  <w:color w:val="0000FF"/>
                </w:rPr>
                <w:t>LLC, and Purdue University Global, Inc., with Purdue University as a party to the Transition and Operations Support Agreement solely for the</w:t>
              </w:r>
            </w:hyperlink>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9980" w:type="dxa"/>
            <w:vAlign w:val="bottom"/>
            <w:tcBorders>
              <w:top w:val="single" w:sz="8" w:color="0000FF"/>
              <w:bottom w:val="single" w:sz="8" w:color="0000FF"/>
            </w:tcBorders>
            <w:gridSpan w:val="12"/>
          </w:tcPr>
          <w:p>
            <w:pPr>
              <w:spacing w:after="0" w:line="169" w:lineRule="exact"/>
              <w:rPr>
                <w:rFonts w:ascii="Arial" w:cs="Arial" w:eastAsia="Arial" w:hAnsi="Arial"/>
                <w:sz w:val="16"/>
                <w:szCs w:val="16"/>
                <w:color w:val="0000FF"/>
              </w:rPr>
            </w:pPr>
            <w:hyperlink r:id="rId40">
              <w:r>
                <w:rPr>
                  <w:rFonts w:ascii="Arial" w:cs="Arial" w:eastAsia="Arial" w:hAnsi="Arial"/>
                  <w:sz w:val="16"/>
                  <w:szCs w:val="16"/>
                  <w:color w:val="0000FF"/>
                </w:rPr>
                <w:t>purposes of being bound by the Purdue Provisions (as defined therein) (incorporated by reference to Exhibit 10.1 to the Company’s Current</w:t>
              </w:r>
            </w:hyperlink>
          </w:p>
        </w:tc>
        <w:tc>
          <w:tcPr>
            <w:tcW w:w="80" w:type="dxa"/>
            <w:vAlign w:val="bottom"/>
            <w:tcBorders>
              <w:top w:val="single" w:sz="8" w:color="0000FF"/>
            </w:tcBorders>
            <w:gridSpan w:val="3"/>
          </w:tcPr>
          <w:p>
            <w:pPr>
              <w:spacing w:after="0"/>
              <w:rPr>
                <w:sz w:val="14"/>
                <w:szCs w:val="14"/>
                <w:color w:val="auto"/>
              </w:rPr>
            </w:pPr>
          </w:p>
        </w:tc>
        <w:tc>
          <w:tcPr>
            <w:tcW w:w="2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0340" w:type="dxa"/>
            <w:vAlign w:val="bottom"/>
            <w:gridSpan w:val="19"/>
          </w:tcPr>
          <w:p>
            <w:pPr>
              <w:spacing w:after="0" w:line="169" w:lineRule="exact"/>
              <w:rPr>
                <w:rFonts w:ascii="Arial" w:cs="Arial" w:eastAsia="Arial" w:hAnsi="Arial"/>
                <w:sz w:val="16"/>
                <w:szCs w:val="16"/>
                <w:color w:val="0000FF"/>
              </w:rPr>
            </w:pPr>
            <w:hyperlink r:id="rId40">
              <w:r>
                <w:rPr>
                  <w:rFonts w:ascii="Arial" w:cs="Arial" w:eastAsia="Arial" w:hAnsi="Arial"/>
                  <w:sz w:val="16"/>
                  <w:szCs w:val="16"/>
                  <w:color w:val="0000FF"/>
                </w:rPr>
                <w:t xml:space="preserve">Report on Form 8-K dated March 22, 2018). </w:t>
              </w:r>
              <w:r>
                <w:rPr>
                  <w:rFonts w:ascii="Arial" w:cs="Arial" w:eastAsia="Arial" w:hAnsi="Arial"/>
                  <w:sz w:val="16"/>
                  <w:szCs w:val="16"/>
                  <w:color w:val="000000"/>
                </w:rPr>
                <w:t>**</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140" w:type="dxa"/>
            <w:vAlign w:val="bottom"/>
            <w:gridSpan w:val="2"/>
            <w:shd w:val="clear" w:color="auto" w:fill="0000FF"/>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40" w:type="dxa"/>
            <w:vAlign w:val="bottom"/>
            <w:gridSpan w:val="1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80" w:type="dxa"/>
            <w:vAlign w:val="bottom"/>
          </w:tcPr>
          <w:p>
            <w:pPr>
              <w:ind w:left="180"/>
              <w:spacing w:after="0"/>
              <w:rPr>
                <w:sz w:val="20"/>
                <w:szCs w:val="20"/>
                <w:color w:val="auto"/>
              </w:rPr>
            </w:pPr>
            <w:r>
              <w:rPr>
                <w:rFonts w:ascii="Arial" w:cs="Arial" w:eastAsia="Arial" w:hAnsi="Arial"/>
                <w:sz w:val="16"/>
                <w:szCs w:val="16"/>
                <w:color w:val="auto"/>
              </w:rPr>
              <w:t>31.1</w:t>
            </w:r>
          </w:p>
        </w:tc>
        <w:tc>
          <w:tcPr>
            <w:tcW w:w="10340" w:type="dxa"/>
            <w:vAlign w:val="bottom"/>
            <w:gridSpan w:val="19"/>
          </w:tcPr>
          <w:p>
            <w:pPr>
              <w:spacing w:after="0"/>
              <w:rPr>
                <w:sz w:val="20"/>
                <w:szCs w:val="20"/>
                <w:color w:val="auto"/>
              </w:rPr>
            </w:pPr>
            <w:r>
              <w:rPr>
                <w:rFonts w:ascii="Arial" w:cs="Arial" w:eastAsia="Arial" w:hAnsi="Arial"/>
                <w:sz w:val="16"/>
                <w:szCs w:val="16"/>
                <w:color w:val="0000FF"/>
              </w:rPr>
              <w:t>Rule 13a-14(a)/15d-14(a) Certification of the Chief Executive Officer.</w:t>
            </w:r>
          </w:p>
        </w:tc>
        <w:tc>
          <w:tcPr>
            <w:tcW w:w="0" w:type="dxa"/>
            <w:vAlign w:val="bottom"/>
          </w:tcPr>
          <w:p>
            <w:pPr>
              <w:spacing w:after="0"/>
              <w:rPr>
                <w:sz w:val="1"/>
                <w:szCs w:val="1"/>
                <w:color w:val="auto"/>
              </w:rPr>
            </w:pPr>
          </w:p>
        </w:tc>
      </w:tr>
      <w:tr>
        <w:trPr>
          <w:trHeight w:val="466"/>
        </w:trPr>
        <w:tc>
          <w:tcPr>
            <w:tcW w:w="1080" w:type="dxa"/>
            <w:vAlign w:val="bottom"/>
          </w:tcPr>
          <w:p>
            <w:pPr>
              <w:ind w:left="180"/>
              <w:spacing w:after="0"/>
              <w:rPr>
                <w:sz w:val="20"/>
                <w:szCs w:val="20"/>
                <w:color w:val="auto"/>
              </w:rPr>
            </w:pPr>
            <w:r>
              <w:rPr>
                <w:rFonts w:ascii="Arial" w:cs="Arial" w:eastAsia="Arial" w:hAnsi="Arial"/>
                <w:sz w:val="16"/>
                <w:szCs w:val="16"/>
                <w:color w:val="auto"/>
              </w:rPr>
              <w:t>31.2</w:t>
            </w:r>
          </w:p>
        </w:tc>
        <w:tc>
          <w:tcPr>
            <w:tcW w:w="4900" w:type="dxa"/>
            <w:vAlign w:val="bottom"/>
            <w:tcBorders>
              <w:top w:val="single" w:sz="8" w:color="0000FF"/>
            </w:tcBorders>
            <w:gridSpan w:val="5"/>
          </w:tcPr>
          <w:p>
            <w:pPr>
              <w:spacing w:after="0"/>
              <w:rPr>
                <w:sz w:val="20"/>
                <w:szCs w:val="20"/>
                <w:color w:val="auto"/>
              </w:rPr>
            </w:pPr>
            <w:r>
              <w:rPr>
                <w:rFonts w:ascii="Arial" w:cs="Arial" w:eastAsia="Arial" w:hAnsi="Arial"/>
                <w:sz w:val="16"/>
                <w:szCs w:val="16"/>
                <w:color w:val="0000FF"/>
              </w:rPr>
              <w:t>Rule 13a-14(a)/15d-14(a) Certification of the Chief Financial Officer.</w:t>
            </w:r>
          </w:p>
        </w:tc>
        <w:tc>
          <w:tcPr>
            <w:tcW w:w="544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5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3" w:lineRule="exact"/>
        <w:rPr>
          <w:sz w:val="20"/>
          <w:szCs w:val="20"/>
          <w:color w:val="auto"/>
        </w:rPr>
      </w:pPr>
    </w:p>
    <w:p>
      <w:pPr>
        <w:ind w:left="1080" w:hanging="910"/>
        <w:spacing w:after="0"/>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0000FF"/>
        </w:rPr>
        <w:t>Section 1350 Certification of the Chief Executive Officer and the Chief Financial Officer.</w:t>
      </w:r>
      <w:r>
        <w:rPr>
          <w:rFonts w:ascii="Arial" w:cs="Arial" w:eastAsia="Arial" w:hAnsi="Arial"/>
          <w:sz w:val="16"/>
          <w:szCs w:val="16"/>
          <w:color w:val="0000FF"/>
        </w:rPr>
        <w:t xml:space="preserve"> </w:t>
      </w:r>
      <w:r>
        <w:rPr>
          <w:rFonts w:ascii="Arial" w:cs="Arial" w:eastAsia="Arial" w:hAnsi="Arial"/>
          <w:sz w:val="16"/>
          <w:szCs w:val="16"/>
          <w:color w:val="000000"/>
        </w:rPr>
        <w:t>***</w:t>
      </w:r>
    </w:p>
    <w:p>
      <w:pPr>
        <w:spacing w:after="0" w:line="329" w:lineRule="exact"/>
        <w:rPr>
          <w:sz w:val="20"/>
          <w:szCs w:val="20"/>
          <w:color w:val="auto"/>
        </w:rPr>
      </w:pPr>
    </w:p>
    <w:p>
      <w:pPr>
        <w:ind w:left="1080" w:right="100" w:hanging="910"/>
        <w:spacing w:after="0" w:line="248" w:lineRule="auto"/>
        <w:tabs>
          <w:tab w:leader="none" w:pos="1080" w:val="left"/>
        </w:tabs>
        <w:numPr>
          <w:ilvl w:val="1"/>
          <w:numId w:val="16"/>
        </w:numPr>
        <w:rPr>
          <w:rFonts w:ascii="Arial" w:cs="Arial" w:eastAsia="Arial" w:hAnsi="Arial"/>
          <w:sz w:val="16"/>
          <w:szCs w:val="16"/>
          <w:color w:val="auto"/>
        </w:rPr>
      </w:pPr>
      <w:r>
        <w:rPr>
          <w:rFonts w:ascii="Arial" w:cs="Arial" w:eastAsia="Arial" w:hAnsi="Arial"/>
          <w:sz w:val="16"/>
          <w:szCs w:val="16"/>
          <w:color w:val="auto"/>
        </w:rPr>
        <w:t>The following financial information from Graham Holdings Company Quarterly Report on Form 10-Q for the period ended March 31, 2018, formatted in Extensible Business Reporting Language (XBRL): (i) Condensed Consolidated Statements of Operations for the Three Months Ended March 31, 2018 and 2017, (ii) Condensed Consolidated Statements of Comprehensive Income for the Three Months Ended March 31, 2018 and 2017, (iii) Condensed Consolidated Balance Sheets as of March 31, 2018 and December 31, 2017, (iv) Condensed Consolidated Statements of Cash Flows for the Three Months Ended March 31, 2018 and 2017, and (v) Notes to Condensed Consolidated Financial Statements. Pursuant to Rule 406T of Regulation S-T, these interactive data files are deemed "furnished" and not "filed" or part of a registration statement or prospectus for purposes of Sections 11 or 12 of the Securities Act of 1933, are deemed "furnished" and not "filed" for purposes of Section 18 of the Securities Exchange Act of 1934, and otherwise are not subject to liability under these sections.</w:t>
      </w:r>
    </w:p>
    <w:p>
      <w:pPr>
        <w:spacing w:after="0" w:line="178" w:lineRule="exact"/>
        <w:rPr>
          <w:rFonts w:ascii="Arial" w:cs="Arial" w:eastAsia="Arial" w:hAnsi="Arial"/>
          <w:sz w:val="16"/>
          <w:szCs w:val="16"/>
          <w:color w:val="auto"/>
        </w:rPr>
      </w:pPr>
    </w:p>
    <w:p>
      <w:pPr>
        <w:ind w:left="260" w:right="180" w:hanging="243"/>
        <w:spacing w:after="0" w:line="231" w:lineRule="auto"/>
        <w:rPr>
          <w:rFonts w:ascii="Arial" w:cs="Arial" w:eastAsia="Arial" w:hAnsi="Arial"/>
          <w:sz w:val="16"/>
          <w:szCs w:val="16"/>
          <w:color w:val="auto"/>
        </w:rPr>
      </w:pPr>
      <w:r>
        <w:rPr>
          <w:rFonts w:ascii="Arial" w:cs="Arial" w:eastAsia="Arial" w:hAnsi="Arial"/>
          <w:sz w:val="14"/>
          <w:szCs w:val="14"/>
          <w:color w:val="auto"/>
        </w:rPr>
        <w:t>* Graham Holdings Company hereby undertakes to furnish supplementally a copy of any omitted exhibit or schedule to such agreement to the U.S. Securities and Exchange Commission upon request.</w:t>
      </w:r>
    </w:p>
    <w:p>
      <w:pPr>
        <w:spacing w:after="0" w:line="41" w:lineRule="exact"/>
        <w:rPr>
          <w:rFonts w:ascii="Arial" w:cs="Arial" w:eastAsia="Arial" w:hAnsi="Arial"/>
          <w:sz w:val="16"/>
          <w:szCs w:val="16"/>
          <w:color w:val="auto"/>
        </w:rPr>
      </w:pPr>
    </w:p>
    <w:p>
      <w:pPr>
        <w:ind w:left="260" w:hanging="252"/>
        <w:spacing w:after="0"/>
        <w:tabs>
          <w:tab w:leader="none" w:pos="2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Select portions of this exhibit have been omitted pursuant to a request for confidential treatment and have been filed separately with the Securities and Exchange Commission.</w:t>
      </w:r>
    </w:p>
    <w:p>
      <w:pPr>
        <w:spacing w:after="0" w:line="41" w:lineRule="exact"/>
        <w:rPr>
          <w:rFonts w:ascii="Arial" w:cs="Arial" w:eastAsia="Arial" w:hAnsi="Arial"/>
          <w:sz w:val="14"/>
          <w:szCs w:val="14"/>
          <w:color w:val="auto"/>
        </w:rPr>
      </w:pPr>
    </w:p>
    <w:p>
      <w:pPr>
        <w:ind w:left="260" w:hanging="252"/>
        <w:spacing w:after="0"/>
        <w:tabs>
          <w:tab w:leader="none" w:pos="2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Furnished herewith.</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697"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22"/>
          <w:szCs w:val="22"/>
          <w:b w:val="1"/>
          <w:bCs w:val="1"/>
          <w:color w:val="auto"/>
        </w:rPr>
        <w:t>SIGNATURES</w:t>
      </w:r>
    </w:p>
    <w:p>
      <w:pPr>
        <w:spacing w:after="0" w:line="319" w:lineRule="exact"/>
        <w:rPr>
          <w:sz w:val="20"/>
          <w:szCs w:val="20"/>
          <w:color w:val="auto"/>
        </w:rPr>
      </w:pPr>
    </w:p>
    <w:p>
      <w:pPr>
        <w:ind w:right="300"/>
        <w:spacing w:after="0" w:line="23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35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9"/>
              </w:rPr>
              <w:t>GRAHAM HOLDINGS COMPANY</w:t>
            </w:r>
          </w:p>
        </w:tc>
      </w:tr>
      <w:tr>
        <w:trPr>
          <w:trHeight w:val="257"/>
        </w:trPr>
        <w:tc>
          <w:tcPr>
            <w:tcW w:w="3520" w:type="dxa"/>
            <w:vAlign w:val="bottom"/>
          </w:tcPr>
          <w:p>
            <w:pPr>
              <w:spacing w:after="0"/>
              <w:rPr>
                <w:sz w:val="22"/>
                <w:szCs w:val="22"/>
                <w:color w:val="auto"/>
              </w:rPr>
            </w:pPr>
          </w:p>
        </w:tc>
        <w:tc>
          <w:tcPr>
            <w:tcW w:w="3760" w:type="dxa"/>
            <w:vAlign w:val="bottom"/>
          </w:tcPr>
          <w:p>
            <w:pPr>
              <w:spacing w:after="0"/>
              <w:rPr>
                <w:sz w:val="22"/>
                <w:szCs w:val="22"/>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9"/>
              </w:rPr>
              <w:t>(Registrant)</w:t>
            </w:r>
          </w:p>
        </w:tc>
      </w:tr>
      <w:tr>
        <w:trPr>
          <w:trHeight w:val="561"/>
        </w:trPr>
        <w:tc>
          <w:tcPr>
            <w:tcW w:w="3520" w:type="dxa"/>
            <w:vAlign w:val="bottom"/>
          </w:tcPr>
          <w:p>
            <w:pPr>
              <w:spacing w:after="0"/>
              <w:rPr>
                <w:sz w:val="20"/>
                <w:szCs w:val="20"/>
                <w:color w:val="auto"/>
              </w:rPr>
            </w:pPr>
            <w:r>
              <w:rPr>
                <w:rFonts w:ascii="Arial" w:cs="Arial" w:eastAsia="Arial" w:hAnsi="Arial"/>
                <w:sz w:val="18"/>
                <w:szCs w:val="18"/>
                <w:color w:val="auto"/>
              </w:rPr>
              <w:t>Date: May 2, 2018</w:t>
            </w:r>
          </w:p>
        </w:tc>
        <w:tc>
          <w:tcPr>
            <w:tcW w:w="376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Timothy J. O’Shaughnessy</w:t>
            </w:r>
          </w:p>
        </w:tc>
      </w:tr>
      <w:tr>
        <w:trPr>
          <w:trHeight w:val="176"/>
        </w:trPr>
        <w:tc>
          <w:tcPr>
            <w:tcW w:w="35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4100" w:type="dxa"/>
            <w:vAlign w:val="bottom"/>
          </w:tcPr>
          <w:p>
            <w:pPr>
              <w:jc w:val="center"/>
              <w:spacing w:after="0"/>
              <w:rPr>
                <w:sz w:val="20"/>
                <w:szCs w:val="20"/>
                <w:color w:val="auto"/>
              </w:rPr>
            </w:pPr>
            <w:r>
              <w:rPr>
                <w:rFonts w:ascii="Arial" w:cs="Arial" w:eastAsia="Arial" w:hAnsi="Arial"/>
                <w:sz w:val="14"/>
                <w:szCs w:val="14"/>
                <w:b w:val="1"/>
                <w:bCs w:val="1"/>
                <w:color w:val="auto"/>
              </w:rPr>
              <w:t>Timothy J. O’Shaughnessy,</w:t>
            </w:r>
          </w:p>
        </w:tc>
      </w:tr>
      <w:tr>
        <w:trPr>
          <w:trHeight w:val="162"/>
        </w:trPr>
        <w:tc>
          <w:tcPr>
            <w:tcW w:w="35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4100" w:type="dxa"/>
            <w:vAlign w:val="bottom"/>
          </w:tcPr>
          <w:p>
            <w:pPr>
              <w:jc w:val="center"/>
              <w:spacing w:after="0"/>
              <w:rPr>
                <w:sz w:val="20"/>
                <w:szCs w:val="20"/>
                <w:color w:val="auto"/>
              </w:rPr>
            </w:pPr>
            <w:r>
              <w:rPr>
                <w:rFonts w:ascii="Arial" w:cs="Arial" w:eastAsia="Arial" w:hAnsi="Arial"/>
                <w:sz w:val="14"/>
                <w:szCs w:val="14"/>
                <w:b w:val="1"/>
                <w:bCs w:val="1"/>
                <w:color w:val="auto"/>
              </w:rPr>
              <w:t>President &amp; Chief Executive Officer</w:t>
            </w:r>
          </w:p>
        </w:tc>
      </w:tr>
      <w:tr>
        <w:trPr>
          <w:trHeight w:val="190"/>
        </w:trPr>
        <w:tc>
          <w:tcPr>
            <w:tcW w:w="35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4100" w:type="dxa"/>
            <w:vAlign w:val="bottom"/>
          </w:tcPr>
          <w:p>
            <w:pPr>
              <w:jc w:val="center"/>
              <w:spacing w:after="0"/>
              <w:rPr>
                <w:sz w:val="20"/>
                <w:szCs w:val="20"/>
                <w:color w:val="auto"/>
              </w:rPr>
            </w:pPr>
            <w:r>
              <w:rPr>
                <w:rFonts w:ascii="Arial" w:cs="Arial" w:eastAsia="Arial" w:hAnsi="Arial"/>
                <w:sz w:val="14"/>
                <w:szCs w:val="14"/>
                <w:b w:val="1"/>
                <w:bCs w:val="1"/>
                <w:color w:val="auto"/>
              </w:rPr>
              <w:t>(Principal Executive Officer)</w:t>
            </w:r>
          </w:p>
        </w:tc>
      </w:tr>
      <w:tr>
        <w:trPr>
          <w:trHeight w:val="559"/>
        </w:trPr>
        <w:tc>
          <w:tcPr>
            <w:tcW w:w="3520" w:type="dxa"/>
            <w:vAlign w:val="bottom"/>
          </w:tcPr>
          <w:p>
            <w:pPr>
              <w:spacing w:after="0"/>
              <w:rPr>
                <w:sz w:val="20"/>
                <w:szCs w:val="20"/>
                <w:color w:val="auto"/>
              </w:rPr>
            </w:pPr>
            <w:r>
              <w:rPr>
                <w:rFonts w:ascii="Arial" w:cs="Arial" w:eastAsia="Arial" w:hAnsi="Arial"/>
                <w:sz w:val="18"/>
                <w:szCs w:val="18"/>
                <w:color w:val="auto"/>
              </w:rPr>
              <w:t>Date: May 2, 2018</w:t>
            </w:r>
          </w:p>
        </w:tc>
        <w:tc>
          <w:tcPr>
            <w:tcW w:w="376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Wallace R. Cooney</w:t>
            </w:r>
          </w:p>
        </w:tc>
      </w:tr>
      <w:tr>
        <w:trPr>
          <w:trHeight w:val="176"/>
        </w:trPr>
        <w:tc>
          <w:tcPr>
            <w:tcW w:w="35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4100" w:type="dxa"/>
            <w:vAlign w:val="bottom"/>
          </w:tcPr>
          <w:p>
            <w:pPr>
              <w:jc w:val="center"/>
              <w:spacing w:after="0"/>
              <w:rPr>
                <w:sz w:val="20"/>
                <w:szCs w:val="20"/>
                <w:color w:val="auto"/>
              </w:rPr>
            </w:pPr>
            <w:r>
              <w:rPr>
                <w:rFonts w:ascii="Arial" w:cs="Arial" w:eastAsia="Arial" w:hAnsi="Arial"/>
                <w:sz w:val="14"/>
                <w:szCs w:val="14"/>
                <w:b w:val="1"/>
                <w:bCs w:val="1"/>
                <w:color w:val="auto"/>
              </w:rPr>
              <w:t>Wallace R. Cooney,</w:t>
            </w:r>
          </w:p>
        </w:tc>
      </w:tr>
      <w:tr>
        <w:trPr>
          <w:trHeight w:val="162"/>
        </w:trPr>
        <w:tc>
          <w:tcPr>
            <w:tcW w:w="35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4100" w:type="dxa"/>
            <w:vAlign w:val="bottom"/>
          </w:tcPr>
          <w:p>
            <w:pPr>
              <w:jc w:val="center"/>
              <w:spacing w:after="0"/>
              <w:rPr>
                <w:sz w:val="20"/>
                <w:szCs w:val="20"/>
                <w:color w:val="auto"/>
              </w:rPr>
            </w:pPr>
            <w:r>
              <w:rPr>
                <w:rFonts w:ascii="Arial" w:cs="Arial" w:eastAsia="Arial" w:hAnsi="Arial"/>
                <w:sz w:val="14"/>
                <w:szCs w:val="14"/>
                <w:b w:val="1"/>
                <w:bCs w:val="1"/>
                <w:color w:val="auto"/>
              </w:rPr>
              <w:t>Chief Financial Officer</w:t>
            </w:r>
          </w:p>
        </w:tc>
      </w:tr>
      <w:tr>
        <w:trPr>
          <w:trHeight w:val="190"/>
        </w:trPr>
        <w:tc>
          <w:tcPr>
            <w:tcW w:w="35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4100" w:type="dxa"/>
            <w:vAlign w:val="bottom"/>
          </w:tcPr>
          <w:p>
            <w:pPr>
              <w:jc w:val="center"/>
              <w:spacing w:after="0"/>
              <w:rPr>
                <w:sz w:val="20"/>
                <w:szCs w:val="20"/>
                <w:color w:val="auto"/>
              </w:rPr>
            </w:pPr>
            <w:r>
              <w:rPr>
                <w:rFonts w:ascii="Arial" w:cs="Arial" w:eastAsia="Arial" w:hAnsi="Arial"/>
                <w:sz w:val="14"/>
                <w:szCs w:val="14"/>
                <w:b w:val="1"/>
                <w:bCs w:val="1"/>
                <w:color w:val="auto"/>
              </w:rPr>
              <w:t>(Principal Financial Officer)</w:t>
            </w:r>
          </w:p>
        </w:tc>
      </w:tr>
      <w:tr>
        <w:trPr>
          <w:trHeight w:val="620"/>
        </w:trPr>
        <w:tc>
          <w:tcPr>
            <w:tcW w:w="3520" w:type="dxa"/>
            <w:vAlign w:val="bottom"/>
          </w:tcPr>
          <w:p>
            <w:pPr>
              <w:spacing w:after="0"/>
              <w:rPr>
                <w:sz w:val="24"/>
                <w:szCs w:val="24"/>
                <w:color w:val="auto"/>
              </w:rPr>
            </w:pPr>
          </w:p>
        </w:tc>
        <w:tc>
          <w:tcPr>
            <w:tcW w:w="3760" w:type="dxa"/>
            <w:vAlign w:val="bottom"/>
          </w:tcPr>
          <w:p>
            <w:pPr>
              <w:jc w:val="right"/>
              <w:ind w:right="1410"/>
              <w:spacing w:after="0"/>
              <w:rPr>
                <w:sz w:val="20"/>
                <w:szCs w:val="20"/>
                <w:color w:val="auto"/>
              </w:rPr>
            </w:pPr>
            <w:r>
              <w:rPr>
                <w:rFonts w:ascii="Arial" w:cs="Arial" w:eastAsia="Arial" w:hAnsi="Arial"/>
                <w:sz w:val="18"/>
                <w:szCs w:val="18"/>
                <w:color w:val="auto"/>
              </w:rPr>
              <w:t>38</w:t>
            </w:r>
          </w:p>
        </w:tc>
        <w:tc>
          <w:tcPr>
            <w:tcW w:w="4100" w:type="dxa"/>
            <w:vAlign w:val="bottom"/>
          </w:tcPr>
          <w:p>
            <w:pPr>
              <w:spacing w:after="0"/>
              <w:rPr>
                <w:sz w:val="24"/>
                <w:szCs w:val="24"/>
                <w:color w:val="auto"/>
              </w:rPr>
            </w:pPr>
          </w:p>
        </w:tc>
      </w:tr>
    </w:tbl>
    <w:p>
      <w:pPr>
        <w:sectPr>
          <w:pgSz w:w="11900" w:h="16838" w:orient="portrait"/>
          <w:cols w:equalWidth="0" w:num="1">
            <w:col w:w="11420"/>
          </w:cols>
          <w:pgMar w:left="240" w:top="863"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13a-14(a)/15d-14(a) CERTIFICATION OF THE 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302 OF THE SARBANES-OXLEY ACT OF 2002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Timothy J. O’Shaughnessy, Chief Executive Officer (principal executive officer) of Graham Holdings Company (the “Registrant”), certify that:</w:t>
      </w:r>
    </w:p>
    <w:p>
      <w:pPr>
        <w:spacing w:after="0" w:line="198" w:lineRule="exact"/>
        <w:rPr>
          <w:sz w:val="20"/>
          <w:szCs w:val="20"/>
          <w:color w:val="auto"/>
        </w:rPr>
      </w:pPr>
    </w:p>
    <w:p>
      <w:pPr>
        <w:ind w:left="800" w:hanging="468"/>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Registrant;</w:t>
      </w:r>
    </w:p>
    <w:p>
      <w:pPr>
        <w:spacing w:after="0" w:line="211" w:lineRule="exact"/>
        <w:rPr>
          <w:rFonts w:ascii="Arial" w:cs="Arial" w:eastAsia="Arial" w:hAnsi="Arial"/>
          <w:sz w:val="18"/>
          <w:szCs w:val="18"/>
          <w:color w:val="auto"/>
        </w:rPr>
      </w:pPr>
    </w:p>
    <w:p>
      <w:pPr>
        <w:ind w:left="340" w:right="580" w:hanging="8"/>
        <w:spacing w:after="0" w:line="303" w:lineRule="auto"/>
        <w:tabs>
          <w:tab w:leader="none" w:pos="814"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340" w:right="140" w:hanging="8"/>
        <w:spacing w:after="0" w:line="309" w:lineRule="auto"/>
        <w:tabs>
          <w:tab w:leader="none" w:pos="814"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2" w:lineRule="exact"/>
        <w:rPr>
          <w:rFonts w:ascii="Arial" w:cs="Arial" w:eastAsia="Arial" w:hAnsi="Arial"/>
          <w:sz w:val="18"/>
          <w:szCs w:val="18"/>
          <w:color w:val="auto"/>
        </w:rPr>
      </w:pPr>
    </w:p>
    <w:p>
      <w:pPr>
        <w:ind w:left="340" w:right="80" w:hanging="8"/>
        <w:spacing w:after="0" w:line="315" w:lineRule="auto"/>
        <w:tabs>
          <w:tab w:leader="none" w:pos="814"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84" w:lineRule="exact"/>
        <w:rPr>
          <w:rFonts w:ascii="Arial" w:cs="Arial" w:eastAsia="Arial" w:hAnsi="Arial"/>
          <w:sz w:val="17"/>
          <w:szCs w:val="17"/>
          <w:color w:val="auto"/>
        </w:rPr>
      </w:pPr>
    </w:p>
    <w:p>
      <w:pPr>
        <w:jc w:val="both"/>
        <w:ind w:left="1300" w:right="180" w:hanging="320"/>
        <w:spacing w:after="0" w:line="256"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1300" w:right="160" w:hanging="320"/>
        <w:spacing w:after="0" w:line="256"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ind w:left="1300" w:right="40" w:hanging="320"/>
        <w:spacing w:after="0" w:line="256"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1300" w:right="100" w:hanging="320"/>
        <w:spacing w:after="0" w:line="256"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Arial" w:cs="Arial" w:eastAsia="Arial" w:hAnsi="Arial"/>
          <w:sz w:val="18"/>
          <w:szCs w:val="18"/>
          <w:color w:val="auto"/>
        </w:rPr>
      </w:pPr>
    </w:p>
    <w:p>
      <w:pPr>
        <w:ind w:left="340" w:right="300" w:hanging="8"/>
        <w:spacing w:after="0" w:line="303" w:lineRule="auto"/>
        <w:tabs>
          <w:tab w:leader="none" w:pos="814"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20" w:lineRule="exact"/>
        <w:rPr>
          <w:rFonts w:ascii="Arial" w:cs="Arial" w:eastAsia="Arial" w:hAnsi="Arial"/>
          <w:sz w:val="18"/>
          <w:szCs w:val="18"/>
          <w:color w:val="auto"/>
        </w:rPr>
      </w:pPr>
    </w:p>
    <w:p>
      <w:pPr>
        <w:jc w:val="both"/>
        <w:ind w:left="1300" w:right="100" w:hanging="320"/>
        <w:spacing w:after="0" w:line="256"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8"/>
          <w:szCs w:val="18"/>
          <w:color w:val="auto"/>
        </w:rPr>
      </w:pPr>
    </w:p>
    <w:p>
      <w:pPr>
        <w:ind w:left="1300" w:right="960" w:hanging="320"/>
        <w:spacing w:after="0" w:line="262"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Timothy J. O’Shaughnessy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65544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Timothy J. O’Shaughnessy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2, 2018</w:t>
      </w:r>
    </w:p>
    <w:p>
      <w:pPr>
        <w:sectPr>
          <w:pgSz w:w="11900" w:h="16838" w:orient="portrait"/>
          <w:cols w:equalWidth="0" w:num="1">
            <w:col w:w="11420"/>
          </w:cols>
          <w:pgMar w:left="240" w:top="382"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13a-14(a)/15d-14(a) CERTIFICATION OF THE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302 OF THE SARBANES-OXLEY ACT OF 2002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Wallace R. Cooney, Chief Financial Officer (principal financial officer) of Graham Holdings Company (the “Registrant”), certify that:</w:t>
      </w:r>
    </w:p>
    <w:p>
      <w:pPr>
        <w:spacing w:after="0" w:line="198" w:lineRule="exact"/>
        <w:rPr>
          <w:sz w:val="20"/>
          <w:szCs w:val="20"/>
          <w:color w:val="auto"/>
        </w:rPr>
      </w:pPr>
    </w:p>
    <w:p>
      <w:pPr>
        <w:ind w:left="800" w:hanging="468"/>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Registrant;</w:t>
      </w:r>
    </w:p>
    <w:p>
      <w:pPr>
        <w:spacing w:after="0" w:line="211" w:lineRule="exact"/>
        <w:rPr>
          <w:rFonts w:ascii="Arial" w:cs="Arial" w:eastAsia="Arial" w:hAnsi="Arial"/>
          <w:sz w:val="18"/>
          <w:szCs w:val="18"/>
          <w:color w:val="auto"/>
        </w:rPr>
      </w:pPr>
    </w:p>
    <w:p>
      <w:pPr>
        <w:ind w:left="340" w:right="580" w:hanging="8"/>
        <w:spacing w:after="0" w:line="303" w:lineRule="auto"/>
        <w:tabs>
          <w:tab w:leader="none" w:pos="814"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340" w:right="140" w:hanging="8"/>
        <w:spacing w:after="0" w:line="309" w:lineRule="auto"/>
        <w:tabs>
          <w:tab w:leader="none" w:pos="814"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2" w:lineRule="exact"/>
        <w:rPr>
          <w:rFonts w:ascii="Arial" w:cs="Arial" w:eastAsia="Arial" w:hAnsi="Arial"/>
          <w:sz w:val="18"/>
          <w:szCs w:val="18"/>
          <w:color w:val="auto"/>
        </w:rPr>
      </w:pPr>
    </w:p>
    <w:p>
      <w:pPr>
        <w:ind w:left="340" w:right="80" w:hanging="8"/>
        <w:spacing w:after="0" w:line="315" w:lineRule="auto"/>
        <w:tabs>
          <w:tab w:leader="none" w:pos="814"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84" w:lineRule="exact"/>
        <w:rPr>
          <w:rFonts w:ascii="Arial" w:cs="Arial" w:eastAsia="Arial" w:hAnsi="Arial"/>
          <w:sz w:val="17"/>
          <w:szCs w:val="17"/>
          <w:color w:val="auto"/>
        </w:rPr>
      </w:pPr>
    </w:p>
    <w:p>
      <w:pPr>
        <w:jc w:val="both"/>
        <w:ind w:left="1300" w:right="180" w:hanging="320"/>
        <w:spacing w:after="0" w:line="256"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1300" w:right="160" w:hanging="320"/>
        <w:spacing w:after="0" w:line="256"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ind w:left="1300" w:right="40" w:hanging="320"/>
        <w:spacing w:after="0" w:line="256"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1300" w:right="100" w:hanging="320"/>
        <w:spacing w:after="0" w:line="256"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Arial" w:cs="Arial" w:eastAsia="Arial" w:hAnsi="Arial"/>
          <w:sz w:val="18"/>
          <w:szCs w:val="18"/>
          <w:color w:val="auto"/>
        </w:rPr>
      </w:pPr>
    </w:p>
    <w:p>
      <w:pPr>
        <w:ind w:left="340" w:right="300" w:hanging="8"/>
        <w:spacing w:after="0" w:line="303" w:lineRule="auto"/>
        <w:tabs>
          <w:tab w:leader="none" w:pos="814"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20" w:lineRule="exact"/>
        <w:rPr>
          <w:rFonts w:ascii="Arial" w:cs="Arial" w:eastAsia="Arial" w:hAnsi="Arial"/>
          <w:sz w:val="18"/>
          <w:szCs w:val="18"/>
          <w:color w:val="auto"/>
        </w:rPr>
      </w:pPr>
    </w:p>
    <w:p>
      <w:pPr>
        <w:jc w:val="both"/>
        <w:ind w:left="1300" w:right="100" w:hanging="320"/>
        <w:spacing w:after="0" w:line="256"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8"/>
          <w:szCs w:val="18"/>
          <w:color w:val="auto"/>
        </w:rPr>
      </w:pPr>
    </w:p>
    <w:p>
      <w:pPr>
        <w:ind w:left="1300" w:right="960" w:hanging="320"/>
        <w:spacing w:after="0" w:line="262"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65544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Wallace R. Cooney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2, 2018</w:t>
      </w:r>
    </w:p>
    <w:p>
      <w:pPr>
        <w:sectPr>
          <w:pgSz w:w="11900" w:h="16838" w:orient="portrait"/>
          <w:cols w:equalWidth="0" w:num="1">
            <w:col w:w="11420"/>
          </w:cols>
          <w:pgMar w:left="240" w:top="382"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 OF THE CHIEF EXECUTIVE OFFICER AND THE CHIEF FINANCIAL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 OF THE SARBANES-OXLEY ACT OF 2002</w:t>
      </w:r>
    </w:p>
    <w:p>
      <w:pPr>
        <w:spacing w:after="0" w:line="171"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In connection with the Quarterly Report of Graham Holdings Company (the “Company”) on Form 10-Q for the period ended March 31, 2018 (the “Report”), Timothy J. O'Shaughnessy, Chief Executive Officer of the Company and Wallace R. Cooney, Chief Financial Officer of the Company, each hereby certifies, pursuant to 18 U.S.C. Section 1350, as adopted pursuant to Section 906 of the Sarbanes-Oxley Act of 2002, that:</w:t>
      </w:r>
    </w:p>
    <w:p>
      <w:pPr>
        <w:spacing w:after="0" w:line="150"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340" w:right="520" w:hanging="332"/>
        <w:spacing w:after="0" w:line="262"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72"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Timothy J. O’Shaughnessy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65544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Timothy J. O’Shaughnessy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2, 2018</w:t>
      </w:r>
    </w:p>
    <w:p>
      <w:pPr>
        <w:spacing w:after="0" w:line="200" w:lineRule="exact"/>
        <w:rPr>
          <w:sz w:val="20"/>
          <w:szCs w:val="20"/>
          <w:color w:val="auto"/>
        </w:rPr>
      </w:pPr>
    </w:p>
    <w:p>
      <w:pPr>
        <w:spacing w:after="0" w:line="20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65544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Wallace R. Cooney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2, 2018</w:t>
      </w:r>
    </w:p>
    <w:sectPr>
      <w:pgSz w:w="11900" w:h="16838" w:orient="portrait"/>
      <w:cols w:equalWidth="0" w:num="1">
        <w:col w:w="11420"/>
      </w:cols>
      <w:pgMar w:left="240" w:top="38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77"/>
    </w:lvl>
  </w:abstractNum>
  <w:abstractNum w:abstractNumId="3">
    <w:nsid w:val="140E0F76"/>
    <w:multiLevelType w:val="hybridMultilevel"/>
    <w:lvl w:ilvl="0">
      <w:lvlJc w:val="left"/>
      <w:lvlText w:val="%1"/>
      <w:numFmt w:val="decimal"/>
      <w:start w:val="404"/>
    </w:lvl>
  </w:abstractNum>
  <w:abstractNum w:abstractNumId="4">
    <w:nsid w:val="3352255A"/>
    <w:multiLevelType w:val="hybridMultilevel"/>
    <w:lvl w:ilvl="0">
      <w:lvlJc w:val="left"/>
      <w:lvlText w:val="%1"/>
      <w:numFmt w:val="decimal"/>
      <w:start w:val="144"/>
    </w:lvl>
  </w:abstractNum>
  <w:abstractNum w:abstractNumId="5">
    <w:nsid w:val="109CF92E"/>
    <w:multiLevelType w:val="hybridMultilevel"/>
    <w:lvl w:ilvl="0">
      <w:lvlJc w:val="left"/>
      <w:lvlText w:val="(%1)"/>
      <w:numFmt w:val="lowerRoman"/>
      <w:start w:val="1"/>
    </w:lvl>
  </w:abstractNum>
  <w:abstractNum w:abstractNumId="6">
    <w:nsid w:val="DED7263"/>
    <w:multiLevelType w:val="hybridMultilevel"/>
    <w:lvl w:ilvl="0">
      <w:lvlJc w:val="left"/>
      <w:lvlText w:val="%1."/>
      <w:numFmt w:val="decimal"/>
      <w:start w:val="5"/>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1"/>
      <w:numFmt w:val="decimal"/>
      <w:start w:val="32"/>
    </w:lvl>
  </w:abstractNum>
  <w:abstractNum w:abstractNumId="15">
    <w:nsid w:val="3F2DBA31"/>
    <w:multiLevelType w:val="hybridMultilevel"/>
    <w:lvl w:ilvl="0">
      <w:lvlJc w:val="left"/>
      <w:lvlText w:val="*"/>
      <w:numFmt w:val="bullet"/>
      <w:start w:val="1"/>
    </w:lvl>
    <w:lvl w:ilvl="1">
      <w:lvlJc w:val="left"/>
      <w:lvlText w:val="%2"/>
      <w:numFmt w:val="decimal"/>
      <w:start w:val="101"/>
    </w:lvl>
  </w:abstractNum>
  <w:abstractNum w:abstractNumId="16">
    <w:nsid w:val="7C83E458"/>
    <w:multiLevelType w:val="hybridMultilevel"/>
    <w:lvl w:ilvl="0">
      <w:lvlJc w:val="left"/>
      <w:lvlText w:val="**"/>
      <w:numFmt w:val="bullet"/>
      <w:start w:val="1"/>
    </w:lvl>
    <w:lvl w:ilvl="1">
      <w:lvlJc w:val="left"/>
      <w:lvlText w:val="%2"/>
      <w:numFmt w:val="decimal"/>
      <w:start w:val="1"/>
    </w:lvl>
  </w:abstractNum>
  <w:abstractNum w:abstractNumId="17">
    <w:nsid w:val="257130A3"/>
    <w:multiLevelType w:val="hybridMultilevel"/>
    <w:lvl w:ilvl="0">
      <w:lvlJc w:val="left"/>
      <w:lvlText w:val="***"/>
      <w:numFmt w:val="bullet"/>
      <w:start w:val="1"/>
    </w:lvl>
    <w:lvl w:ilvl="1">
      <w:lvlJc w:val="left"/>
      <w:lvlText w:val="%2"/>
      <w:numFmt w:val="decimal"/>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34" Type="http://schemas.openxmlformats.org/officeDocument/2006/relationships/hyperlink" Target="http://www.sec.gov/Archives/edgar/data/104889/000095015717000514/ex2-1.htm" TargetMode="External"/><Relationship Id="rId35" Type="http://schemas.openxmlformats.org/officeDocument/2006/relationships/hyperlink" Target="http://www.sec.gov/Archives/edgar/data/104889/000095013304000785/w94191exv3w1.htm" TargetMode="External"/><Relationship Id="rId36" Type="http://schemas.openxmlformats.org/officeDocument/2006/relationships/hyperlink" Target="http://www.sec.gov/Archives/edgar/data/104889/000095015713000428/ex3-1.htm" TargetMode="External"/><Relationship Id="rId37" Type="http://schemas.openxmlformats.org/officeDocument/2006/relationships/hyperlink" Target="http://www.sec.gov/Archives/edgar/data/104889/000095015713000428/ex3-2.htm" TargetMode="External"/><Relationship Id="rId38" Type="http://schemas.openxmlformats.org/officeDocument/2006/relationships/hyperlink" Target="http://www.sec.gov/Archives/edgar/data/104889/000119312509015492/dex102.htm" TargetMode="External"/><Relationship Id="rId39" Type="http://schemas.openxmlformats.org/officeDocument/2006/relationships/hyperlink" Target="http://www.sec.gov/Archives/edgar/data/104889/000095015715000737/ex10-1.htm" TargetMode="External"/><Relationship Id="rId40" Type="http://schemas.openxmlformats.org/officeDocument/2006/relationships/hyperlink" Target="http://www.sec.gov/Archives/edgar/data/104889/000095015718000360/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2019-12-05T10:01:19Z</dcterms:created>
  <dcterms:modified xsi:type="dcterms:W3CDTF">2019-12-05T10:01:19Z</dcterms:modified>
</cp:coreProperties>
</file>